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68032" w14:textId="77777777" w:rsidR="004E60CA" w:rsidRDefault="004E60CA" w:rsidP="009F0968">
      <w:pPr>
        <w:spacing w:after="0" w:line="276" w:lineRule="auto"/>
        <w:jc w:val="center"/>
        <w:rPr>
          <w:rFonts w:ascii="Times New Roman" w:eastAsia="Times New Roman" w:hAnsi="Times New Roman" w:cs="Times New Roman"/>
          <w:b/>
          <w:bCs/>
          <w:color w:val="000000" w:themeColor="text1"/>
          <w:sz w:val="24"/>
          <w:szCs w:val="24"/>
          <w:lang w:val="en-GB"/>
        </w:rPr>
      </w:pPr>
    </w:p>
    <w:p w14:paraId="3B3A7D6E" w14:textId="77777777" w:rsidR="004E60CA" w:rsidRDefault="004E60CA" w:rsidP="009F0968">
      <w:pPr>
        <w:spacing w:after="0" w:line="276" w:lineRule="auto"/>
        <w:jc w:val="center"/>
        <w:rPr>
          <w:rFonts w:ascii="Times New Roman" w:eastAsia="Times New Roman" w:hAnsi="Times New Roman" w:cs="Times New Roman"/>
          <w:b/>
          <w:bCs/>
          <w:color w:val="000000" w:themeColor="text1"/>
          <w:sz w:val="24"/>
          <w:szCs w:val="24"/>
          <w:lang w:val="en-GB"/>
        </w:rPr>
      </w:pPr>
    </w:p>
    <w:p w14:paraId="3FE34473" w14:textId="77777777" w:rsidR="004E60CA" w:rsidRDefault="004E60CA" w:rsidP="009F0968">
      <w:pPr>
        <w:spacing w:after="0" w:line="276" w:lineRule="auto"/>
        <w:jc w:val="center"/>
        <w:rPr>
          <w:rFonts w:ascii="Times New Roman" w:eastAsia="Times New Roman" w:hAnsi="Times New Roman" w:cs="Times New Roman"/>
          <w:b/>
          <w:bCs/>
          <w:color w:val="000000" w:themeColor="text1"/>
          <w:sz w:val="24"/>
          <w:szCs w:val="24"/>
          <w:lang w:val="en-GB"/>
        </w:rPr>
      </w:pPr>
    </w:p>
    <w:p w14:paraId="19FCEDC6" w14:textId="77777777" w:rsidR="004E60CA" w:rsidRDefault="004E60CA" w:rsidP="009F0968">
      <w:pPr>
        <w:spacing w:after="0" w:line="276" w:lineRule="auto"/>
        <w:jc w:val="center"/>
        <w:rPr>
          <w:rFonts w:ascii="Times New Roman" w:eastAsia="Times New Roman" w:hAnsi="Times New Roman" w:cs="Times New Roman"/>
          <w:b/>
          <w:bCs/>
          <w:color w:val="000000" w:themeColor="text1"/>
          <w:sz w:val="24"/>
          <w:szCs w:val="24"/>
          <w:lang w:val="en-GB"/>
        </w:rPr>
      </w:pPr>
    </w:p>
    <w:p w14:paraId="396C1C7B" w14:textId="77777777" w:rsidR="004E60CA" w:rsidRDefault="004E60CA" w:rsidP="009F0968">
      <w:pPr>
        <w:spacing w:after="0" w:line="276" w:lineRule="auto"/>
        <w:jc w:val="center"/>
        <w:rPr>
          <w:rFonts w:ascii="Times New Roman" w:eastAsia="Times New Roman" w:hAnsi="Times New Roman" w:cs="Times New Roman"/>
          <w:b/>
          <w:bCs/>
          <w:color w:val="000000" w:themeColor="text1"/>
          <w:sz w:val="24"/>
          <w:szCs w:val="24"/>
          <w:lang w:val="en-GB"/>
        </w:rPr>
      </w:pPr>
    </w:p>
    <w:p w14:paraId="61F60A4B" w14:textId="77777777" w:rsidR="004E60CA" w:rsidRDefault="004E60CA" w:rsidP="009F0968">
      <w:pPr>
        <w:spacing w:after="0" w:line="276" w:lineRule="auto"/>
        <w:jc w:val="center"/>
        <w:rPr>
          <w:rFonts w:ascii="Times New Roman" w:eastAsia="Times New Roman" w:hAnsi="Times New Roman" w:cs="Times New Roman"/>
          <w:b/>
          <w:bCs/>
          <w:color w:val="000000" w:themeColor="text1"/>
          <w:sz w:val="24"/>
          <w:szCs w:val="24"/>
          <w:lang w:val="en-GB"/>
        </w:rPr>
      </w:pPr>
    </w:p>
    <w:p w14:paraId="0EC9D023" w14:textId="77777777" w:rsidR="004E60CA" w:rsidRDefault="004E60CA" w:rsidP="009F0968">
      <w:pPr>
        <w:spacing w:after="0" w:line="276" w:lineRule="auto"/>
        <w:jc w:val="center"/>
        <w:rPr>
          <w:rFonts w:ascii="Times New Roman" w:eastAsia="Times New Roman" w:hAnsi="Times New Roman" w:cs="Times New Roman"/>
          <w:b/>
          <w:bCs/>
          <w:color w:val="000000" w:themeColor="text1"/>
          <w:sz w:val="24"/>
          <w:szCs w:val="24"/>
          <w:lang w:val="en-GB"/>
        </w:rPr>
      </w:pPr>
    </w:p>
    <w:p w14:paraId="674CAF2B" w14:textId="77777777" w:rsidR="004E60CA" w:rsidRDefault="004E60CA" w:rsidP="009F0968">
      <w:pPr>
        <w:spacing w:after="0" w:line="276" w:lineRule="auto"/>
        <w:jc w:val="center"/>
        <w:rPr>
          <w:rFonts w:ascii="Times New Roman" w:eastAsia="Times New Roman" w:hAnsi="Times New Roman" w:cs="Times New Roman"/>
          <w:b/>
          <w:bCs/>
          <w:color w:val="000000" w:themeColor="text1"/>
          <w:sz w:val="24"/>
          <w:szCs w:val="24"/>
          <w:lang w:val="en-GB"/>
        </w:rPr>
      </w:pPr>
    </w:p>
    <w:p w14:paraId="18631E44" w14:textId="77777777" w:rsidR="004E60CA" w:rsidRDefault="004E60CA" w:rsidP="009F0968">
      <w:pPr>
        <w:spacing w:after="0" w:line="276" w:lineRule="auto"/>
        <w:jc w:val="center"/>
        <w:rPr>
          <w:rFonts w:ascii="Times New Roman" w:eastAsia="Times New Roman" w:hAnsi="Times New Roman" w:cs="Times New Roman"/>
          <w:b/>
          <w:bCs/>
          <w:color w:val="000000" w:themeColor="text1"/>
          <w:sz w:val="24"/>
          <w:szCs w:val="24"/>
          <w:lang w:val="en-GB"/>
        </w:rPr>
      </w:pPr>
    </w:p>
    <w:p w14:paraId="0DDBD0E3" w14:textId="77777777" w:rsidR="004E60CA" w:rsidRDefault="004E60CA" w:rsidP="009F0968">
      <w:pPr>
        <w:spacing w:after="0" w:line="276" w:lineRule="auto"/>
        <w:jc w:val="center"/>
        <w:rPr>
          <w:rFonts w:ascii="Times New Roman" w:eastAsia="Times New Roman" w:hAnsi="Times New Roman" w:cs="Times New Roman"/>
          <w:b/>
          <w:bCs/>
          <w:color w:val="000000" w:themeColor="text1"/>
          <w:sz w:val="24"/>
          <w:szCs w:val="24"/>
          <w:lang w:val="en-GB"/>
        </w:rPr>
      </w:pPr>
    </w:p>
    <w:p w14:paraId="11FEE071" w14:textId="77777777" w:rsidR="009F0968" w:rsidRPr="00D76771" w:rsidRDefault="009F0968" w:rsidP="009F0968">
      <w:pPr>
        <w:spacing w:after="0" w:line="276" w:lineRule="auto"/>
        <w:jc w:val="center"/>
        <w:rPr>
          <w:rFonts w:ascii="Times New Roman" w:eastAsia="Times New Roman" w:hAnsi="Times New Roman" w:cs="Times New Roman"/>
          <w:b/>
          <w:bCs/>
          <w:color w:val="000000" w:themeColor="text1"/>
          <w:sz w:val="36"/>
          <w:szCs w:val="36"/>
          <w:lang w:val="en-GB"/>
        </w:rPr>
      </w:pPr>
      <w:r w:rsidRPr="00D76771">
        <w:rPr>
          <w:rFonts w:ascii="Times New Roman" w:eastAsia="Times New Roman" w:hAnsi="Times New Roman" w:cs="Times New Roman"/>
          <w:b/>
          <w:bCs/>
          <w:color w:val="000000" w:themeColor="text1"/>
          <w:sz w:val="36"/>
          <w:szCs w:val="36"/>
          <w:lang w:val="en-GB"/>
        </w:rPr>
        <w:t>What determines housing prices in Egypt?</w:t>
      </w:r>
    </w:p>
    <w:p w14:paraId="79F4FD5A" w14:textId="77777777" w:rsidR="009F0968" w:rsidRPr="00604358" w:rsidRDefault="009F0968" w:rsidP="009F0968">
      <w:pPr>
        <w:spacing w:after="0" w:line="276" w:lineRule="auto"/>
        <w:jc w:val="lowKashida"/>
        <w:rPr>
          <w:rFonts w:ascii="Times New Roman" w:eastAsia="Times New Roman" w:hAnsi="Times New Roman" w:cs="Times New Roman"/>
          <w:b/>
          <w:bCs/>
          <w:color w:val="000000" w:themeColor="text1"/>
          <w:sz w:val="32"/>
          <w:szCs w:val="32"/>
          <w:lang w:val="en-GB"/>
        </w:rPr>
      </w:pPr>
    </w:p>
    <w:p w14:paraId="46A86FA3" w14:textId="77777777" w:rsidR="004E60CA" w:rsidRDefault="009F0968" w:rsidP="009F0968">
      <w:pPr>
        <w:spacing w:after="0" w:line="276" w:lineRule="auto"/>
        <w:jc w:val="center"/>
        <w:rPr>
          <w:rFonts w:ascii="Times New Roman" w:eastAsia="Times New Roman" w:hAnsi="Times New Roman" w:cs="Times New Roman"/>
          <w:b/>
          <w:bCs/>
          <w:color w:val="000000" w:themeColor="text1"/>
          <w:sz w:val="32"/>
          <w:szCs w:val="32"/>
          <w:lang w:val="en-GB"/>
        </w:rPr>
      </w:pPr>
      <w:r w:rsidRPr="00D76771">
        <w:rPr>
          <w:rFonts w:ascii="Times New Roman" w:eastAsia="Times New Roman" w:hAnsi="Times New Roman" w:cs="Times New Roman"/>
          <w:b/>
          <w:bCs/>
          <w:color w:val="000000" w:themeColor="text1"/>
          <w:sz w:val="28"/>
          <w:szCs w:val="28"/>
          <w:lang w:val="en-GB"/>
        </w:rPr>
        <w:t>Sarah El-Khishin</w:t>
      </w:r>
      <w:r w:rsidRPr="00D76771">
        <w:rPr>
          <w:rStyle w:val="FootnoteReference"/>
          <w:rFonts w:ascii="Times New Roman" w:eastAsia="Times New Roman" w:hAnsi="Times New Roman" w:cs="Times New Roman"/>
          <w:b/>
          <w:bCs/>
          <w:color w:val="000000" w:themeColor="text1"/>
          <w:sz w:val="28"/>
          <w:szCs w:val="28"/>
          <w:lang w:val="en-GB"/>
        </w:rPr>
        <w:footnoteReference w:id="2"/>
      </w:r>
      <w:r w:rsidRPr="00D76771">
        <w:rPr>
          <w:rFonts w:ascii="Times New Roman" w:eastAsia="Times New Roman" w:hAnsi="Times New Roman" w:cs="Times New Roman"/>
          <w:b/>
          <w:bCs/>
          <w:color w:val="000000" w:themeColor="text1"/>
          <w:sz w:val="28"/>
          <w:szCs w:val="28"/>
          <w:lang w:val="en-GB"/>
        </w:rPr>
        <w:t xml:space="preserve"> and Mohamed Rashwan</w:t>
      </w:r>
      <w:r w:rsidRPr="00D76771">
        <w:rPr>
          <w:rStyle w:val="FootnoteReference"/>
          <w:rFonts w:ascii="Times New Roman" w:eastAsia="Times New Roman" w:hAnsi="Times New Roman" w:cs="Times New Roman"/>
          <w:b/>
          <w:bCs/>
          <w:color w:val="000000" w:themeColor="text1"/>
          <w:sz w:val="28"/>
          <w:szCs w:val="28"/>
          <w:lang w:val="en-GB"/>
        </w:rPr>
        <w:footnoteReference w:id="3"/>
      </w:r>
    </w:p>
    <w:p w14:paraId="133DDF17" w14:textId="77777777" w:rsidR="002F37FD" w:rsidRDefault="002F37FD" w:rsidP="009F0968">
      <w:pPr>
        <w:spacing w:after="0" w:line="276" w:lineRule="auto"/>
        <w:jc w:val="center"/>
        <w:rPr>
          <w:rFonts w:ascii="Times New Roman" w:eastAsia="Times New Roman" w:hAnsi="Times New Roman" w:cs="Times New Roman"/>
          <w:b/>
          <w:bCs/>
          <w:color w:val="000000" w:themeColor="text1"/>
          <w:sz w:val="32"/>
          <w:szCs w:val="32"/>
          <w:lang w:val="en-GB"/>
        </w:rPr>
      </w:pPr>
    </w:p>
    <w:p w14:paraId="021AE9E5" w14:textId="77777777" w:rsidR="002F37FD" w:rsidRDefault="002F37FD" w:rsidP="009F0968">
      <w:pPr>
        <w:spacing w:after="0" w:line="276" w:lineRule="auto"/>
        <w:jc w:val="center"/>
        <w:rPr>
          <w:rFonts w:ascii="Times New Roman" w:eastAsia="Times New Roman" w:hAnsi="Times New Roman" w:cs="Times New Roman"/>
          <w:b/>
          <w:bCs/>
          <w:color w:val="000000" w:themeColor="text1"/>
          <w:sz w:val="32"/>
          <w:szCs w:val="32"/>
          <w:lang w:val="en-GB"/>
        </w:rPr>
      </w:pPr>
    </w:p>
    <w:p w14:paraId="54713A58" w14:textId="59F2056A" w:rsidR="002F37FD" w:rsidRDefault="002F37FD" w:rsidP="009F0968">
      <w:pPr>
        <w:spacing w:after="0" w:line="276" w:lineRule="auto"/>
        <w:jc w:val="center"/>
        <w:rPr>
          <w:rFonts w:ascii="Times New Roman" w:eastAsia="Times New Roman" w:hAnsi="Times New Roman" w:cs="Times New Roman"/>
          <w:b/>
          <w:bCs/>
          <w:color w:val="000000" w:themeColor="text1"/>
          <w:sz w:val="24"/>
          <w:szCs w:val="24"/>
          <w:lang w:val="en-GB"/>
        </w:rPr>
      </w:pPr>
      <w:r w:rsidRPr="002F37FD">
        <w:rPr>
          <w:rFonts w:ascii="Times New Roman" w:eastAsia="Times New Roman" w:hAnsi="Times New Roman" w:cs="Times New Roman"/>
          <w:b/>
          <w:bCs/>
          <w:color w:val="000000" w:themeColor="text1"/>
          <w:sz w:val="24"/>
          <w:szCs w:val="24"/>
          <w:lang w:val="en-GB"/>
        </w:rPr>
        <w:t>Working paper submitted to ERF 28</w:t>
      </w:r>
      <w:r w:rsidRPr="002F37FD">
        <w:rPr>
          <w:rFonts w:ascii="Times New Roman" w:eastAsia="Times New Roman" w:hAnsi="Times New Roman" w:cs="Times New Roman"/>
          <w:b/>
          <w:bCs/>
          <w:color w:val="000000" w:themeColor="text1"/>
          <w:sz w:val="24"/>
          <w:szCs w:val="24"/>
          <w:vertAlign w:val="superscript"/>
          <w:lang w:val="en-GB"/>
        </w:rPr>
        <w:t>th</w:t>
      </w:r>
      <w:r w:rsidRPr="002F37FD">
        <w:rPr>
          <w:rFonts w:ascii="Times New Roman" w:eastAsia="Times New Roman" w:hAnsi="Times New Roman" w:cs="Times New Roman"/>
          <w:b/>
          <w:bCs/>
          <w:color w:val="000000" w:themeColor="text1"/>
          <w:sz w:val="24"/>
          <w:szCs w:val="24"/>
          <w:lang w:val="en-GB"/>
        </w:rPr>
        <w:t xml:space="preserve"> Annual Conference</w:t>
      </w:r>
    </w:p>
    <w:p w14:paraId="43345DF5" w14:textId="6CCB7690" w:rsidR="002F37FD" w:rsidRPr="008E78F6" w:rsidRDefault="002F37FD" w:rsidP="009F0968">
      <w:pPr>
        <w:spacing w:after="0" w:line="276" w:lineRule="auto"/>
        <w:jc w:val="center"/>
        <w:rPr>
          <w:rFonts w:ascii="Times New Roman" w:eastAsia="Times New Roman" w:hAnsi="Times New Roman" w:cs="Times New Roman"/>
          <w:b/>
          <w:bCs/>
          <w:color w:val="FF0000"/>
          <w:sz w:val="24"/>
          <w:szCs w:val="24"/>
          <w:lang w:val="en-GB"/>
        </w:rPr>
      </w:pPr>
      <w:r w:rsidRPr="008E78F6">
        <w:rPr>
          <w:rFonts w:ascii="Times New Roman" w:eastAsia="Times New Roman" w:hAnsi="Times New Roman" w:cs="Times New Roman"/>
          <w:b/>
          <w:bCs/>
          <w:color w:val="FF0000"/>
          <w:sz w:val="24"/>
          <w:szCs w:val="24"/>
          <w:lang w:val="en-GB"/>
        </w:rPr>
        <w:t>Draft</w:t>
      </w:r>
      <w:r w:rsidR="00B63A61" w:rsidRPr="008E78F6">
        <w:rPr>
          <w:rFonts w:ascii="Times New Roman" w:eastAsia="Times New Roman" w:hAnsi="Times New Roman" w:cs="Times New Roman"/>
          <w:b/>
          <w:bCs/>
          <w:color w:val="FF0000"/>
          <w:sz w:val="24"/>
          <w:szCs w:val="24"/>
          <w:lang w:val="en-GB"/>
        </w:rPr>
        <w:t>, not for Citation</w:t>
      </w:r>
    </w:p>
    <w:p w14:paraId="780950ED" w14:textId="77777777" w:rsidR="004E60CA" w:rsidRDefault="004E60CA">
      <w:pPr>
        <w:rPr>
          <w:rFonts w:ascii="Times New Roman" w:eastAsia="Times New Roman" w:hAnsi="Times New Roman" w:cs="Times New Roman"/>
          <w:b/>
          <w:bCs/>
          <w:color w:val="000000" w:themeColor="text1"/>
          <w:sz w:val="24"/>
          <w:szCs w:val="24"/>
          <w:lang w:val="en-GB"/>
        </w:rPr>
      </w:pPr>
      <w:r w:rsidRPr="002F37FD">
        <w:rPr>
          <w:rFonts w:ascii="Times New Roman" w:eastAsia="Times New Roman" w:hAnsi="Times New Roman" w:cs="Times New Roman"/>
          <w:b/>
          <w:bCs/>
          <w:color w:val="000000" w:themeColor="text1"/>
          <w:sz w:val="24"/>
          <w:szCs w:val="24"/>
          <w:lang w:val="en-GB"/>
        </w:rPr>
        <w:br w:type="page"/>
      </w:r>
    </w:p>
    <w:p w14:paraId="22CEABA8" w14:textId="77777777" w:rsidR="004E60CA" w:rsidRPr="00032DA6" w:rsidRDefault="004E60CA" w:rsidP="004E60CA">
      <w:pPr>
        <w:spacing w:after="0" w:line="276" w:lineRule="auto"/>
        <w:jc w:val="center"/>
        <w:rPr>
          <w:rFonts w:ascii="Times New Roman" w:eastAsia="Times New Roman" w:hAnsi="Times New Roman" w:cs="Times New Roman"/>
          <w:b/>
          <w:bCs/>
          <w:color w:val="000000" w:themeColor="text1"/>
          <w:sz w:val="24"/>
          <w:szCs w:val="24"/>
          <w:lang w:val="en-GB"/>
        </w:rPr>
      </w:pPr>
      <w:r w:rsidRPr="00831FE8">
        <w:rPr>
          <w:rFonts w:ascii="Times New Roman" w:eastAsia="Times New Roman" w:hAnsi="Times New Roman" w:cs="Times New Roman"/>
          <w:b/>
          <w:bCs/>
          <w:color w:val="000000" w:themeColor="text1"/>
          <w:sz w:val="28"/>
          <w:szCs w:val="28"/>
          <w:lang w:val="en-GB"/>
        </w:rPr>
        <w:t>What determines housing prices in Egypt?</w:t>
      </w:r>
    </w:p>
    <w:p w14:paraId="13ED1310" w14:textId="1217BEBE" w:rsidR="00106028" w:rsidRPr="00032DA6" w:rsidRDefault="00106028" w:rsidP="00DE108C">
      <w:pPr>
        <w:pStyle w:val="Heading1"/>
        <w:spacing w:line="276" w:lineRule="auto"/>
        <w:rPr>
          <w:lang w:val="en-GB"/>
        </w:rPr>
      </w:pPr>
      <w:bookmarkStart w:id="0" w:name="_Toc91107864"/>
      <w:bookmarkStart w:id="1" w:name="_Toc91438030"/>
      <w:r w:rsidRPr="00032DA6">
        <w:rPr>
          <w:lang w:val="en-GB"/>
        </w:rPr>
        <w:t>Abstract</w:t>
      </w:r>
      <w:bookmarkEnd w:id="1"/>
      <w:r w:rsidR="000628FD" w:rsidRPr="00032DA6">
        <w:rPr>
          <w:lang w:val="en-GB"/>
        </w:rPr>
        <w:t xml:space="preserve"> </w:t>
      </w:r>
      <w:bookmarkEnd w:id="0"/>
    </w:p>
    <w:p w14:paraId="0B1D76D3" w14:textId="6E65928A" w:rsidR="00195568" w:rsidRPr="00C248DB" w:rsidRDefault="00732FFA" w:rsidP="00C248DB">
      <w:pPr>
        <w:spacing w:line="276" w:lineRule="auto"/>
        <w:jc w:val="both"/>
        <w:rPr>
          <w:rFonts w:cstheme="majorBidi"/>
          <w:color w:val="FF0000"/>
          <w:shd w:val="clear" w:color="auto" w:fill="FFFFFF"/>
          <w:lang w:val="en-GB"/>
        </w:rPr>
      </w:pPr>
      <w:r>
        <w:rPr>
          <w:rFonts w:ascii="Times New Roman" w:eastAsia="Times New Roman" w:hAnsi="Times New Roman" w:cs="Times New Roman"/>
          <w:color w:val="000000" w:themeColor="text1"/>
          <w:lang w:val="en-GB"/>
        </w:rPr>
        <w:t>The Egyptian</w:t>
      </w:r>
      <w:r w:rsidR="00BA08F2" w:rsidRPr="00032DA6">
        <w:rPr>
          <w:rFonts w:ascii="Times New Roman" w:eastAsia="Times New Roman" w:hAnsi="Times New Roman" w:cs="Times New Roman"/>
          <w:color w:val="000000" w:themeColor="text1"/>
          <w:lang w:val="en-GB"/>
        </w:rPr>
        <w:t xml:space="preserve"> housing market</w:t>
      </w:r>
      <w:r w:rsidR="0061511A">
        <w:rPr>
          <w:rFonts w:ascii="Times New Roman" w:eastAsia="Times New Roman" w:hAnsi="Times New Roman" w:cs="Times New Roman"/>
          <w:color w:val="000000" w:themeColor="text1"/>
          <w:lang w:val="en-GB"/>
        </w:rPr>
        <w:t xml:space="preserve"> is a very dynamic market </w:t>
      </w:r>
      <w:r w:rsidR="001046C3">
        <w:rPr>
          <w:rFonts w:ascii="Times New Roman" w:eastAsia="Times New Roman" w:hAnsi="Times New Roman" w:cs="Times New Roman"/>
          <w:color w:val="000000" w:themeColor="text1"/>
          <w:lang w:val="en-GB"/>
        </w:rPr>
        <w:t>and has</w:t>
      </w:r>
      <w:r w:rsidR="009C324C">
        <w:rPr>
          <w:rFonts w:ascii="Times New Roman" w:eastAsia="Times New Roman" w:hAnsi="Times New Roman" w:cs="Times New Roman"/>
          <w:color w:val="000000" w:themeColor="text1"/>
          <w:lang w:val="en-GB"/>
        </w:rPr>
        <w:t xml:space="preserve"> many interactions with</w:t>
      </w:r>
      <w:r w:rsidR="00AD6E25">
        <w:rPr>
          <w:rFonts w:ascii="Times New Roman" w:eastAsia="Times New Roman" w:hAnsi="Times New Roman" w:cs="Times New Roman"/>
          <w:color w:val="000000" w:themeColor="text1"/>
          <w:lang w:val="en-GB"/>
        </w:rPr>
        <w:t xml:space="preserve"> monetary and financial markets</w:t>
      </w:r>
      <w:r w:rsidR="001046C3">
        <w:rPr>
          <w:rFonts w:ascii="Times New Roman" w:eastAsia="Times New Roman" w:hAnsi="Times New Roman" w:cs="Times New Roman"/>
          <w:color w:val="000000" w:themeColor="text1"/>
          <w:lang w:val="en-GB"/>
        </w:rPr>
        <w:t xml:space="preserve"> in the economy</w:t>
      </w:r>
      <w:r w:rsidR="009C324C">
        <w:rPr>
          <w:rFonts w:ascii="Times New Roman" w:eastAsia="Times New Roman" w:hAnsi="Times New Roman" w:cs="Times New Roman"/>
          <w:color w:val="000000" w:themeColor="text1"/>
          <w:lang w:val="en-GB"/>
        </w:rPr>
        <w:t>.</w:t>
      </w:r>
      <w:r w:rsidR="00C83928">
        <w:rPr>
          <w:rFonts w:ascii="Times New Roman" w:eastAsia="Times New Roman" w:hAnsi="Times New Roman" w:cs="Times New Roman"/>
          <w:color w:val="000000" w:themeColor="text1"/>
          <w:lang w:val="en-GB"/>
        </w:rPr>
        <w:t xml:space="preserve"> </w:t>
      </w:r>
      <w:r w:rsidR="00AD6E25">
        <w:rPr>
          <w:rFonts w:cstheme="majorBidi"/>
          <w:lang w:val="en-GB"/>
        </w:rPr>
        <w:t>In</w:t>
      </w:r>
      <w:r w:rsidR="00BA08F2" w:rsidRPr="00032DA6">
        <w:rPr>
          <w:rFonts w:cstheme="majorBidi"/>
          <w:lang w:val="en-GB"/>
        </w:rPr>
        <w:t xml:space="preserve"> this </w:t>
      </w:r>
      <w:r w:rsidR="00B47F8F" w:rsidRPr="00032DA6">
        <w:rPr>
          <w:rFonts w:cstheme="majorBidi"/>
          <w:lang w:val="en-GB"/>
        </w:rPr>
        <w:t>paper</w:t>
      </w:r>
      <w:r w:rsidR="00BA08F2" w:rsidRPr="00032DA6">
        <w:rPr>
          <w:rFonts w:cstheme="majorBidi"/>
          <w:lang w:val="en-GB"/>
        </w:rPr>
        <w:t>, we investigate the macro-financial fundamentals</w:t>
      </w:r>
      <w:r w:rsidR="00AD6E25">
        <w:rPr>
          <w:rFonts w:cstheme="majorBidi"/>
          <w:lang w:val="en-GB"/>
        </w:rPr>
        <w:t xml:space="preserve">, </w:t>
      </w:r>
      <w:r w:rsidR="00BA08F2" w:rsidRPr="00032DA6">
        <w:rPr>
          <w:rFonts w:cstheme="majorBidi"/>
          <w:lang w:val="en-GB"/>
        </w:rPr>
        <w:t xml:space="preserve">institutional </w:t>
      </w:r>
      <w:r w:rsidR="00AD6E25">
        <w:rPr>
          <w:rFonts w:cstheme="majorBidi"/>
          <w:lang w:val="en-GB"/>
        </w:rPr>
        <w:t>as well as</w:t>
      </w:r>
      <w:r w:rsidR="00BA08F2" w:rsidRPr="00032DA6">
        <w:rPr>
          <w:rFonts w:cstheme="majorBidi"/>
          <w:lang w:val="en-GB"/>
        </w:rPr>
        <w:t xml:space="preserve"> </w:t>
      </w:r>
      <w:r w:rsidR="00AD6E25" w:rsidRPr="00032DA6">
        <w:rPr>
          <w:rFonts w:cstheme="majorBidi"/>
          <w:lang w:val="en-GB"/>
        </w:rPr>
        <w:t xml:space="preserve">specific behavioural and cultural factors </w:t>
      </w:r>
      <w:r w:rsidR="00B958AD">
        <w:rPr>
          <w:rFonts w:cstheme="majorBidi"/>
          <w:lang w:val="en-GB"/>
        </w:rPr>
        <w:t>that are argued</w:t>
      </w:r>
      <w:r w:rsidR="00AD6E25">
        <w:rPr>
          <w:rFonts w:cstheme="majorBidi"/>
          <w:lang w:val="en-GB"/>
        </w:rPr>
        <w:t xml:space="preserve"> to</w:t>
      </w:r>
      <w:r w:rsidR="00AD6E25" w:rsidRPr="00032DA6">
        <w:rPr>
          <w:rFonts w:cstheme="majorBidi"/>
          <w:lang w:val="en-GB"/>
        </w:rPr>
        <w:t xml:space="preserve"> play a role in </w:t>
      </w:r>
      <w:r w:rsidR="00AD6E25">
        <w:rPr>
          <w:rFonts w:cstheme="majorBidi"/>
          <w:lang w:val="en-GB"/>
        </w:rPr>
        <w:t>housing demand</w:t>
      </w:r>
      <w:r w:rsidR="00AD6E25" w:rsidRPr="00032DA6">
        <w:rPr>
          <w:rFonts w:cstheme="majorBidi"/>
          <w:lang w:val="en-GB"/>
        </w:rPr>
        <w:t xml:space="preserve"> </w:t>
      </w:r>
      <w:r w:rsidR="00AD6E25">
        <w:rPr>
          <w:rFonts w:cstheme="majorBidi"/>
          <w:lang w:val="en-GB"/>
        </w:rPr>
        <w:t xml:space="preserve">and prices </w:t>
      </w:r>
      <w:r w:rsidR="00AD6E25" w:rsidRPr="00032DA6">
        <w:rPr>
          <w:rFonts w:cstheme="majorBidi"/>
          <w:lang w:val="en-GB"/>
        </w:rPr>
        <w:t>in Egypt</w:t>
      </w:r>
      <w:r w:rsidR="00AD6E25">
        <w:rPr>
          <w:rFonts w:cstheme="majorBidi"/>
          <w:lang w:val="en-GB"/>
        </w:rPr>
        <w:t>. We design a field survey for a representative sample of household homebuyer</w:t>
      </w:r>
      <w:r w:rsidR="00D45E0E">
        <w:rPr>
          <w:rFonts w:cstheme="majorBidi"/>
          <w:lang w:val="en-GB"/>
        </w:rPr>
        <w:t>s</w:t>
      </w:r>
      <w:r w:rsidR="00AD6E25">
        <w:rPr>
          <w:rFonts w:cstheme="majorBidi"/>
          <w:lang w:val="en-GB"/>
        </w:rPr>
        <w:t xml:space="preserve"> and sellers as well as real estate developers and brokers</w:t>
      </w:r>
      <w:r w:rsidR="009F6043">
        <w:rPr>
          <w:rFonts w:cstheme="majorBidi"/>
          <w:lang w:val="en-GB"/>
        </w:rPr>
        <w:t xml:space="preserve">. </w:t>
      </w:r>
      <w:r w:rsidR="00D53969">
        <w:rPr>
          <w:rFonts w:cstheme="majorBidi"/>
          <w:lang w:val="en-GB"/>
        </w:rPr>
        <w:t xml:space="preserve">We </w:t>
      </w:r>
      <w:r w:rsidR="00D45E0E">
        <w:rPr>
          <w:rFonts w:cstheme="majorBidi"/>
          <w:lang w:val="en-GB"/>
        </w:rPr>
        <w:t xml:space="preserve">then run </w:t>
      </w:r>
      <w:r w:rsidR="00D53969" w:rsidRPr="003631EA">
        <w:rPr>
          <w:rFonts w:cstheme="majorBidi"/>
          <w:lang w:val="en-GB"/>
        </w:rPr>
        <w:t xml:space="preserve">an Ordinal Logistic Regression Model (OLM) based on the results of the field survey and </w:t>
      </w:r>
      <w:r w:rsidR="00D53969">
        <w:rPr>
          <w:rFonts w:cstheme="majorBidi"/>
          <w:lang w:val="en-GB"/>
        </w:rPr>
        <w:t>a</w:t>
      </w:r>
      <w:r w:rsidR="00D53969" w:rsidRPr="003631EA">
        <w:rPr>
          <w:rFonts w:cstheme="majorBidi"/>
          <w:lang w:val="en-GB"/>
        </w:rPr>
        <w:t xml:space="preserve"> constructed housing price index.</w:t>
      </w:r>
      <w:r w:rsidR="00D53969">
        <w:rPr>
          <w:rFonts w:cstheme="majorBidi"/>
          <w:lang w:val="en-GB"/>
        </w:rPr>
        <w:t xml:space="preserve"> </w:t>
      </w:r>
      <w:r w:rsidR="00747C55">
        <w:rPr>
          <w:rFonts w:cstheme="majorBidi"/>
          <w:lang w:val="en-GB"/>
        </w:rPr>
        <w:t>Analysis</w:t>
      </w:r>
      <w:r w:rsidR="00D53969">
        <w:rPr>
          <w:rFonts w:cstheme="majorBidi"/>
          <w:lang w:val="en-GB"/>
        </w:rPr>
        <w:t xml:space="preserve"> reveal many important </w:t>
      </w:r>
      <w:r w:rsidR="00F014AD">
        <w:rPr>
          <w:rFonts w:cstheme="majorBidi"/>
          <w:lang w:val="en-GB"/>
        </w:rPr>
        <w:t>findings, firstly,</w:t>
      </w:r>
      <w:r w:rsidR="009B3188">
        <w:rPr>
          <w:rFonts w:cstheme="majorBidi"/>
          <w:lang w:val="en-GB"/>
        </w:rPr>
        <w:t xml:space="preserve"> l</w:t>
      </w:r>
      <w:r w:rsidR="009B3188" w:rsidRPr="00F02641">
        <w:rPr>
          <w:rFonts w:cstheme="majorBidi"/>
          <w:lang w:val="en-GB"/>
        </w:rPr>
        <w:t>and construction and licensing costs</w:t>
      </w:r>
      <w:r w:rsidR="003A17C4">
        <w:rPr>
          <w:rFonts w:cstheme="majorBidi"/>
          <w:lang w:val="en-GB"/>
        </w:rPr>
        <w:t xml:space="preserve">, </w:t>
      </w:r>
      <w:r w:rsidR="000B24ED">
        <w:rPr>
          <w:rFonts w:cstheme="majorBidi"/>
          <w:lang w:val="en-GB"/>
        </w:rPr>
        <w:t>government</w:t>
      </w:r>
      <w:r w:rsidR="003A17C4" w:rsidRPr="00F02641">
        <w:rPr>
          <w:rFonts w:cstheme="majorBidi"/>
        </w:rPr>
        <w:t xml:space="preserve"> real estate and housing policies </w:t>
      </w:r>
      <w:r w:rsidR="009B3188" w:rsidRPr="00F02641">
        <w:rPr>
          <w:rFonts w:cstheme="majorBidi"/>
          <w:lang w:val="en-GB"/>
        </w:rPr>
        <w:t xml:space="preserve">are </w:t>
      </w:r>
      <w:r w:rsidR="00291CAD">
        <w:rPr>
          <w:rFonts w:cstheme="majorBidi"/>
          <w:lang w:val="en-GB"/>
        </w:rPr>
        <w:t xml:space="preserve">all </w:t>
      </w:r>
      <w:r w:rsidR="009B3188" w:rsidRPr="00F02641">
        <w:rPr>
          <w:rFonts w:cstheme="majorBidi"/>
          <w:lang w:val="en-GB"/>
        </w:rPr>
        <w:t xml:space="preserve">perceived as main determinants of housing prices </w:t>
      </w:r>
      <w:r w:rsidR="009B3188" w:rsidRPr="00B61C25">
        <w:rPr>
          <w:rFonts w:cstheme="majorBidi"/>
          <w:lang w:val="en-GB"/>
        </w:rPr>
        <w:t>in the Egyptian market</w:t>
      </w:r>
      <w:r w:rsidR="00725B4B" w:rsidRPr="00B61C25">
        <w:rPr>
          <w:rFonts w:cstheme="majorBidi"/>
        </w:rPr>
        <w:t xml:space="preserve">. </w:t>
      </w:r>
      <w:r w:rsidR="00FA5C60" w:rsidRPr="00B61C25">
        <w:rPr>
          <w:rFonts w:cstheme="majorBidi"/>
        </w:rPr>
        <w:t xml:space="preserve">On the contrary, </w:t>
      </w:r>
      <w:r w:rsidR="00725B4B" w:rsidRPr="00B61C25">
        <w:rPr>
          <w:rFonts w:cstheme="majorBidi"/>
        </w:rPr>
        <w:t>macro</w:t>
      </w:r>
      <w:r w:rsidR="00FA5C60" w:rsidRPr="00B61C25">
        <w:rPr>
          <w:rFonts w:cstheme="majorBidi"/>
        </w:rPr>
        <w:t>-</w:t>
      </w:r>
      <w:r w:rsidR="00666063" w:rsidRPr="00B61C25">
        <w:rPr>
          <w:rFonts w:cstheme="majorBidi"/>
        </w:rPr>
        <w:t>financial</w:t>
      </w:r>
      <w:r w:rsidR="00725B4B" w:rsidRPr="00B61C25">
        <w:rPr>
          <w:rFonts w:cstheme="majorBidi"/>
        </w:rPr>
        <w:t xml:space="preserve"> variables, </w:t>
      </w:r>
      <w:r w:rsidR="00FA5C60" w:rsidRPr="00B61C25">
        <w:rPr>
          <w:rFonts w:cstheme="majorBidi"/>
        </w:rPr>
        <w:t xml:space="preserve">namely </w:t>
      </w:r>
      <w:r w:rsidR="00725B4B" w:rsidRPr="00B61C25">
        <w:rPr>
          <w:rFonts w:cstheme="majorBidi"/>
          <w:lang w:val="en-GB"/>
        </w:rPr>
        <w:t>i</w:t>
      </w:r>
      <w:r w:rsidR="00725B4B" w:rsidRPr="00B61C25">
        <w:rPr>
          <w:rFonts w:cstheme="majorBidi"/>
          <w:shd w:val="clear" w:color="auto" w:fill="FFFFFF"/>
          <w:lang w:val="en-GB"/>
        </w:rPr>
        <w:t xml:space="preserve">nflation and interest rates were </w:t>
      </w:r>
      <w:r w:rsidR="00001679" w:rsidRPr="00B61C25">
        <w:rPr>
          <w:rFonts w:cstheme="majorBidi"/>
          <w:shd w:val="clear" w:color="auto" w:fill="FFFFFF"/>
          <w:lang w:val="en-GB"/>
        </w:rPr>
        <w:t>not</w:t>
      </w:r>
      <w:r w:rsidR="00725B4B" w:rsidRPr="00B61C25">
        <w:rPr>
          <w:rFonts w:cstheme="majorBidi"/>
          <w:shd w:val="clear" w:color="auto" w:fill="FFFFFF"/>
          <w:lang w:val="en-GB"/>
        </w:rPr>
        <w:t xml:space="preserve"> significant</w:t>
      </w:r>
      <w:r w:rsidR="00001679" w:rsidRPr="00B61C25">
        <w:rPr>
          <w:rFonts w:cstheme="majorBidi"/>
          <w:shd w:val="clear" w:color="auto" w:fill="FFFFFF"/>
          <w:lang w:val="en-GB"/>
        </w:rPr>
        <w:t xml:space="preserve"> </w:t>
      </w:r>
      <w:r w:rsidR="00666063" w:rsidRPr="00B61C25">
        <w:rPr>
          <w:rFonts w:cstheme="majorBidi"/>
          <w:shd w:val="clear" w:color="auto" w:fill="FFFFFF"/>
          <w:lang w:val="en-GB"/>
        </w:rPr>
        <w:t>indicating a possib</w:t>
      </w:r>
      <w:r w:rsidR="006E65E9" w:rsidRPr="00B61C25">
        <w:rPr>
          <w:rFonts w:cstheme="majorBidi"/>
          <w:shd w:val="clear" w:color="auto" w:fill="FFFFFF"/>
          <w:lang w:val="en-GB"/>
        </w:rPr>
        <w:t>ly</w:t>
      </w:r>
      <w:r w:rsidR="00666063" w:rsidRPr="00B61C25">
        <w:rPr>
          <w:rFonts w:cstheme="majorBidi"/>
          <w:shd w:val="clear" w:color="auto" w:fill="FFFFFF"/>
          <w:lang w:val="en-GB"/>
        </w:rPr>
        <w:t xml:space="preserve"> </w:t>
      </w:r>
      <w:r w:rsidR="006E65E9" w:rsidRPr="00B61C25">
        <w:rPr>
          <w:rFonts w:cstheme="majorBidi"/>
          <w:shd w:val="clear" w:color="auto" w:fill="FFFFFF"/>
          <w:lang w:val="en-GB"/>
        </w:rPr>
        <w:t>weak</w:t>
      </w:r>
      <w:r w:rsidR="00725B4B" w:rsidRPr="00B61C25">
        <w:rPr>
          <w:rFonts w:cstheme="majorBidi"/>
          <w:shd w:val="clear" w:color="auto" w:fill="FFFFFF"/>
          <w:lang w:val="en-GB"/>
        </w:rPr>
        <w:t xml:space="preserve"> monetary transmission mechanism through the theoretically explained asset-price </w:t>
      </w:r>
      <w:r w:rsidR="009860CE" w:rsidRPr="00B61C25">
        <w:rPr>
          <w:rFonts w:cstheme="majorBidi"/>
          <w:shd w:val="clear" w:color="auto" w:fill="FFFFFF"/>
          <w:lang w:val="en-GB"/>
        </w:rPr>
        <w:t>channel</w:t>
      </w:r>
      <w:r w:rsidR="00725B4B" w:rsidRPr="00B61C25">
        <w:rPr>
          <w:rFonts w:cstheme="majorBidi"/>
          <w:lang w:val="en-GB"/>
        </w:rPr>
        <w:t>.</w:t>
      </w:r>
      <w:r w:rsidR="00670943" w:rsidRPr="00B61C25">
        <w:rPr>
          <w:rFonts w:cstheme="majorBidi"/>
          <w:lang w:val="en-GB"/>
        </w:rPr>
        <w:t xml:space="preserve"> </w:t>
      </w:r>
      <w:r w:rsidR="00B05560" w:rsidRPr="00B61C25">
        <w:rPr>
          <w:rFonts w:cstheme="majorBidi"/>
          <w:lang w:val="en-GB"/>
        </w:rPr>
        <w:t>Results also affirm that h</w:t>
      </w:r>
      <w:r w:rsidR="00CD23F4" w:rsidRPr="00B61C25">
        <w:rPr>
          <w:rFonts w:cstheme="majorBidi"/>
          <w:lang w:val="en-GB"/>
        </w:rPr>
        <w:t>ousing investment is perceived by Egyptians as</w:t>
      </w:r>
      <w:r w:rsidR="001B2261" w:rsidRPr="00B61C25">
        <w:rPr>
          <w:rFonts w:cstheme="majorBidi"/>
          <w:lang w:val="en-GB"/>
        </w:rPr>
        <w:t xml:space="preserve"> the safest form of investment </w:t>
      </w:r>
      <w:r w:rsidR="00565595" w:rsidRPr="00B61C25">
        <w:rPr>
          <w:rFonts w:cstheme="majorBidi"/>
          <w:lang w:val="en-GB"/>
        </w:rPr>
        <w:t xml:space="preserve">during uncertainty shocks and </w:t>
      </w:r>
      <w:r w:rsidR="00CD23F4" w:rsidRPr="00B61C25">
        <w:rPr>
          <w:rFonts w:cstheme="majorBidi"/>
          <w:lang w:val="en-GB"/>
        </w:rPr>
        <w:t xml:space="preserve">good hedge against inflation and other financial </w:t>
      </w:r>
      <w:r w:rsidR="00565595" w:rsidRPr="00B61C25">
        <w:rPr>
          <w:rFonts w:cstheme="majorBidi"/>
          <w:lang w:val="en-GB"/>
        </w:rPr>
        <w:t>turbulence</w:t>
      </w:r>
      <w:r w:rsidR="00CD23F4" w:rsidRPr="00B61C25">
        <w:rPr>
          <w:rFonts w:cstheme="majorBidi"/>
          <w:shd w:val="clear" w:color="auto" w:fill="FFFFFF"/>
          <w:lang w:val="en-GB"/>
        </w:rPr>
        <w:t xml:space="preserve">. </w:t>
      </w:r>
      <w:r w:rsidR="00195568" w:rsidRPr="00B61C25">
        <w:rPr>
          <w:rFonts w:cstheme="majorBidi"/>
          <w:shd w:val="clear" w:color="auto" w:fill="FFFFFF"/>
          <w:lang w:val="en-GB"/>
        </w:rPr>
        <w:t xml:space="preserve">Finally, </w:t>
      </w:r>
      <w:r w:rsidR="00C248DB" w:rsidRPr="00B61C25">
        <w:rPr>
          <w:rFonts w:cstheme="majorBidi"/>
          <w:shd w:val="clear" w:color="auto" w:fill="FFFFFF"/>
          <w:lang w:val="en-GB"/>
        </w:rPr>
        <w:t xml:space="preserve">findings </w:t>
      </w:r>
      <w:r w:rsidR="00195568" w:rsidRPr="00B61C25">
        <w:rPr>
          <w:rFonts w:cstheme="majorBidi"/>
          <w:shd w:val="clear" w:color="auto" w:fill="FFFFFF"/>
          <w:lang w:val="en-GB"/>
        </w:rPr>
        <w:t xml:space="preserve">reveal a </w:t>
      </w:r>
      <w:r w:rsidR="00C248DB" w:rsidRPr="00B61C25">
        <w:rPr>
          <w:rFonts w:cstheme="majorBidi"/>
          <w:shd w:val="clear" w:color="auto" w:fill="FFFFFF"/>
          <w:lang w:val="en-GB"/>
        </w:rPr>
        <w:t xml:space="preserve">huge </w:t>
      </w:r>
      <w:r w:rsidR="00195568" w:rsidRPr="00B61C25">
        <w:rPr>
          <w:rFonts w:cstheme="majorBidi"/>
          <w:shd w:val="clear" w:color="auto" w:fill="FFFFFF"/>
          <w:lang w:val="en-GB"/>
        </w:rPr>
        <w:t xml:space="preserve">discrepancy in </w:t>
      </w:r>
      <w:r w:rsidR="00952D13" w:rsidRPr="00B61C25">
        <w:rPr>
          <w:rFonts w:cstheme="majorBidi"/>
          <w:shd w:val="clear" w:color="auto" w:fill="FFFFFF"/>
          <w:lang w:val="en-GB"/>
        </w:rPr>
        <w:t>information and data on</w:t>
      </w:r>
      <w:r w:rsidR="00195568" w:rsidRPr="00B61C25">
        <w:rPr>
          <w:rFonts w:cstheme="majorBidi"/>
          <w:shd w:val="clear" w:color="auto" w:fill="FFFFFF"/>
          <w:lang w:val="en-GB"/>
        </w:rPr>
        <w:t xml:space="preserve"> housing </w:t>
      </w:r>
      <w:r w:rsidR="00952D13" w:rsidRPr="00B61C25">
        <w:rPr>
          <w:rFonts w:cstheme="majorBidi"/>
          <w:shd w:val="clear" w:color="auto" w:fill="FFFFFF"/>
          <w:lang w:val="en-GB"/>
        </w:rPr>
        <w:t>dynamics</w:t>
      </w:r>
      <w:r w:rsidR="00195568" w:rsidRPr="00B61C25">
        <w:rPr>
          <w:rFonts w:cstheme="majorBidi"/>
          <w:shd w:val="clear" w:color="auto" w:fill="FFFFFF"/>
          <w:lang w:val="en-GB"/>
        </w:rPr>
        <w:t xml:space="preserve"> and expectations across the sampled groups, households and Developers &amp; Brokers. </w:t>
      </w:r>
      <w:r w:rsidR="00195568" w:rsidRPr="00B61C25">
        <w:rPr>
          <w:rFonts w:cstheme="majorBidi"/>
          <w:lang w:val="en-GB"/>
        </w:rPr>
        <w:t xml:space="preserve">Lack of information </w:t>
      </w:r>
      <w:r w:rsidR="0081500A" w:rsidRPr="00B61C25">
        <w:rPr>
          <w:rFonts w:cstheme="majorBidi"/>
          <w:lang w:val="en-GB"/>
        </w:rPr>
        <w:t>makes market actors more</w:t>
      </w:r>
      <w:r w:rsidR="00195568" w:rsidRPr="00B61C25">
        <w:rPr>
          <w:rFonts w:cstheme="majorBidi"/>
          <w:lang w:val="en-GB"/>
        </w:rPr>
        <w:t xml:space="preserve"> vulnerable to principal-agent problems and result into asymmetric information moral hazard outcomes</w:t>
      </w:r>
      <w:r w:rsidR="00195568" w:rsidRPr="007777B8">
        <w:rPr>
          <w:rFonts w:cstheme="majorBidi"/>
          <w:lang w:val="en-GB"/>
        </w:rPr>
        <w:t xml:space="preserve">. </w:t>
      </w:r>
      <w:r w:rsidR="0081500A">
        <w:rPr>
          <w:rFonts w:cstheme="majorBidi"/>
          <w:lang w:val="en-GB"/>
        </w:rPr>
        <w:t xml:space="preserve">The above results altogether reinforce the importance of constructing </w:t>
      </w:r>
      <w:r w:rsidR="00195568">
        <w:rPr>
          <w:rFonts w:cstheme="majorBidi"/>
          <w:lang w:val="en-GB"/>
        </w:rPr>
        <w:t>a micro dataset on housing prices in Egypt and constructing a housing price index for the Egyptian market</w:t>
      </w:r>
      <w:r w:rsidR="00B61C25">
        <w:rPr>
          <w:rFonts w:cstheme="majorBidi"/>
          <w:lang w:val="en-GB"/>
        </w:rPr>
        <w:t xml:space="preserve"> as was initiated in this research and planned to be further developed in future research.</w:t>
      </w:r>
    </w:p>
    <w:p w14:paraId="70DDDDE6" w14:textId="3D8A10BA" w:rsidR="00FD0938" w:rsidRPr="00275EA5" w:rsidRDefault="00FD0938" w:rsidP="00FD0938">
      <w:pPr>
        <w:spacing w:after="0" w:line="276" w:lineRule="auto"/>
        <w:rPr>
          <w:rFonts w:ascii="Times New Roman" w:eastAsia="Times New Roman" w:hAnsi="Times New Roman" w:cs="Times New Roman"/>
          <w:b/>
          <w:bCs/>
          <w:color w:val="000000" w:themeColor="text1"/>
          <w:lang w:val="en-GB"/>
        </w:rPr>
      </w:pPr>
      <w:r w:rsidRPr="00275EA5">
        <w:rPr>
          <w:rFonts w:ascii="Times New Roman" w:eastAsia="Times New Roman" w:hAnsi="Times New Roman" w:cs="Times New Roman"/>
          <w:b/>
          <w:bCs/>
          <w:color w:val="000000" w:themeColor="text1"/>
          <w:lang w:val="en-GB"/>
        </w:rPr>
        <w:t>Keywords:</w:t>
      </w:r>
      <w:r w:rsidRPr="00275EA5">
        <w:rPr>
          <w:rFonts w:ascii="Times New Roman" w:eastAsia="Times New Roman" w:hAnsi="Times New Roman" w:cs="Times New Roman"/>
          <w:color w:val="000000" w:themeColor="text1"/>
          <w:lang w:val="en-GB"/>
        </w:rPr>
        <w:t xml:space="preserve"> Housing Demand – House Price Index - Mortgage Finance – Expectations –    Household Behaviour</w:t>
      </w:r>
    </w:p>
    <w:p w14:paraId="0A96A82F" w14:textId="77777777" w:rsidR="00FD0938" w:rsidRPr="00275EA5" w:rsidRDefault="00FD0938" w:rsidP="00FD0938">
      <w:pPr>
        <w:spacing w:after="0" w:line="276" w:lineRule="auto"/>
        <w:rPr>
          <w:rFonts w:ascii="Times New Roman" w:eastAsia="Times New Roman" w:hAnsi="Times New Roman" w:cs="Times New Roman"/>
          <w:b/>
          <w:bCs/>
          <w:color w:val="000000" w:themeColor="text1"/>
          <w:lang w:val="en-GB"/>
        </w:rPr>
      </w:pPr>
      <w:r w:rsidRPr="00275EA5">
        <w:rPr>
          <w:rFonts w:ascii="Times New Roman" w:eastAsia="Times New Roman" w:hAnsi="Times New Roman" w:cs="Times New Roman"/>
          <w:b/>
          <w:bCs/>
          <w:color w:val="000000" w:themeColor="text1"/>
          <w:lang w:val="en-GB"/>
        </w:rPr>
        <w:t xml:space="preserve"> JEL Classification: G1-G5- E7-E44</w:t>
      </w:r>
    </w:p>
    <w:p w14:paraId="50BECEA4" w14:textId="77777777" w:rsidR="00FD0938" w:rsidRDefault="00FD0938" w:rsidP="00FD0938">
      <w:pPr>
        <w:pStyle w:val="Heading1"/>
        <w:spacing w:line="276" w:lineRule="auto"/>
        <w:rPr>
          <w:lang w:val="en-GB"/>
        </w:rPr>
      </w:pPr>
    </w:p>
    <w:p w14:paraId="430A52ED" w14:textId="77777777" w:rsidR="00FD0938" w:rsidRPr="006A104A" w:rsidRDefault="00FD0938" w:rsidP="00FD0938">
      <w:pPr>
        <w:rPr>
          <w:rFonts w:eastAsiaTheme="majorEastAsia" w:cstheme="majorBidi"/>
          <w:b/>
          <w:color w:val="2F5496" w:themeColor="accent1" w:themeShade="BF"/>
          <w:sz w:val="28"/>
          <w:szCs w:val="32"/>
          <w:lang w:val="en-GB"/>
        </w:rPr>
      </w:pPr>
      <w:r w:rsidRPr="006A104A">
        <w:rPr>
          <w:rFonts w:eastAsiaTheme="majorEastAsia" w:cstheme="majorBidi"/>
          <w:b/>
          <w:color w:val="2F5496" w:themeColor="accent1" w:themeShade="BF"/>
          <w:sz w:val="28"/>
          <w:szCs w:val="32"/>
          <w:lang w:val="en-GB"/>
        </w:rPr>
        <w:t>Acknowledgments</w:t>
      </w:r>
    </w:p>
    <w:p w14:paraId="7E1C36C5" w14:textId="0C53D24D" w:rsidR="00FD0938" w:rsidRPr="00E27779" w:rsidRDefault="00FD0938" w:rsidP="00FD0938">
      <w:pPr>
        <w:rPr>
          <w:lang w:val="en-GB"/>
        </w:rPr>
      </w:pPr>
      <w:r>
        <w:rPr>
          <w:lang w:val="en-GB"/>
        </w:rPr>
        <w:t>The authors would like to acknowledge the research support of Israa Lewaa and Sara</w:t>
      </w:r>
      <w:r w:rsidR="00AD6E25">
        <w:rPr>
          <w:lang w:val="en-GB"/>
        </w:rPr>
        <w:t xml:space="preserve"> </w:t>
      </w:r>
      <w:r>
        <w:rPr>
          <w:lang w:val="en-GB"/>
        </w:rPr>
        <w:t>Wael to the analysis of this working paper.</w:t>
      </w:r>
    </w:p>
    <w:p w14:paraId="01697B56" w14:textId="22202F17" w:rsidR="00F825D4" w:rsidRPr="00032DA6" w:rsidRDefault="00F825D4" w:rsidP="00DE108C">
      <w:pPr>
        <w:pStyle w:val="ListParagraph"/>
        <w:spacing w:line="276" w:lineRule="auto"/>
        <w:rPr>
          <w:lang w:val="en-GB"/>
        </w:rPr>
      </w:pPr>
    </w:p>
    <w:p w14:paraId="47BB3ED3" w14:textId="75660AB4" w:rsidR="000628FD" w:rsidRPr="00032DA6" w:rsidRDefault="000628FD" w:rsidP="00DE108C">
      <w:pPr>
        <w:spacing w:line="276" w:lineRule="auto"/>
        <w:rPr>
          <w:lang w:val="en-GB"/>
        </w:rPr>
      </w:pPr>
      <w:r w:rsidRPr="00032DA6">
        <w:rPr>
          <w:lang w:val="en-GB"/>
        </w:rPr>
        <w:br w:type="page"/>
      </w:r>
    </w:p>
    <w:sdt>
      <w:sdtPr>
        <w:rPr>
          <w:rFonts w:asciiTheme="minorHAnsi" w:eastAsiaTheme="minorHAnsi" w:hAnsiTheme="minorHAnsi" w:cstheme="minorBidi"/>
          <w:b w:val="0"/>
          <w:color w:val="auto"/>
          <w:sz w:val="22"/>
          <w:szCs w:val="22"/>
          <w:lang w:val="en-GB"/>
        </w:rPr>
        <w:id w:val="-716055644"/>
        <w:docPartObj>
          <w:docPartGallery w:val="Table of Contents"/>
          <w:docPartUnique/>
        </w:docPartObj>
      </w:sdtPr>
      <w:sdtEndPr>
        <w:rPr>
          <w:rFonts w:asciiTheme="majorBidi" w:hAnsiTheme="majorBidi" w:cstheme="minorHAnsi"/>
          <w:bCs/>
          <w:noProof/>
          <w:sz w:val="20"/>
          <w:szCs w:val="24"/>
        </w:rPr>
      </w:sdtEndPr>
      <w:sdtContent>
        <w:p w14:paraId="3EDEBF9A" w14:textId="18575D74" w:rsidR="00A82D4F" w:rsidRPr="00032DA6" w:rsidRDefault="00A82D4F" w:rsidP="00DE108C">
          <w:pPr>
            <w:pStyle w:val="TOCHeading"/>
            <w:spacing w:line="276" w:lineRule="auto"/>
            <w:rPr>
              <w:lang w:val="en-GB"/>
            </w:rPr>
          </w:pPr>
          <w:r w:rsidRPr="00032DA6">
            <w:rPr>
              <w:lang w:val="en-GB"/>
            </w:rPr>
            <w:t>Table of Contents</w:t>
          </w:r>
        </w:p>
        <w:p w14:paraId="08C26834" w14:textId="65C47D6A" w:rsidR="00976B77" w:rsidRDefault="00A82D4F">
          <w:pPr>
            <w:pStyle w:val="TOC1"/>
            <w:tabs>
              <w:tab w:val="right" w:leader="dot" w:pos="9350"/>
            </w:tabs>
            <w:rPr>
              <w:rFonts w:asciiTheme="minorHAnsi" w:eastAsiaTheme="minorEastAsia" w:hAnsiTheme="minorHAnsi" w:cstheme="minorBidi"/>
              <w:b w:val="0"/>
              <w:bCs w:val="0"/>
              <w:noProof/>
              <w:sz w:val="22"/>
              <w:szCs w:val="22"/>
            </w:rPr>
          </w:pPr>
          <w:r w:rsidRPr="00032DA6">
            <w:rPr>
              <w:b w:val="0"/>
              <w:bCs w:val="0"/>
              <w:lang w:val="en-GB"/>
            </w:rPr>
            <w:fldChar w:fldCharType="begin"/>
          </w:r>
          <w:r w:rsidRPr="00032DA6">
            <w:rPr>
              <w:lang w:val="en-GB"/>
            </w:rPr>
            <w:instrText xml:space="preserve"> TOC \o "1-3" \h \z \u </w:instrText>
          </w:r>
          <w:r w:rsidRPr="00032DA6">
            <w:rPr>
              <w:b w:val="0"/>
              <w:bCs w:val="0"/>
              <w:lang w:val="en-GB"/>
            </w:rPr>
            <w:fldChar w:fldCharType="separate"/>
          </w:r>
          <w:hyperlink w:anchor="_Toc91438030" w:history="1">
            <w:r w:rsidR="00976B77" w:rsidRPr="007D29BE">
              <w:rPr>
                <w:rStyle w:val="Hyperlink"/>
                <w:noProof/>
                <w:lang w:val="en-GB"/>
              </w:rPr>
              <w:t>Abstract</w:t>
            </w:r>
            <w:r w:rsidR="00976B77">
              <w:rPr>
                <w:noProof/>
                <w:webHidden/>
              </w:rPr>
              <w:tab/>
            </w:r>
            <w:r w:rsidR="00976B77">
              <w:rPr>
                <w:noProof/>
                <w:webHidden/>
              </w:rPr>
              <w:fldChar w:fldCharType="begin"/>
            </w:r>
            <w:r w:rsidR="00976B77">
              <w:rPr>
                <w:noProof/>
                <w:webHidden/>
              </w:rPr>
              <w:instrText xml:space="preserve"> PAGEREF _Toc91438030 \h </w:instrText>
            </w:r>
            <w:r w:rsidR="00976B77">
              <w:rPr>
                <w:noProof/>
                <w:webHidden/>
              </w:rPr>
            </w:r>
            <w:r w:rsidR="00976B77">
              <w:rPr>
                <w:noProof/>
                <w:webHidden/>
              </w:rPr>
              <w:fldChar w:fldCharType="separate"/>
            </w:r>
            <w:r w:rsidR="00976B77">
              <w:rPr>
                <w:noProof/>
                <w:webHidden/>
              </w:rPr>
              <w:t>2</w:t>
            </w:r>
            <w:r w:rsidR="00976B77">
              <w:rPr>
                <w:noProof/>
                <w:webHidden/>
              </w:rPr>
              <w:fldChar w:fldCharType="end"/>
            </w:r>
          </w:hyperlink>
        </w:p>
        <w:p w14:paraId="25243BE1" w14:textId="1F64DDEE" w:rsidR="00976B77" w:rsidRDefault="00976B77">
          <w:pPr>
            <w:pStyle w:val="TOC1"/>
            <w:tabs>
              <w:tab w:val="left" w:pos="440"/>
              <w:tab w:val="right" w:leader="dot" w:pos="9350"/>
            </w:tabs>
            <w:rPr>
              <w:rFonts w:asciiTheme="minorHAnsi" w:eastAsiaTheme="minorEastAsia" w:hAnsiTheme="minorHAnsi" w:cstheme="minorBidi"/>
              <w:b w:val="0"/>
              <w:bCs w:val="0"/>
              <w:noProof/>
              <w:sz w:val="22"/>
              <w:szCs w:val="22"/>
            </w:rPr>
          </w:pPr>
          <w:hyperlink w:anchor="_Toc91438031" w:history="1">
            <w:r w:rsidRPr="007D29BE">
              <w:rPr>
                <w:rStyle w:val="Hyperlink"/>
                <w:noProof/>
                <w:lang w:val="en-GB"/>
              </w:rPr>
              <w:t>I.</w:t>
            </w:r>
            <w:r>
              <w:rPr>
                <w:rFonts w:asciiTheme="minorHAnsi" w:eastAsiaTheme="minorEastAsia" w:hAnsiTheme="minorHAnsi" w:cstheme="minorBidi"/>
                <w:b w:val="0"/>
                <w:bCs w:val="0"/>
                <w:noProof/>
                <w:sz w:val="22"/>
                <w:szCs w:val="22"/>
              </w:rPr>
              <w:tab/>
            </w:r>
            <w:r w:rsidRPr="007D29BE">
              <w:rPr>
                <w:rStyle w:val="Hyperlink"/>
                <w:noProof/>
                <w:lang w:val="en-GB"/>
              </w:rPr>
              <w:t>Introduction</w:t>
            </w:r>
            <w:r>
              <w:rPr>
                <w:noProof/>
                <w:webHidden/>
              </w:rPr>
              <w:tab/>
            </w:r>
            <w:r>
              <w:rPr>
                <w:noProof/>
                <w:webHidden/>
              </w:rPr>
              <w:fldChar w:fldCharType="begin"/>
            </w:r>
            <w:r>
              <w:rPr>
                <w:noProof/>
                <w:webHidden/>
              </w:rPr>
              <w:instrText xml:space="preserve"> PAGEREF _Toc91438031 \h </w:instrText>
            </w:r>
            <w:r>
              <w:rPr>
                <w:noProof/>
                <w:webHidden/>
              </w:rPr>
            </w:r>
            <w:r>
              <w:rPr>
                <w:noProof/>
                <w:webHidden/>
              </w:rPr>
              <w:fldChar w:fldCharType="separate"/>
            </w:r>
            <w:r>
              <w:rPr>
                <w:noProof/>
                <w:webHidden/>
              </w:rPr>
              <w:t>4</w:t>
            </w:r>
            <w:r>
              <w:rPr>
                <w:noProof/>
                <w:webHidden/>
              </w:rPr>
              <w:fldChar w:fldCharType="end"/>
            </w:r>
          </w:hyperlink>
        </w:p>
        <w:p w14:paraId="7A19E7EC" w14:textId="7C019BB0" w:rsidR="00976B77" w:rsidRDefault="00976B77">
          <w:pPr>
            <w:pStyle w:val="TOC1"/>
            <w:tabs>
              <w:tab w:val="left" w:pos="440"/>
              <w:tab w:val="right" w:leader="dot" w:pos="9350"/>
            </w:tabs>
            <w:rPr>
              <w:rFonts w:asciiTheme="minorHAnsi" w:eastAsiaTheme="minorEastAsia" w:hAnsiTheme="minorHAnsi" w:cstheme="minorBidi"/>
              <w:b w:val="0"/>
              <w:bCs w:val="0"/>
              <w:noProof/>
              <w:sz w:val="22"/>
              <w:szCs w:val="22"/>
            </w:rPr>
          </w:pPr>
          <w:hyperlink w:anchor="_Toc91438032" w:history="1">
            <w:r w:rsidRPr="007D29BE">
              <w:rPr>
                <w:rStyle w:val="Hyperlink"/>
                <w:noProof/>
                <w:lang w:val="en-GB"/>
              </w:rPr>
              <w:t>II.</w:t>
            </w:r>
            <w:r>
              <w:rPr>
                <w:rFonts w:asciiTheme="minorHAnsi" w:eastAsiaTheme="minorEastAsia" w:hAnsiTheme="minorHAnsi" w:cstheme="minorBidi"/>
                <w:b w:val="0"/>
                <w:bCs w:val="0"/>
                <w:noProof/>
                <w:sz w:val="22"/>
                <w:szCs w:val="22"/>
              </w:rPr>
              <w:tab/>
            </w:r>
            <w:r w:rsidRPr="007D29BE">
              <w:rPr>
                <w:rStyle w:val="Hyperlink"/>
                <w:noProof/>
                <w:lang w:val="en-GB"/>
              </w:rPr>
              <w:t>Determinants of Housing Prices: Theory and Literature</w:t>
            </w:r>
            <w:r>
              <w:rPr>
                <w:noProof/>
                <w:webHidden/>
              </w:rPr>
              <w:tab/>
            </w:r>
            <w:r>
              <w:rPr>
                <w:noProof/>
                <w:webHidden/>
              </w:rPr>
              <w:fldChar w:fldCharType="begin"/>
            </w:r>
            <w:r>
              <w:rPr>
                <w:noProof/>
                <w:webHidden/>
              </w:rPr>
              <w:instrText xml:space="preserve"> PAGEREF _Toc91438032 \h </w:instrText>
            </w:r>
            <w:r>
              <w:rPr>
                <w:noProof/>
                <w:webHidden/>
              </w:rPr>
            </w:r>
            <w:r>
              <w:rPr>
                <w:noProof/>
                <w:webHidden/>
              </w:rPr>
              <w:fldChar w:fldCharType="separate"/>
            </w:r>
            <w:r>
              <w:rPr>
                <w:noProof/>
                <w:webHidden/>
              </w:rPr>
              <w:t>5</w:t>
            </w:r>
            <w:r>
              <w:rPr>
                <w:noProof/>
                <w:webHidden/>
              </w:rPr>
              <w:fldChar w:fldCharType="end"/>
            </w:r>
          </w:hyperlink>
        </w:p>
        <w:p w14:paraId="4EE349FC" w14:textId="193EB9B3" w:rsidR="00976B77" w:rsidRDefault="00976B77">
          <w:pPr>
            <w:pStyle w:val="TOC2"/>
            <w:tabs>
              <w:tab w:val="left" w:pos="660"/>
              <w:tab w:val="right" w:leader="dot" w:pos="9350"/>
            </w:tabs>
            <w:rPr>
              <w:rFonts w:asciiTheme="minorHAnsi" w:eastAsiaTheme="minorEastAsia" w:hAnsiTheme="minorHAnsi" w:cstheme="minorBidi"/>
              <w:i w:val="0"/>
              <w:iCs w:val="0"/>
              <w:noProof/>
              <w:sz w:val="22"/>
              <w:szCs w:val="22"/>
            </w:rPr>
          </w:pPr>
          <w:hyperlink w:anchor="_Toc91438033" w:history="1">
            <w:r w:rsidRPr="007D29BE">
              <w:rPr>
                <w:rStyle w:val="Hyperlink"/>
                <w:noProof/>
                <w:lang w:val="en-GB"/>
              </w:rPr>
              <w:t>a.</w:t>
            </w:r>
            <w:r>
              <w:rPr>
                <w:rFonts w:asciiTheme="minorHAnsi" w:eastAsiaTheme="minorEastAsia" w:hAnsiTheme="minorHAnsi" w:cstheme="minorBidi"/>
                <w:i w:val="0"/>
                <w:iCs w:val="0"/>
                <w:noProof/>
                <w:sz w:val="22"/>
                <w:szCs w:val="22"/>
              </w:rPr>
              <w:tab/>
            </w:r>
            <w:r w:rsidRPr="007D29BE">
              <w:rPr>
                <w:rStyle w:val="Hyperlink"/>
                <w:noProof/>
                <w:lang w:val="en-GB"/>
              </w:rPr>
              <w:t>Macro-Financial and Socioeconomic Fundamentals</w:t>
            </w:r>
            <w:r>
              <w:rPr>
                <w:noProof/>
                <w:webHidden/>
              </w:rPr>
              <w:tab/>
            </w:r>
            <w:r>
              <w:rPr>
                <w:noProof/>
                <w:webHidden/>
              </w:rPr>
              <w:fldChar w:fldCharType="begin"/>
            </w:r>
            <w:r>
              <w:rPr>
                <w:noProof/>
                <w:webHidden/>
              </w:rPr>
              <w:instrText xml:space="preserve"> PAGEREF _Toc91438033 \h </w:instrText>
            </w:r>
            <w:r>
              <w:rPr>
                <w:noProof/>
                <w:webHidden/>
              </w:rPr>
            </w:r>
            <w:r>
              <w:rPr>
                <w:noProof/>
                <w:webHidden/>
              </w:rPr>
              <w:fldChar w:fldCharType="separate"/>
            </w:r>
            <w:r>
              <w:rPr>
                <w:noProof/>
                <w:webHidden/>
              </w:rPr>
              <w:t>5</w:t>
            </w:r>
            <w:r>
              <w:rPr>
                <w:noProof/>
                <w:webHidden/>
              </w:rPr>
              <w:fldChar w:fldCharType="end"/>
            </w:r>
          </w:hyperlink>
        </w:p>
        <w:p w14:paraId="009A2F21" w14:textId="1D086701" w:rsidR="00976B77" w:rsidRDefault="00976B77">
          <w:pPr>
            <w:pStyle w:val="TOC2"/>
            <w:tabs>
              <w:tab w:val="left" w:pos="660"/>
              <w:tab w:val="right" w:leader="dot" w:pos="9350"/>
            </w:tabs>
            <w:rPr>
              <w:rFonts w:asciiTheme="minorHAnsi" w:eastAsiaTheme="minorEastAsia" w:hAnsiTheme="minorHAnsi" w:cstheme="minorBidi"/>
              <w:i w:val="0"/>
              <w:iCs w:val="0"/>
              <w:noProof/>
              <w:sz w:val="22"/>
              <w:szCs w:val="22"/>
            </w:rPr>
          </w:pPr>
          <w:hyperlink w:anchor="_Toc91438034" w:history="1">
            <w:r w:rsidRPr="007D29BE">
              <w:rPr>
                <w:rStyle w:val="Hyperlink"/>
                <w:noProof/>
                <w:lang w:val="en-GB"/>
              </w:rPr>
              <w:t>b.</w:t>
            </w:r>
            <w:r>
              <w:rPr>
                <w:rFonts w:asciiTheme="minorHAnsi" w:eastAsiaTheme="minorEastAsia" w:hAnsiTheme="minorHAnsi" w:cstheme="minorBidi"/>
                <w:i w:val="0"/>
                <w:iCs w:val="0"/>
                <w:noProof/>
                <w:sz w:val="22"/>
                <w:szCs w:val="22"/>
              </w:rPr>
              <w:tab/>
            </w:r>
            <w:r w:rsidRPr="007D29BE">
              <w:rPr>
                <w:rStyle w:val="Hyperlink"/>
                <w:noProof/>
                <w:lang w:val="en-GB"/>
              </w:rPr>
              <w:t>Institutional Determinants</w:t>
            </w:r>
            <w:r>
              <w:rPr>
                <w:noProof/>
                <w:webHidden/>
              </w:rPr>
              <w:tab/>
            </w:r>
            <w:r>
              <w:rPr>
                <w:noProof/>
                <w:webHidden/>
              </w:rPr>
              <w:fldChar w:fldCharType="begin"/>
            </w:r>
            <w:r>
              <w:rPr>
                <w:noProof/>
                <w:webHidden/>
              </w:rPr>
              <w:instrText xml:space="preserve"> PAGEREF _Toc91438034 \h </w:instrText>
            </w:r>
            <w:r>
              <w:rPr>
                <w:noProof/>
                <w:webHidden/>
              </w:rPr>
            </w:r>
            <w:r>
              <w:rPr>
                <w:noProof/>
                <w:webHidden/>
              </w:rPr>
              <w:fldChar w:fldCharType="separate"/>
            </w:r>
            <w:r>
              <w:rPr>
                <w:noProof/>
                <w:webHidden/>
              </w:rPr>
              <w:t>8</w:t>
            </w:r>
            <w:r>
              <w:rPr>
                <w:noProof/>
                <w:webHidden/>
              </w:rPr>
              <w:fldChar w:fldCharType="end"/>
            </w:r>
          </w:hyperlink>
        </w:p>
        <w:p w14:paraId="360EABA7" w14:textId="7979CA24" w:rsidR="00976B77" w:rsidRDefault="00976B77">
          <w:pPr>
            <w:pStyle w:val="TOC2"/>
            <w:tabs>
              <w:tab w:val="left" w:pos="660"/>
              <w:tab w:val="right" w:leader="dot" w:pos="9350"/>
            </w:tabs>
            <w:rPr>
              <w:rFonts w:asciiTheme="minorHAnsi" w:eastAsiaTheme="minorEastAsia" w:hAnsiTheme="minorHAnsi" w:cstheme="minorBidi"/>
              <w:i w:val="0"/>
              <w:iCs w:val="0"/>
              <w:noProof/>
              <w:sz w:val="22"/>
              <w:szCs w:val="22"/>
            </w:rPr>
          </w:pPr>
          <w:hyperlink w:anchor="_Toc91438035" w:history="1">
            <w:r w:rsidRPr="007D29BE">
              <w:rPr>
                <w:rStyle w:val="Hyperlink"/>
                <w:rFonts w:eastAsia="Times New Roman"/>
                <w:noProof/>
                <w:lang w:val="en-GB"/>
              </w:rPr>
              <w:t>c.</w:t>
            </w:r>
            <w:r>
              <w:rPr>
                <w:rFonts w:asciiTheme="minorHAnsi" w:eastAsiaTheme="minorEastAsia" w:hAnsiTheme="minorHAnsi" w:cstheme="minorBidi"/>
                <w:i w:val="0"/>
                <w:iCs w:val="0"/>
                <w:noProof/>
                <w:sz w:val="22"/>
                <w:szCs w:val="22"/>
              </w:rPr>
              <w:tab/>
            </w:r>
            <w:r w:rsidRPr="007D29BE">
              <w:rPr>
                <w:rStyle w:val="Hyperlink"/>
                <w:rFonts w:eastAsia="Times New Roman"/>
                <w:noProof/>
                <w:lang w:val="en-GB"/>
              </w:rPr>
              <w:t>Behavioural, Cultural, and Speculative-Driven Fundamentals</w:t>
            </w:r>
            <w:r>
              <w:rPr>
                <w:noProof/>
                <w:webHidden/>
              </w:rPr>
              <w:tab/>
            </w:r>
            <w:r>
              <w:rPr>
                <w:noProof/>
                <w:webHidden/>
              </w:rPr>
              <w:fldChar w:fldCharType="begin"/>
            </w:r>
            <w:r>
              <w:rPr>
                <w:noProof/>
                <w:webHidden/>
              </w:rPr>
              <w:instrText xml:space="preserve"> PAGEREF _Toc91438035 \h </w:instrText>
            </w:r>
            <w:r>
              <w:rPr>
                <w:noProof/>
                <w:webHidden/>
              </w:rPr>
            </w:r>
            <w:r>
              <w:rPr>
                <w:noProof/>
                <w:webHidden/>
              </w:rPr>
              <w:fldChar w:fldCharType="separate"/>
            </w:r>
            <w:r>
              <w:rPr>
                <w:noProof/>
                <w:webHidden/>
              </w:rPr>
              <w:t>9</w:t>
            </w:r>
            <w:r>
              <w:rPr>
                <w:noProof/>
                <w:webHidden/>
              </w:rPr>
              <w:fldChar w:fldCharType="end"/>
            </w:r>
          </w:hyperlink>
        </w:p>
        <w:p w14:paraId="6BDBF504" w14:textId="51AAC690" w:rsidR="00976B77" w:rsidRDefault="00976B77">
          <w:pPr>
            <w:pStyle w:val="TOC2"/>
            <w:tabs>
              <w:tab w:val="left" w:pos="660"/>
              <w:tab w:val="right" w:leader="dot" w:pos="9350"/>
            </w:tabs>
            <w:rPr>
              <w:rFonts w:asciiTheme="minorHAnsi" w:eastAsiaTheme="minorEastAsia" w:hAnsiTheme="minorHAnsi" w:cstheme="minorBidi"/>
              <w:i w:val="0"/>
              <w:iCs w:val="0"/>
              <w:noProof/>
              <w:sz w:val="22"/>
              <w:szCs w:val="22"/>
            </w:rPr>
          </w:pPr>
          <w:hyperlink w:anchor="_Toc91438036" w:history="1">
            <w:r w:rsidRPr="007D29BE">
              <w:rPr>
                <w:rStyle w:val="Hyperlink"/>
                <w:noProof/>
                <w:lang w:val="en-GB"/>
              </w:rPr>
              <w:t>d.</w:t>
            </w:r>
            <w:r>
              <w:rPr>
                <w:rFonts w:asciiTheme="minorHAnsi" w:eastAsiaTheme="minorEastAsia" w:hAnsiTheme="minorHAnsi" w:cstheme="minorBidi"/>
                <w:i w:val="0"/>
                <w:iCs w:val="0"/>
                <w:noProof/>
                <w:sz w:val="22"/>
                <w:szCs w:val="22"/>
              </w:rPr>
              <w:tab/>
            </w:r>
            <w:r w:rsidRPr="007D29BE">
              <w:rPr>
                <w:rStyle w:val="Hyperlink"/>
                <w:noProof/>
                <w:lang w:val="en-GB"/>
              </w:rPr>
              <w:t>Empirical Literature</w:t>
            </w:r>
            <w:r>
              <w:rPr>
                <w:noProof/>
                <w:webHidden/>
              </w:rPr>
              <w:tab/>
            </w:r>
            <w:r>
              <w:rPr>
                <w:noProof/>
                <w:webHidden/>
              </w:rPr>
              <w:fldChar w:fldCharType="begin"/>
            </w:r>
            <w:r>
              <w:rPr>
                <w:noProof/>
                <w:webHidden/>
              </w:rPr>
              <w:instrText xml:space="preserve"> PAGEREF _Toc91438036 \h </w:instrText>
            </w:r>
            <w:r>
              <w:rPr>
                <w:noProof/>
                <w:webHidden/>
              </w:rPr>
            </w:r>
            <w:r>
              <w:rPr>
                <w:noProof/>
                <w:webHidden/>
              </w:rPr>
              <w:fldChar w:fldCharType="separate"/>
            </w:r>
            <w:r>
              <w:rPr>
                <w:noProof/>
                <w:webHidden/>
              </w:rPr>
              <w:t>11</w:t>
            </w:r>
            <w:r>
              <w:rPr>
                <w:noProof/>
                <w:webHidden/>
              </w:rPr>
              <w:fldChar w:fldCharType="end"/>
            </w:r>
          </w:hyperlink>
        </w:p>
        <w:p w14:paraId="70538D77" w14:textId="0B7FCD2D" w:rsidR="00976B77" w:rsidRDefault="00976B77">
          <w:pPr>
            <w:pStyle w:val="TOC3"/>
            <w:tabs>
              <w:tab w:val="left" w:pos="880"/>
              <w:tab w:val="right" w:leader="dot" w:pos="9350"/>
            </w:tabs>
            <w:rPr>
              <w:rFonts w:asciiTheme="minorHAnsi" w:eastAsiaTheme="minorEastAsia" w:hAnsiTheme="minorHAnsi" w:cstheme="minorBidi"/>
              <w:noProof/>
              <w:sz w:val="22"/>
              <w:szCs w:val="22"/>
            </w:rPr>
          </w:pPr>
          <w:hyperlink w:anchor="_Toc91438037" w:history="1">
            <w:r w:rsidRPr="007D29BE">
              <w:rPr>
                <w:rStyle w:val="Hyperlink"/>
                <w:noProof/>
                <w:lang w:val="en-GB"/>
              </w:rPr>
              <w:t>i.</w:t>
            </w:r>
            <w:r>
              <w:rPr>
                <w:rFonts w:asciiTheme="minorHAnsi" w:eastAsiaTheme="minorEastAsia" w:hAnsiTheme="minorHAnsi" w:cstheme="minorBidi"/>
                <w:noProof/>
                <w:sz w:val="22"/>
                <w:szCs w:val="22"/>
              </w:rPr>
              <w:tab/>
            </w:r>
            <w:r w:rsidRPr="007D29BE">
              <w:rPr>
                <w:rStyle w:val="Hyperlink"/>
                <w:noProof/>
                <w:lang w:val="en-GB"/>
              </w:rPr>
              <w:t>Time Series Models</w:t>
            </w:r>
            <w:r>
              <w:rPr>
                <w:noProof/>
                <w:webHidden/>
              </w:rPr>
              <w:tab/>
            </w:r>
            <w:r>
              <w:rPr>
                <w:noProof/>
                <w:webHidden/>
              </w:rPr>
              <w:fldChar w:fldCharType="begin"/>
            </w:r>
            <w:r>
              <w:rPr>
                <w:noProof/>
                <w:webHidden/>
              </w:rPr>
              <w:instrText xml:space="preserve"> PAGEREF _Toc91438037 \h </w:instrText>
            </w:r>
            <w:r>
              <w:rPr>
                <w:noProof/>
                <w:webHidden/>
              </w:rPr>
            </w:r>
            <w:r>
              <w:rPr>
                <w:noProof/>
                <w:webHidden/>
              </w:rPr>
              <w:fldChar w:fldCharType="separate"/>
            </w:r>
            <w:r>
              <w:rPr>
                <w:noProof/>
                <w:webHidden/>
              </w:rPr>
              <w:t>11</w:t>
            </w:r>
            <w:r>
              <w:rPr>
                <w:noProof/>
                <w:webHidden/>
              </w:rPr>
              <w:fldChar w:fldCharType="end"/>
            </w:r>
          </w:hyperlink>
        </w:p>
        <w:p w14:paraId="5067078A" w14:textId="7094486B" w:rsidR="00976B77" w:rsidRDefault="00976B77">
          <w:pPr>
            <w:pStyle w:val="TOC3"/>
            <w:tabs>
              <w:tab w:val="left" w:pos="880"/>
              <w:tab w:val="right" w:leader="dot" w:pos="9350"/>
            </w:tabs>
            <w:rPr>
              <w:rFonts w:asciiTheme="minorHAnsi" w:eastAsiaTheme="minorEastAsia" w:hAnsiTheme="minorHAnsi" w:cstheme="minorBidi"/>
              <w:noProof/>
              <w:sz w:val="22"/>
              <w:szCs w:val="22"/>
            </w:rPr>
          </w:pPr>
          <w:hyperlink w:anchor="_Toc91438038" w:history="1">
            <w:r w:rsidRPr="007D29BE">
              <w:rPr>
                <w:rStyle w:val="Hyperlink"/>
                <w:noProof/>
                <w:lang w:val="en-GB"/>
              </w:rPr>
              <w:t>ii.</w:t>
            </w:r>
            <w:r>
              <w:rPr>
                <w:rFonts w:asciiTheme="minorHAnsi" w:eastAsiaTheme="minorEastAsia" w:hAnsiTheme="minorHAnsi" w:cstheme="minorBidi"/>
                <w:noProof/>
                <w:sz w:val="22"/>
                <w:szCs w:val="22"/>
              </w:rPr>
              <w:tab/>
            </w:r>
            <w:r w:rsidRPr="007D29BE">
              <w:rPr>
                <w:rStyle w:val="Hyperlink"/>
                <w:noProof/>
                <w:lang w:val="en-GB"/>
              </w:rPr>
              <w:t>Cross-Sectional Studies</w:t>
            </w:r>
            <w:r>
              <w:rPr>
                <w:noProof/>
                <w:webHidden/>
              </w:rPr>
              <w:tab/>
            </w:r>
            <w:r>
              <w:rPr>
                <w:noProof/>
                <w:webHidden/>
              </w:rPr>
              <w:fldChar w:fldCharType="begin"/>
            </w:r>
            <w:r>
              <w:rPr>
                <w:noProof/>
                <w:webHidden/>
              </w:rPr>
              <w:instrText xml:space="preserve"> PAGEREF _Toc91438038 \h </w:instrText>
            </w:r>
            <w:r>
              <w:rPr>
                <w:noProof/>
                <w:webHidden/>
              </w:rPr>
            </w:r>
            <w:r>
              <w:rPr>
                <w:noProof/>
                <w:webHidden/>
              </w:rPr>
              <w:fldChar w:fldCharType="separate"/>
            </w:r>
            <w:r>
              <w:rPr>
                <w:noProof/>
                <w:webHidden/>
              </w:rPr>
              <w:t>12</w:t>
            </w:r>
            <w:r>
              <w:rPr>
                <w:noProof/>
                <w:webHidden/>
              </w:rPr>
              <w:fldChar w:fldCharType="end"/>
            </w:r>
          </w:hyperlink>
        </w:p>
        <w:p w14:paraId="1B9915F9" w14:textId="543EE6FB" w:rsidR="00976B77" w:rsidRDefault="00976B77">
          <w:pPr>
            <w:pStyle w:val="TOC3"/>
            <w:tabs>
              <w:tab w:val="left" w:pos="880"/>
              <w:tab w:val="right" w:leader="dot" w:pos="9350"/>
            </w:tabs>
            <w:rPr>
              <w:rFonts w:asciiTheme="minorHAnsi" w:eastAsiaTheme="minorEastAsia" w:hAnsiTheme="minorHAnsi" w:cstheme="minorBidi"/>
              <w:noProof/>
              <w:sz w:val="22"/>
              <w:szCs w:val="22"/>
            </w:rPr>
          </w:pPr>
          <w:hyperlink w:anchor="_Toc91438039" w:history="1">
            <w:r w:rsidRPr="007D29BE">
              <w:rPr>
                <w:rStyle w:val="Hyperlink"/>
                <w:noProof/>
                <w:lang w:val="en-GB"/>
              </w:rPr>
              <w:t>iii.</w:t>
            </w:r>
            <w:r>
              <w:rPr>
                <w:rFonts w:asciiTheme="minorHAnsi" w:eastAsiaTheme="minorEastAsia" w:hAnsiTheme="minorHAnsi" w:cstheme="minorBidi"/>
                <w:noProof/>
                <w:sz w:val="22"/>
                <w:szCs w:val="22"/>
              </w:rPr>
              <w:tab/>
            </w:r>
            <w:r w:rsidRPr="007D29BE">
              <w:rPr>
                <w:rStyle w:val="Hyperlink"/>
                <w:noProof/>
                <w:lang w:val="en-GB"/>
              </w:rPr>
              <w:t>Panel Studies</w:t>
            </w:r>
            <w:r>
              <w:rPr>
                <w:noProof/>
                <w:webHidden/>
              </w:rPr>
              <w:tab/>
            </w:r>
            <w:r>
              <w:rPr>
                <w:noProof/>
                <w:webHidden/>
              </w:rPr>
              <w:fldChar w:fldCharType="begin"/>
            </w:r>
            <w:r>
              <w:rPr>
                <w:noProof/>
                <w:webHidden/>
              </w:rPr>
              <w:instrText xml:space="preserve"> PAGEREF _Toc91438039 \h </w:instrText>
            </w:r>
            <w:r>
              <w:rPr>
                <w:noProof/>
                <w:webHidden/>
              </w:rPr>
            </w:r>
            <w:r>
              <w:rPr>
                <w:noProof/>
                <w:webHidden/>
              </w:rPr>
              <w:fldChar w:fldCharType="separate"/>
            </w:r>
            <w:r>
              <w:rPr>
                <w:noProof/>
                <w:webHidden/>
              </w:rPr>
              <w:t>12</w:t>
            </w:r>
            <w:r>
              <w:rPr>
                <w:noProof/>
                <w:webHidden/>
              </w:rPr>
              <w:fldChar w:fldCharType="end"/>
            </w:r>
          </w:hyperlink>
        </w:p>
        <w:p w14:paraId="5AECA6F4" w14:textId="7117FAFA" w:rsidR="00976B77" w:rsidRDefault="00976B77">
          <w:pPr>
            <w:pStyle w:val="TOC1"/>
            <w:tabs>
              <w:tab w:val="left" w:pos="660"/>
              <w:tab w:val="right" w:leader="dot" w:pos="9350"/>
            </w:tabs>
            <w:rPr>
              <w:rFonts w:asciiTheme="minorHAnsi" w:eastAsiaTheme="minorEastAsia" w:hAnsiTheme="minorHAnsi" w:cstheme="minorBidi"/>
              <w:b w:val="0"/>
              <w:bCs w:val="0"/>
              <w:noProof/>
              <w:sz w:val="22"/>
              <w:szCs w:val="22"/>
            </w:rPr>
          </w:pPr>
          <w:hyperlink w:anchor="_Toc91438040" w:history="1">
            <w:r w:rsidRPr="007D29BE">
              <w:rPr>
                <w:rStyle w:val="Hyperlink"/>
                <w:noProof/>
                <w:lang w:val="en-GB"/>
              </w:rPr>
              <w:t>III.</w:t>
            </w:r>
            <w:r>
              <w:rPr>
                <w:rFonts w:asciiTheme="minorHAnsi" w:eastAsiaTheme="minorEastAsia" w:hAnsiTheme="minorHAnsi" w:cstheme="minorBidi"/>
                <w:b w:val="0"/>
                <w:bCs w:val="0"/>
                <w:noProof/>
                <w:sz w:val="22"/>
                <w:szCs w:val="22"/>
              </w:rPr>
              <w:tab/>
            </w:r>
            <w:r w:rsidRPr="007D29BE">
              <w:rPr>
                <w:rStyle w:val="Hyperlink"/>
                <w:noProof/>
                <w:lang w:val="en-GB"/>
              </w:rPr>
              <w:t>Methodology</w:t>
            </w:r>
            <w:r>
              <w:rPr>
                <w:noProof/>
                <w:webHidden/>
              </w:rPr>
              <w:tab/>
            </w:r>
            <w:r>
              <w:rPr>
                <w:noProof/>
                <w:webHidden/>
              </w:rPr>
              <w:fldChar w:fldCharType="begin"/>
            </w:r>
            <w:r>
              <w:rPr>
                <w:noProof/>
                <w:webHidden/>
              </w:rPr>
              <w:instrText xml:space="preserve"> PAGEREF _Toc91438040 \h </w:instrText>
            </w:r>
            <w:r>
              <w:rPr>
                <w:noProof/>
                <w:webHidden/>
              </w:rPr>
            </w:r>
            <w:r>
              <w:rPr>
                <w:noProof/>
                <w:webHidden/>
              </w:rPr>
              <w:fldChar w:fldCharType="separate"/>
            </w:r>
            <w:r>
              <w:rPr>
                <w:noProof/>
                <w:webHidden/>
              </w:rPr>
              <w:t>12</w:t>
            </w:r>
            <w:r>
              <w:rPr>
                <w:noProof/>
                <w:webHidden/>
              </w:rPr>
              <w:fldChar w:fldCharType="end"/>
            </w:r>
          </w:hyperlink>
        </w:p>
        <w:p w14:paraId="43CDD301" w14:textId="05F99A54" w:rsidR="00976B77" w:rsidRDefault="00976B77">
          <w:pPr>
            <w:pStyle w:val="TOC2"/>
            <w:tabs>
              <w:tab w:val="left" w:pos="660"/>
              <w:tab w:val="right" w:leader="dot" w:pos="9350"/>
            </w:tabs>
            <w:rPr>
              <w:rFonts w:asciiTheme="minorHAnsi" w:eastAsiaTheme="minorEastAsia" w:hAnsiTheme="minorHAnsi" w:cstheme="minorBidi"/>
              <w:i w:val="0"/>
              <w:iCs w:val="0"/>
              <w:noProof/>
              <w:sz w:val="22"/>
              <w:szCs w:val="22"/>
            </w:rPr>
          </w:pPr>
          <w:hyperlink w:anchor="_Toc91438041" w:history="1">
            <w:r w:rsidRPr="007D29BE">
              <w:rPr>
                <w:rStyle w:val="Hyperlink"/>
                <w:bCs/>
                <w:noProof/>
                <w:lang w:val="en-GB"/>
              </w:rPr>
              <w:t>a.</w:t>
            </w:r>
            <w:r>
              <w:rPr>
                <w:rFonts w:asciiTheme="minorHAnsi" w:eastAsiaTheme="minorEastAsia" w:hAnsiTheme="minorHAnsi" w:cstheme="minorBidi"/>
                <w:i w:val="0"/>
                <w:iCs w:val="0"/>
                <w:noProof/>
                <w:sz w:val="22"/>
                <w:szCs w:val="22"/>
              </w:rPr>
              <w:tab/>
            </w:r>
            <w:r w:rsidRPr="007D29BE">
              <w:rPr>
                <w:rStyle w:val="Hyperlink"/>
                <w:noProof/>
                <w:lang w:val="en-GB"/>
              </w:rPr>
              <w:t>Field Survey on the Determinants of Housing Prices in Egypt</w:t>
            </w:r>
            <w:r>
              <w:rPr>
                <w:noProof/>
                <w:webHidden/>
              </w:rPr>
              <w:tab/>
            </w:r>
            <w:r>
              <w:rPr>
                <w:noProof/>
                <w:webHidden/>
              </w:rPr>
              <w:fldChar w:fldCharType="begin"/>
            </w:r>
            <w:r>
              <w:rPr>
                <w:noProof/>
                <w:webHidden/>
              </w:rPr>
              <w:instrText xml:space="preserve"> PAGEREF _Toc91438041 \h </w:instrText>
            </w:r>
            <w:r>
              <w:rPr>
                <w:noProof/>
                <w:webHidden/>
              </w:rPr>
            </w:r>
            <w:r>
              <w:rPr>
                <w:noProof/>
                <w:webHidden/>
              </w:rPr>
              <w:fldChar w:fldCharType="separate"/>
            </w:r>
            <w:r>
              <w:rPr>
                <w:noProof/>
                <w:webHidden/>
              </w:rPr>
              <w:t>13</w:t>
            </w:r>
            <w:r>
              <w:rPr>
                <w:noProof/>
                <w:webHidden/>
              </w:rPr>
              <w:fldChar w:fldCharType="end"/>
            </w:r>
          </w:hyperlink>
        </w:p>
        <w:p w14:paraId="4A24AA93" w14:textId="5B396FFD" w:rsidR="00976B77" w:rsidRDefault="00976B77">
          <w:pPr>
            <w:pStyle w:val="TOC2"/>
            <w:tabs>
              <w:tab w:val="left" w:pos="660"/>
              <w:tab w:val="right" w:leader="dot" w:pos="9350"/>
            </w:tabs>
            <w:rPr>
              <w:rFonts w:asciiTheme="minorHAnsi" w:eastAsiaTheme="minorEastAsia" w:hAnsiTheme="minorHAnsi" w:cstheme="minorBidi"/>
              <w:i w:val="0"/>
              <w:iCs w:val="0"/>
              <w:noProof/>
              <w:sz w:val="22"/>
              <w:szCs w:val="22"/>
            </w:rPr>
          </w:pPr>
          <w:hyperlink w:anchor="_Toc91438042" w:history="1">
            <w:r w:rsidRPr="007D29BE">
              <w:rPr>
                <w:rStyle w:val="Hyperlink"/>
                <w:bCs/>
                <w:noProof/>
                <w:lang w:val="en-GB"/>
              </w:rPr>
              <w:t>b.</w:t>
            </w:r>
            <w:r>
              <w:rPr>
                <w:rFonts w:asciiTheme="minorHAnsi" w:eastAsiaTheme="minorEastAsia" w:hAnsiTheme="minorHAnsi" w:cstheme="minorBidi"/>
                <w:i w:val="0"/>
                <w:iCs w:val="0"/>
                <w:noProof/>
                <w:sz w:val="22"/>
                <w:szCs w:val="22"/>
              </w:rPr>
              <w:tab/>
            </w:r>
            <w:r w:rsidRPr="007D29BE">
              <w:rPr>
                <w:rStyle w:val="Hyperlink"/>
                <w:noProof/>
                <w:lang w:val="en-GB"/>
              </w:rPr>
              <w:t>Constructing a Housing Price Index for Egypt (Constructing the Base Year)</w:t>
            </w:r>
            <w:r>
              <w:rPr>
                <w:noProof/>
                <w:webHidden/>
              </w:rPr>
              <w:tab/>
            </w:r>
            <w:r>
              <w:rPr>
                <w:noProof/>
                <w:webHidden/>
              </w:rPr>
              <w:fldChar w:fldCharType="begin"/>
            </w:r>
            <w:r>
              <w:rPr>
                <w:noProof/>
                <w:webHidden/>
              </w:rPr>
              <w:instrText xml:space="preserve"> PAGEREF _Toc91438042 \h </w:instrText>
            </w:r>
            <w:r>
              <w:rPr>
                <w:noProof/>
                <w:webHidden/>
              </w:rPr>
            </w:r>
            <w:r>
              <w:rPr>
                <w:noProof/>
                <w:webHidden/>
              </w:rPr>
              <w:fldChar w:fldCharType="separate"/>
            </w:r>
            <w:r>
              <w:rPr>
                <w:noProof/>
                <w:webHidden/>
              </w:rPr>
              <w:t>14</w:t>
            </w:r>
            <w:r>
              <w:rPr>
                <w:noProof/>
                <w:webHidden/>
              </w:rPr>
              <w:fldChar w:fldCharType="end"/>
            </w:r>
          </w:hyperlink>
        </w:p>
        <w:p w14:paraId="7BB0A1BD" w14:textId="7E617276" w:rsidR="00976B77" w:rsidRDefault="00976B77">
          <w:pPr>
            <w:pStyle w:val="TOC2"/>
            <w:tabs>
              <w:tab w:val="left" w:pos="660"/>
              <w:tab w:val="right" w:leader="dot" w:pos="9350"/>
            </w:tabs>
            <w:rPr>
              <w:rFonts w:asciiTheme="minorHAnsi" w:eastAsiaTheme="minorEastAsia" w:hAnsiTheme="minorHAnsi" w:cstheme="minorBidi"/>
              <w:i w:val="0"/>
              <w:iCs w:val="0"/>
              <w:noProof/>
              <w:sz w:val="22"/>
              <w:szCs w:val="22"/>
            </w:rPr>
          </w:pPr>
          <w:hyperlink w:anchor="_Toc91438043" w:history="1">
            <w:r w:rsidRPr="007D29BE">
              <w:rPr>
                <w:rStyle w:val="Hyperlink"/>
                <w:noProof/>
                <w:lang w:val="en-GB"/>
              </w:rPr>
              <w:t>c.</w:t>
            </w:r>
            <w:r>
              <w:rPr>
                <w:rFonts w:asciiTheme="minorHAnsi" w:eastAsiaTheme="minorEastAsia" w:hAnsiTheme="minorHAnsi" w:cstheme="minorBidi"/>
                <w:i w:val="0"/>
                <w:iCs w:val="0"/>
                <w:noProof/>
                <w:sz w:val="22"/>
                <w:szCs w:val="22"/>
              </w:rPr>
              <w:tab/>
            </w:r>
            <w:r w:rsidRPr="007D29BE">
              <w:rPr>
                <w:rStyle w:val="Hyperlink"/>
                <w:noProof/>
                <w:lang w:val="en-GB"/>
              </w:rPr>
              <w:t>Empirical Model to Examine the Micro Determinants of Housing Prices in Egypt (Logit Model)</w:t>
            </w:r>
            <w:r>
              <w:rPr>
                <w:noProof/>
                <w:webHidden/>
              </w:rPr>
              <w:tab/>
            </w:r>
            <w:r>
              <w:rPr>
                <w:noProof/>
                <w:webHidden/>
              </w:rPr>
              <w:fldChar w:fldCharType="begin"/>
            </w:r>
            <w:r>
              <w:rPr>
                <w:noProof/>
                <w:webHidden/>
              </w:rPr>
              <w:instrText xml:space="preserve"> PAGEREF _Toc91438043 \h </w:instrText>
            </w:r>
            <w:r>
              <w:rPr>
                <w:noProof/>
                <w:webHidden/>
              </w:rPr>
            </w:r>
            <w:r>
              <w:rPr>
                <w:noProof/>
                <w:webHidden/>
              </w:rPr>
              <w:fldChar w:fldCharType="separate"/>
            </w:r>
            <w:r>
              <w:rPr>
                <w:noProof/>
                <w:webHidden/>
              </w:rPr>
              <w:t>14</w:t>
            </w:r>
            <w:r>
              <w:rPr>
                <w:noProof/>
                <w:webHidden/>
              </w:rPr>
              <w:fldChar w:fldCharType="end"/>
            </w:r>
          </w:hyperlink>
        </w:p>
        <w:p w14:paraId="4239D5C8" w14:textId="4E52EE5B" w:rsidR="00976B77" w:rsidRDefault="00976B77">
          <w:pPr>
            <w:pStyle w:val="TOC1"/>
            <w:tabs>
              <w:tab w:val="left" w:pos="660"/>
              <w:tab w:val="right" w:leader="dot" w:pos="9350"/>
            </w:tabs>
            <w:rPr>
              <w:rFonts w:asciiTheme="minorHAnsi" w:eastAsiaTheme="minorEastAsia" w:hAnsiTheme="minorHAnsi" w:cstheme="minorBidi"/>
              <w:b w:val="0"/>
              <w:bCs w:val="0"/>
              <w:noProof/>
              <w:sz w:val="22"/>
              <w:szCs w:val="22"/>
            </w:rPr>
          </w:pPr>
          <w:hyperlink w:anchor="_Toc91438044" w:history="1">
            <w:r w:rsidRPr="007D29BE">
              <w:rPr>
                <w:rStyle w:val="Hyperlink"/>
                <w:noProof/>
                <w:lang w:val="en-GB"/>
              </w:rPr>
              <w:t>IV.</w:t>
            </w:r>
            <w:r>
              <w:rPr>
                <w:rFonts w:asciiTheme="minorHAnsi" w:eastAsiaTheme="minorEastAsia" w:hAnsiTheme="minorHAnsi" w:cstheme="minorBidi"/>
                <w:b w:val="0"/>
                <w:bCs w:val="0"/>
                <w:noProof/>
                <w:sz w:val="22"/>
                <w:szCs w:val="22"/>
              </w:rPr>
              <w:tab/>
            </w:r>
            <w:r w:rsidRPr="007D29BE">
              <w:rPr>
                <w:rStyle w:val="Hyperlink"/>
                <w:noProof/>
                <w:lang w:val="en-GB"/>
              </w:rPr>
              <w:t>Survey Results and Descriptive Analysis</w:t>
            </w:r>
            <w:r>
              <w:rPr>
                <w:noProof/>
                <w:webHidden/>
              </w:rPr>
              <w:tab/>
            </w:r>
            <w:r>
              <w:rPr>
                <w:noProof/>
                <w:webHidden/>
              </w:rPr>
              <w:fldChar w:fldCharType="begin"/>
            </w:r>
            <w:r>
              <w:rPr>
                <w:noProof/>
                <w:webHidden/>
              </w:rPr>
              <w:instrText xml:space="preserve"> PAGEREF _Toc91438044 \h </w:instrText>
            </w:r>
            <w:r>
              <w:rPr>
                <w:noProof/>
                <w:webHidden/>
              </w:rPr>
            </w:r>
            <w:r>
              <w:rPr>
                <w:noProof/>
                <w:webHidden/>
              </w:rPr>
              <w:fldChar w:fldCharType="separate"/>
            </w:r>
            <w:r>
              <w:rPr>
                <w:noProof/>
                <w:webHidden/>
              </w:rPr>
              <w:t>15</w:t>
            </w:r>
            <w:r>
              <w:rPr>
                <w:noProof/>
                <w:webHidden/>
              </w:rPr>
              <w:fldChar w:fldCharType="end"/>
            </w:r>
          </w:hyperlink>
        </w:p>
        <w:p w14:paraId="3FCB38E4" w14:textId="722AB8CA" w:rsidR="00976B77" w:rsidRDefault="00976B77">
          <w:pPr>
            <w:pStyle w:val="TOC2"/>
            <w:tabs>
              <w:tab w:val="left" w:pos="660"/>
              <w:tab w:val="right" w:leader="dot" w:pos="9350"/>
            </w:tabs>
            <w:rPr>
              <w:rFonts w:asciiTheme="minorHAnsi" w:eastAsiaTheme="minorEastAsia" w:hAnsiTheme="minorHAnsi" w:cstheme="minorBidi"/>
              <w:i w:val="0"/>
              <w:iCs w:val="0"/>
              <w:noProof/>
              <w:sz w:val="22"/>
              <w:szCs w:val="22"/>
            </w:rPr>
          </w:pPr>
          <w:hyperlink w:anchor="_Toc91438045" w:history="1">
            <w:r w:rsidRPr="007D29BE">
              <w:rPr>
                <w:rStyle w:val="Hyperlink"/>
                <w:rFonts w:ascii="Times New Roman" w:eastAsia="Times New Roman" w:hAnsi="Times New Roman"/>
                <w:noProof/>
                <w:w w:val="102"/>
                <w:lang w:val="en-GB"/>
              </w:rPr>
              <w:t>1.</w:t>
            </w:r>
            <w:r>
              <w:rPr>
                <w:rFonts w:asciiTheme="minorHAnsi" w:eastAsiaTheme="minorEastAsia" w:hAnsiTheme="minorHAnsi" w:cstheme="minorBidi"/>
                <w:i w:val="0"/>
                <w:iCs w:val="0"/>
                <w:noProof/>
                <w:sz w:val="22"/>
                <w:szCs w:val="22"/>
              </w:rPr>
              <w:tab/>
            </w:r>
            <w:r w:rsidRPr="007D29BE">
              <w:rPr>
                <w:rStyle w:val="Hyperlink"/>
                <w:noProof/>
                <w:lang w:val="en-GB"/>
              </w:rPr>
              <w:t>Macroeconomic Fundamentals</w:t>
            </w:r>
            <w:r>
              <w:rPr>
                <w:noProof/>
                <w:webHidden/>
              </w:rPr>
              <w:tab/>
            </w:r>
            <w:r>
              <w:rPr>
                <w:noProof/>
                <w:webHidden/>
              </w:rPr>
              <w:fldChar w:fldCharType="begin"/>
            </w:r>
            <w:r>
              <w:rPr>
                <w:noProof/>
                <w:webHidden/>
              </w:rPr>
              <w:instrText xml:space="preserve"> PAGEREF _Toc91438045 \h </w:instrText>
            </w:r>
            <w:r>
              <w:rPr>
                <w:noProof/>
                <w:webHidden/>
              </w:rPr>
            </w:r>
            <w:r>
              <w:rPr>
                <w:noProof/>
                <w:webHidden/>
              </w:rPr>
              <w:fldChar w:fldCharType="separate"/>
            </w:r>
            <w:r>
              <w:rPr>
                <w:noProof/>
                <w:webHidden/>
              </w:rPr>
              <w:t>15</w:t>
            </w:r>
            <w:r>
              <w:rPr>
                <w:noProof/>
                <w:webHidden/>
              </w:rPr>
              <w:fldChar w:fldCharType="end"/>
            </w:r>
          </w:hyperlink>
        </w:p>
        <w:p w14:paraId="7252577F" w14:textId="40D2695A" w:rsidR="00976B77" w:rsidRDefault="00976B77">
          <w:pPr>
            <w:pStyle w:val="TOC2"/>
            <w:tabs>
              <w:tab w:val="left" w:pos="660"/>
              <w:tab w:val="right" w:leader="dot" w:pos="9350"/>
            </w:tabs>
            <w:rPr>
              <w:rFonts w:asciiTheme="minorHAnsi" w:eastAsiaTheme="minorEastAsia" w:hAnsiTheme="minorHAnsi" w:cstheme="minorBidi"/>
              <w:i w:val="0"/>
              <w:iCs w:val="0"/>
              <w:noProof/>
              <w:sz w:val="22"/>
              <w:szCs w:val="22"/>
            </w:rPr>
          </w:pPr>
          <w:hyperlink w:anchor="_Toc91438046" w:history="1">
            <w:r w:rsidRPr="007D29BE">
              <w:rPr>
                <w:rStyle w:val="Hyperlink"/>
                <w:rFonts w:ascii="Times New Roman" w:eastAsia="Times New Roman" w:hAnsi="Times New Roman"/>
                <w:noProof/>
                <w:w w:val="102"/>
                <w:lang w:val="en-GB"/>
              </w:rPr>
              <w:t>2.</w:t>
            </w:r>
            <w:r>
              <w:rPr>
                <w:rFonts w:asciiTheme="minorHAnsi" w:eastAsiaTheme="minorEastAsia" w:hAnsiTheme="minorHAnsi" w:cstheme="minorBidi"/>
                <w:i w:val="0"/>
                <w:iCs w:val="0"/>
                <w:noProof/>
                <w:sz w:val="22"/>
                <w:szCs w:val="22"/>
              </w:rPr>
              <w:tab/>
            </w:r>
            <w:r w:rsidRPr="007D29BE">
              <w:rPr>
                <w:rStyle w:val="Hyperlink"/>
                <w:noProof/>
                <w:lang w:val="en-GB"/>
              </w:rPr>
              <w:t>Institutions and Procedures</w:t>
            </w:r>
            <w:r>
              <w:rPr>
                <w:noProof/>
                <w:webHidden/>
              </w:rPr>
              <w:tab/>
            </w:r>
            <w:r>
              <w:rPr>
                <w:noProof/>
                <w:webHidden/>
              </w:rPr>
              <w:fldChar w:fldCharType="begin"/>
            </w:r>
            <w:r>
              <w:rPr>
                <w:noProof/>
                <w:webHidden/>
              </w:rPr>
              <w:instrText xml:space="preserve"> PAGEREF _Toc91438046 \h </w:instrText>
            </w:r>
            <w:r>
              <w:rPr>
                <w:noProof/>
                <w:webHidden/>
              </w:rPr>
            </w:r>
            <w:r>
              <w:rPr>
                <w:noProof/>
                <w:webHidden/>
              </w:rPr>
              <w:fldChar w:fldCharType="separate"/>
            </w:r>
            <w:r>
              <w:rPr>
                <w:noProof/>
                <w:webHidden/>
              </w:rPr>
              <w:t>16</w:t>
            </w:r>
            <w:r>
              <w:rPr>
                <w:noProof/>
                <w:webHidden/>
              </w:rPr>
              <w:fldChar w:fldCharType="end"/>
            </w:r>
          </w:hyperlink>
        </w:p>
        <w:p w14:paraId="5BF386B7" w14:textId="394649D7" w:rsidR="00976B77" w:rsidRDefault="00976B77">
          <w:pPr>
            <w:pStyle w:val="TOC2"/>
            <w:tabs>
              <w:tab w:val="left" w:pos="660"/>
              <w:tab w:val="right" w:leader="dot" w:pos="9350"/>
            </w:tabs>
            <w:rPr>
              <w:rFonts w:asciiTheme="minorHAnsi" w:eastAsiaTheme="minorEastAsia" w:hAnsiTheme="minorHAnsi" w:cstheme="minorBidi"/>
              <w:i w:val="0"/>
              <w:iCs w:val="0"/>
              <w:noProof/>
              <w:sz w:val="22"/>
              <w:szCs w:val="22"/>
            </w:rPr>
          </w:pPr>
          <w:hyperlink w:anchor="_Toc91438047" w:history="1">
            <w:r w:rsidRPr="007D29BE">
              <w:rPr>
                <w:rStyle w:val="Hyperlink"/>
                <w:rFonts w:ascii="Times New Roman" w:eastAsia="Times New Roman" w:hAnsi="Times New Roman"/>
                <w:noProof/>
                <w:w w:val="102"/>
                <w:lang w:val="en-GB"/>
              </w:rPr>
              <w:t>3.</w:t>
            </w:r>
            <w:r>
              <w:rPr>
                <w:rFonts w:asciiTheme="minorHAnsi" w:eastAsiaTheme="minorEastAsia" w:hAnsiTheme="minorHAnsi" w:cstheme="minorBidi"/>
                <w:i w:val="0"/>
                <w:iCs w:val="0"/>
                <w:noProof/>
                <w:sz w:val="22"/>
                <w:szCs w:val="22"/>
              </w:rPr>
              <w:tab/>
            </w:r>
            <w:r w:rsidRPr="007D29BE">
              <w:rPr>
                <w:rStyle w:val="Hyperlink"/>
                <w:noProof/>
                <w:lang w:val="en-GB"/>
              </w:rPr>
              <w:t>Government Real-Estate and Housing Policies</w:t>
            </w:r>
            <w:r>
              <w:rPr>
                <w:noProof/>
                <w:webHidden/>
              </w:rPr>
              <w:tab/>
            </w:r>
            <w:r>
              <w:rPr>
                <w:noProof/>
                <w:webHidden/>
              </w:rPr>
              <w:fldChar w:fldCharType="begin"/>
            </w:r>
            <w:r>
              <w:rPr>
                <w:noProof/>
                <w:webHidden/>
              </w:rPr>
              <w:instrText xml:space="preserve"> PAGEREF _Toc91438047 \h </w:instrText>
            </w:r>
            <w:r>
              <w:rPr>
                <w:noProof/>
                <w:webHidden/>
              </w:rPr>
            </w:r>
            <w:r>
              <w:rPr>
                <w:noProof/>
                <w:webHidden/>
              </w:rPr>
              <w:fldChar w:fldCharType="separate"/>
            </w:r>
            <w:r>
              <w:rPr>
                <w:noProof/>
                <w:webHidden/>
              </w:rPr>
              <w:t>16</w:t>
            </w:r>
            <w:r>
              <w:rPr>
                <w:noProof/>
                <w:webHidden/>
              </w:rPr>
              <w:fldChar w:fldCharType="end"/>
            </w:r>
          </w:hyperlink>
        </w:p>
        <w:p w14:paraId="288403C2" w14:textId="36DB1720" w:rsidR="00976B77" w:rsidRDefault="00976B77">
          <w:pPr>
            <w:pStyle w:val="TOC2"/>
            <w:tabs>
              <w:tab w:val="left" w:pos="660"/>
              <w:tab w:val="right" w:leader="dot" w:pos="9350"/>
            </w:tabs>
            <w:rPr>
              <w:rFonts w:asciiTheme="minorHAnsi" w:eastAsiaTheme="minorEastAsia" w:hAnsiTheme="minorHAnsi" w:cstheme="minorBidi"/>
              <w:i w:val="0"/>
              <w:iCs w:val="0"/>
              <w:noProof/>
              <w:sz w:val="22"/>
              <w:szCs w:val="22"/>
            </w:rPr>
          </w:pPr>
          <w:hyperlink w:anchor="_Toc91438048" w:history="1">
            <w:r w:rsidRPr="007D29BE">
              <w:rPr>
                <w:rStyle w:val="Hyperlink"/>
                <w:rFonts w:ascii="Times New Roman" w:eastAsia="Times New Roman" w:hAnsi="Times New Roman"/>
                <w:noProof/>
                <w:w w:val="102"/>
                <w:lang w:val="en-GB"/>
              </w:rPr>
              <w:t>4.</w:t>
            </w:r>
            <w:r>
              <w:rPr>
                <w:rFonts w:asciiTheme="minorHAnsi" w:eastAsiaTheme="minorEastAsia" w:hAnsiTheme="minorHAnsi" w:cstheme="minorBidi"/>
                <w:i w:val="0"/>
                <w:iCs w:val="0"/>
                <w:noProof/>
                <w:sz w:val="22"/>
                <w:szCs w:val="22"/>
              </w:rPr>
              <w:tab/>
            </w:r>
            <w:r w:rsidRPr="007D29BE">
              <w:rPr>
                <w:rStyle w:val="Hyperlink"/>
                <w:noProof/>
                <w:lang w:val="en-GB"/>
              </w:rPr>
              <w:t>Access to Mortgage Finance</w:t>
            </w:r>
            <w:r>
              <w:rPr>
                <w:noProof/>
                <w:webHidden/>
              </w:rPr>
              <w:tab/>
            </w:r>
            <w:r>
              <w:rPr>
                <w:noProof/>
                <w:webHidden/>
              </w:rPr>
              <w:fldChar w:fldCharType="begin"/>
            </w:r>
            <w:r>
              <w:rPr>
                <w:noProof/>
                <w:webHidden/>
              </w:rPr>
              <w:instrText xml:space="preserve"> PAGEREF _Toc91438048 \h </w:instrText>
            </w:r>
            <w:r>
              <w:rPr>
                <w:noProof/>
                <w:webHidden/>
              </w:rPr>
            </w:r>
            <w:r>
              <w:rPr>
                <w:noProof/>
                <w:webHidden/>
              </w:rPr>
              <w:fldChar w:fldCharType="separate"/>
            </w:r>
            <w:r>
              <w:rPr>
                <w:noProof/>
                <w:webHidden/>
              </w:rPr>
              <w:t>17</w:t>
            </w:r>
            <w:r>
              <w:rPr>
                <w:noProof/>
                <w:webHidden/>
              </w:rPr>
              <w:fldChar w:fldCharType="end"/>
            </w:r>
          </w:hyperlink>
        </w:p>
        <w:p w14:paraId="6B90E4D1" w14:textId="2AF387E3" w:rsidR="00976B77" w:rsidRDefault="00976B77">
          <w:pPr>
            <w:pStyle w:val="TOC2"/>
            <w:tabs>
              <w:tab w:val="left" w:pos="660"/>
              <w:tab w:val="right" w:leader="dot" w:pos="9350"/>
            </w:tabs>
            <w:rPr>
              <w:rFonts w:asciiTheme="minorHAnsi" w:eastAsiaTheme="minorEastAsia" w:hAnsiTheme="minorHAnsi" w:cstheme="minorBidi"/>
              <w:i w:val="0"/>
              <w:iCs w:val="0"/>
              <w:noProof/>
              <w:sz w:val="22"/>
              <w:szCs w:val="22"/>
            </w:rPr>
          </w:pPr>
          <w:hyperlink w:anchor="_Toc91438049" w:history="1">
            <w:r w:rsidRPr="007D29BE">
              <w:rPr>
                <w:rStyle w:val="Hyperlink"/>
                <w:rFonts w:ascii="Times New Roman" w:eastAsia="Times New Roman" w:hAnsi="Times New Roman"/>
                <w:noProof/>
                <w:w w:val="102"/>
                <w:lang w:val="en-GB"/>
              </w:rPr>
              <w:t>5.</w:t>
            </w:r>
            <w:r>
              <w:rPr>
                <w:rFonts w:asciiTheme="minorHAnsi" w:eastAsiaTheme="minorEastAsia" w:hAnsiTheme="minorHAnsi" w:cstheme="minorBidi"/>
                <w:i w:val="0"/>
                <w:iCs w:val="0"/>
                <w:noProof/>
                <w:sz w:val="22"/>
                <w:szCs w:val="22"/>
              </w:rPr>
              <w:tab/>
            </w:r>
            <w:r w:rsidRPr="007D29BE">
              <w:rPr>
                <w:rStyle w:val="Hyperlink"/>
                <w:noProof/>
                <w:lang w:val="en-GB"/>
              </w:rPr>
              <w:t>Uncertainty, Expectations, and Shocks</w:t>
            </w:r>
            <w:r>
              <w:rPr>
                <w:noProof/>
                <w:webHidden/>
              </w:rPr>
              <w:tab/>
            </w:r>
            <w:r>
              <w:rPr>
                <w:noProof/>
                <w:webHidden/>
              </w:rPr>
              <w:fldChar w:fldCharType="begin"/>
            </w:r>
            <w:r>
              <w:rPr>
                <w:noProof/>
                <w:webHidden/>
              </w:rPr>
              <w:instrText xml:space="preserve"> PAGEREF _Toc91438049 \h </w:instrText>
            </w:r>
            <w:r>
              <w:rPr>
                <w:noProof/>
                <w:webHidden/>
              </w:rPr>
            </w:r>
            <w:r>
              <w:rPr>
                <w:noProof/>
                <w:webHidden/>
              </w:rPr>
              <w:fldChar w:fldCharType="separate"/>
            </w:r>
            <w:r>
              <w:rPr>
                <w:noProof/>
                <w:webHidden/>
              </w:rPr>
              <w:t>18</w:t>
            </w:r>
            <w:r>
              <w:rPr>
                <w:noProof/>
                <w:webHidden/>
              </w:rPr>
              <w:fldChar w:fldCharType="end"/>
            </w:r>
          </w:hyperlink>
        </w:p>
        <w:p w14:paraId="30A720BC" w14:textId="394C490B" w:rsidR="00976B77" w:rsidRDefault="00976B77">
          <w:pPr>
            <w:pStyle w:val="TOC2"/>
            <w:tabs>
              <w:tab w:val="left" w:pos="660"/>
              <w:tab w:val="right" w:leader="dot" w:pos="9350"/>
            </w:tabs>
            <w:rPr>
              <w:rFonts w:asciiTheme="minorHAnsi" w:eastAsiaTheme="minorEastAsia" w:hAnsiTheme="minorHAnsi" w:cstheme="minorBidi"/>
              <w:i w:val="0"/>
              <w:iCs w:val="0"/>
              <w:noProof/>
              <w:sz w:val="22"/>
              <w:szCs w:val="22"/>
            </w:rPr>
          </w:pPr>
          <w:hyperlink w:anchor="_Toc91438050" w:history="1">
            <w:r w:rsidRPr="007D29BE">
              <w:rPr>
                <w:rStyle w:val="Hyperlink"/>
                <w:rFonts w:ascii="Times New Roman" w:eastAsia="Times New Roman" w:hAnsi="Times New Roman"/>
                <w:noProof/>
                <w:w w:val="102"/>
                <w:lang w:val="en-GB"/>
              </w:rPr>
              <w:t>7.</w:t>
            </w:r>
            <w:r>
              <w:rPr>
                <w:rFonts w:asciiTheme="minorHAnsi" w:eastAsiaTheme="minorEastAsia" w:hAnsiTheme="minorHAnsi" w:cstheme="minorBidi"/>
                <w:i w:val="0"/>
                <w:iCs w:val="0"/>
                <w:noProof/>
                <w:sz w:val="22"/>
                <w:szCs w:val="22"/>
              </w:rPr>
              <w:tab/>
            </w:r>
            <w:r w:rsidRPr="007D29BE">
              <w:rPr>
                <w:rStyle w:val="Hyperlink"/>
                <w:noProof/>
                <w:lang w:val="en-GB"/>
              </w:rPr>
              <w:t>Cultural and Religious Beliefs</w:t>
            </w:r>
            <w:r>
              <w:rPr>
                <w:noProof/>
                <w:webHidden/>
              </w:rPr>
              <w:tab/>
            </w:r>
            <w:r>
              <w:rPr>
                <w:noProof/>
                <w:webHidden/>
              </w:rPr>
              <w:fldChar w:fldCharType="begin"/>
            </w:r>
            <w:r>
              <w:rPr>
                <w:noProof/>
                <w:webHidden/>
              </w:rPr>
              <w:instrText xml:space="preserve"> PAGEREF _Toc91438050 \h </w:instrText>
            </w:r>
            <w:r>
              <w:rPr>
                <w:noProof/>
                <w:webHidden/>
              </w:rPr>
            </w:r>
            <w:r>
              <w:rPr>
                <w:noProof/>
                <w:webHidden/>
              </w:rPr>
              <w:fldChar w:fldCharType="separate"/>
            </w:r>
            <w:r>
              <w:rPr>
                <w:noProof/>
                <w:webHidden/>
              </w:rPr>
              <w:t>20</w:t>
            </w:r>
            <w:r>
              <w:rPr>
                <w:noProof/>
                <w:webHidden/>
              </w:rPr>
              <w:fldChar w:fldCharType="end"/>
            </w:r>
          </w:hyperlink>
        </w:p>
        <w:p w14:paraId="169F9B0D" w14:textId="3F47D58D" w:rsidR="00976B77" w:rsidRDefault="00976B77">
          <w:pPr>
            <w:pStyle w:val="TOC2"/>
            <w:tabs>
              <w:tab w:val="left" w:pos="660"/>
              <w:tab w:val="right" w:leader="dot" w:pos="9350"/>
            </w:tabs>
            <w:rPr>
              <w:rFonts w:asciiTheme="minorHAnsi" w:eastAsiaTheme="minorEastAsia" w:hAnsiTheme="minorHAnsi" w:cstheme="minorBidi"/>
              <w:i w:val="0"/>
              <w:iCs w:val="0"/>
              <w:noProof/>
              <w:sz w:val="22"/>
              <w:szCs w:val="22"/>
            </w:rPr>
          </w:pPr>
          <w:hyperlink w:anchor="_Toc91438051" w:history="1">
            <w:r w:rsidRPr="007D29BE">
              <w:rPr>
                <w:rStyle w:val="Hyperlink"/>
                <w:rFonts w:ascii="Times New Roman" w:eastAsia="Times New Roman" w:hAnsi="Times New Roman"/>
                <w:noProof/>
                <w:w w:val="102"/>
                <w:lang w:val="en-GB"/>
              </w:rPr>
              <w:t>8.</w:t>
            </w:r>
            <w:r>
              <w:rPr>
                <w:rFonts w:asciiTheme="minorHAnsi" w:eastAsiaTheme="minorEastAsia" w:hAnsiTheme="minorHAnsi" w:cstheme="minorBidi"/>
                <w:i w:val="0"/>
                <w:iCs w:val="0"/>
                <w:noProof/>
                <w:sz w:val="22"/>
                <w:szCs w:val="22"/>
              </w:rPr>
              <w:tab/>
            </w:r>
            <w:r w:rsidRPr="007D29BE">
              <w:rPr>
                <w:rStyle w:val="Hyperlink"/>
                <w:noProof/>
                <w:lang w:val="en-GB"/>
              </w:rPr>
              <w:t>Information and Housing Characteristics</w:t>
            </w:r>
            <w:r>
              <w:rPr>
                <w:noProof/>
                <w:webHidden/>
              </w:rPr>
              <w:tab/>
            </w:r>
            <w:r>
              <w:rPr>
                <w:noProof/>
                <w:webHidden/>
              </w:rPr>
              <w:fldChar w:fldCharType="begin"/>
            </w:r>
            <w:r>
              <w:rPr>
                <w:noProof/>
                <w:webHidden/>
              </w:rPr>
              <w:instrText xml:space="preserve"> PAGEREF _Toc91438051 \h </w:instrText>
            </w:r>
            <w:r>
              <w:rPr>
                <w:noProof/>
                <w:webHidden/>
              </w:rPr>
            </w:r>
            <w:r>
              <w:rPr>
                <w:noProof/>
                <w:webHidden/>
              </w:rPr>
              <w:fldChar w:fldCharType="separate"/>
            </w:r>
            <w:r>
              <w:rPr>
                <w:noProof/>
                <w:webHidden/>
              </w:rPr>
              <w:t>21</w:t>
            </w:r>
            <w:r>
              <w:rPr>
                <w:noProof/>
                <w:webHidden/>
              </w:rPr>
              <w:fldChar w:fldCharType="end"/>
            </w:r>
          </w:hyperlink>
        </w:p>
        <w:p w14:paraId="040BF188" w14:textId="34858510" w:rsidR="00976B77" w:rsidRDefault="00976B77">
          <w:pPr>
            <w:pStyle w:val="TOC1"/>
            <w:tabs>
              <w:tab w:val="left" w:pos="440"/>
              <w:tab w:val="right" w:leader="dot" w:pos="9350"/>
            </w:tabs>
            <w:rPr>
              <w:rFonts w:asciiTheme="minorHAnsi" w:eastAsiaTheme="minorEastAsia" w:hAnsiTheme="minorHAnsi" w:cstheme="minorBidi"/>
              <w:b w:val="0"/>
              <w:bCs w:val="0"/>
              <w:noProof/>
              <w:sz w:val="22"/>
              <w:szCs w:val="22"/>
            </w:rPr>
          </w:pPr>
          <w:hyperlink w:anchor="_Toc91438052" w:history="1">
            <w:r w:rsidRPr="007D29BE">
              <w:rPr>
                <w:rStyle w:val="Hyperlink"/>
                <w:noProof/>
                <w:lang w:val="en-GB"/>
              </w:rPr>
              <w:t>V.</w:t>
            </w:r>
            <w:r>
              <w:rPr>
                <w:rFonts w:asciiTheme="minorHAnsi" w:eastAsiaTheme="minorEastAsia" w:hAnsiTheme="minorHAnsi" w:cstheme="minorBidi"/>
                <w:b w:val="0"/>
                <w:bCs w:val="0"/>
                <w:noProof/>
                <w:sz w:val="22"/>
                <w:szCs w:val="22"/>
              </w:rPr>
              <w:tab/>
            </w:r>
            <w:r w:rsidRPr="007D29BE">
              <w:rPr>
                <w:rStyle w:val="Hyperlink"/>
                <w:noProof/>
                <w:lang w:val="en-GB"/>
              </w:rPr>
              <w:t>Constructing the Egyptian Housing Price Index (EHPI)</w:t>
            </w:r>
            <w:r>
              <w:rPr>
                <w:noProof/>
                <w:webHidden/>
              </w:rPr>
              <w:tab/>
            </w:r>
            <w:r>
              <w:rPr>
                <w:noProof/>
                <w:webHidden/>
              </w:rPr>
              <w:fldChar w:fldCharType="begin"/>
            </w:r>
            <w:r>
              <w:rPr>
                <w:noProof/>
                <w:webHidden/>
              </w:rPr>
              <w:instrText xml:space="preserve"> PAGEREF _Toc91438052 \h </w:instrText>
            </w:r>
            <w:r>
              <w:rPr>
                <w:noProof/>
                <w:webHidden/>
              </w:rPr>
            </w:r>
            <w:r>
              <w:rPr>
                <w:noProof/>
                <w:webHidden/>
              </w:rPr>
              <w:fldChar w:fldCharType="separate"/>
            </w:r>
            <w:r>
              <w:rPr>
                <w:noProof/>
                <w:webHidden/>
              </w:rPr>
              <w:t>23</w:t>
            </w:r>
            <w:r>
              <w:rPr>
                <w:noProof/>
                <w:webHidden/>
              </w:rPr>
              <w:fldChar w:fldCharType="end"/>
            </w:r>
          </w:hyperlink>
        </w:p>
        <w:p w14:paraId="593D9D89" w14:textId="5EE1CD72" w:rsidR="00976B77" w:rsidRDefault="00976B77">
          <w:pPr>
            <w:pStyle w:val="TOC1"/>
            <w:tabs>
              <w:tab w:val="left" w:pos="660"/>
              <w:tab w:val="right" w:leader="dot" w:pos="9350"/>
            </w:tabs>
            <w:rPr>
              <w:rFonts w:asciiTheme="minorHAnsi" w:eastAsiaTheme="minorEastAsia" w:hAnsiTheme="minorHAnsi" w:cstheme="minorBidi"/>
              <w:b w:val="0"/>
              <w:bCs w:val="0"/>
              <w:noProof/>
              <w:sz w:val="22"/>
              <w:szCs w:val="22"/>
            </w:rPr>
          </w:pPr>
          <w:hyperlink w:anchor="_Toc91438053" w:history="1">
            <w:r w:rsidRPr="007D29BE">
              <w:rPr>
                <w:rStyle w:val="Hyperlink"/>
                <w:noProof/>
                <w:lang w:val="en-GB"/>
              </w:rPr>
              <w:t>VI.</w:t>
            </w:r>
            <w:r>
              <w:rPr>
                <w:rFonts w:asciiTheme="minorHAnsi" w:eastAsiaTheme="minorEastAsia" w:hAnsiTheme="minorHAnsi" w:cstheme="minorBidi"/>
                <w:b w:val="0"/>
                <w:bCs w:val="0"/>
                <w:noProof/>
                <w:sz w:val="22"/>
                <w:szCs w:val="22"/>
              </w:rPr>
              <w:tab/>
            </w:r>
            <w:r w:rsidRPr="007D29BE">
              <w:rPr>
                <w:rStyle w:val="Hyperlink"/>
                <w:noProof/>
                <w:lang w:val="en-GB"/>
              </w:rPr>
              <w:t>Determinants of Housing Prices in Egypt: Empirical Model</w:t>
            </w:r>
            <w:r>
              <w:rPr>
                <w:noProof/>
                <w:webHidden/>
              </w:rPr>
              <w:tab/>
            </w:r>
            <w:r>
              <w:rPr>
                <w:noProof/>
                <w:webHidden/>
              </w:rPr>
              <w:fldChar w:fldCharType="begin"/>
            </w:r>
            <w:r>
              <w:rPr>
                <w:noProof/>
                <w:webHidden/>
              </w:rPr>
              <w:instrText xml:space="preserve"> PAGEREF _Toc91438053 \h </w:instrText>
            </w:r>
            <w:r>
              <w:rPr>
                <w:noProof/>
                <w:webHidden/>
              </w:rPr>
            </w:r>
            <w:r>
              <w:rPr>
                <w:noProof/>
                <w:webHidden/>
              </w:rPr>
              <w:fldChar w:fldCharType="separate"/>
            </w:r>
            <w:r>
              <w:rPr>
                <w:noProof/>
                <w:webHidden/>
              </w:rPr>
              <w:t>24</w:t>
            </w:r>
            <w:r>
              <w:rPr>
                <w:noProof/>
                <w:webHidden/>
              </w:rPr>
              <w:fldChar w:fldCharType="end"/>
            </w:r>
          </w:hyperlink>
        </w:p>
        <w:p w14:paraId="2BD17447" w14:textId="2A994EB4" w:rsidR="00976B77" w:rsidRDefault="00976B77">
          <w:pPr>
            <w:pStyle w:val="TOC2"/>
            <w:tabs>
              <w:tab w:val="left" w:pos="660"/>
              <w:tab w:val="right" w:leader="dot" w:pos="9350"/>
            </w:tabs>
            <w:rPr>
              <w:rFonts w:asciiTheme="minorHAnsi" w:eastAsiaTheme="minorEastAsia" w:hAnsiTheme="minorHAnsi" w:cstheme="minorBidi"/>
              <w:i w:val="0"/>
              <w:iCs w:val="0"/>
              <w:noProof/>
              <w:sz w:val="22"/>
              <w:szCs w:val="22"/>
            </w:rPr>
          </w:pPr>
          <w:hyperlink w:anchor="_Toc91438054" w:history="1">
            <w:r w:rsidRPr="007D29BE">
              <w:rPr>
                <w:rStyle w:val="Hyperlink"/>
                <w:noProof/>
                <w:lang w:val="en-GB"/>
              </w:rPr>
              <w:t>a.</w:t>
            </w:r>
            <w:r>
              <w:rPr>
                <w:rFonts w:asciiTheme="minorHAnsi" w:eastAsiaTheme="minorEastAsia" w:hAnsiTheme="minorHAnsi" w:cstheme="minorBidi"/>
                <w:i w:val="0"/>
                <w:iCs w:val="0"/>
                <w:noProof/>
                <w:sz w:val="22"/>
                <w:szCs w:val="22"/>
              </w:rPr>
              <w:tab/>
            </w:r>
            <w:r w:rsidRPr="007D29BE">
              <w:rPr>
                <w:rStyle w:val="Hyperlink"/>
                <w:noProof/>
                <w:lang w:val="en-GB"/>
              </w:rPr>
              <w:t>Model Variables</w:t>
            </w:r>
            <w:r>
              <w:rPr>
                <w:noProof/>
                <w:webHidden/>
              </w:rPr>
              <w:tab/>
            </w:r>
            <w:r>
              <w:rPr>
                <w:noProof/>
                <w:webHidden/>
              </w:rPr>
              <w:fldChar w:fldCharType="begin"/>
            </w:r>
            <w:r>
              <w:rPr>
                <w:noProof/>
                <w:webHidden/>
              </w:rPr>
              <w:instrText xml:space="preserve"> PAGEREF _Toc91438054 \h </w:instrText>
            </w:r>
            <w:r>
              <w:rPr>
                <w:noProof/>
                <w:webHidden/>
              </w:rPr>
            </w:r>
            <w:r>
              <w:rPr>
                <w:noProof/>
                <w:webHidden/>
              </w:rPr>
              <w:fldChar w:fldCharType="separate"/>
            </w:r>
            <w:r>
              <w:rPr>
                <w:noProof/>
                <w:webHidden/>
              </w:rPr>
              <w:t>25</w:t>
            </w:r>
            <w:r>
              <w:rPr>
                <w:noProof/>
                <w:webHidden/>
              </w:rPr>
              <w:fldChar w:fldCharType="end"/>
            </w:r>
          </w:hyperlink>
        </w:p>
        <w:p w14:paraId="1D6683AA" w14:textId="46C58005" w:rsidR="00976B77" w:rsidRDefault="00976B77">
          <w:pPr>
            <w:pStyle w:val="TOC2"/>
            <w:tabs>
              <w:tab w:val="left" w:pos="660"/>
              <w:tab w:val="right" w:leader="dot" w:pos="9350"/>
            </w:tabs>
            <w:rPr>
              <w:rFonts w:asciiTheme="minorHAnsi" w:eastAsiaTheme="minorEastAsia" w:hAnsiTheme="minorHAnsi" w:cstheme="minorBidi"/>
              <w:i w:val="0"/>
              <w:iCs w:val="0"/>
              <w:noProof/>
              <w:sz w:val="22"/>
              <w:szCs w:val="22"/>
            </w:rPr>
          </w:pPr>
          <w:hyperlink w:anchor="_Toc91438055" w:history="1">
            <w:r w:rsidRPr="007D29BE">
              <w:rPr>
                <w:rStyle w:val="Hyperlink"/>
                <w:rFonts w:eastAsiaTheme="majorBidi"/>
                <w:noProof/>
              </w:rPr>
              <w:t>b.</w:t>
            </w:r>
            <w:r>
              <w:rPr>
                <w:rFonts w:asciiTheme="minorHAnsi" w:eastAsiaTheme="minorEastAsia" w:hAnsiTheme="minorHAnsi" w:cstheme="minorBidi"/>
                <w:i w:val="0"/>
                <w:iCs w:val="0"/>
                <w:noProof/>
                <w:sz w:val="22"/>
                <w:szCs w:val="22"/>
              </w:rPr>
              <w:tab/>
            </w:r>
            <w:r w:rsidRPr="007D29BE">
              <w:rPr>
                <w:rStyle w:val="Hyperlink"/>
                <w:noProof/>
              </w:rPr>
              <w:t>Empirical Findings</w:t>
            </w:r>
            <w:r>
              <w:rPr>
                <w:noProof/>
                <w:webHidden/>
              </w:rPr>
              <w:tab/>
            </w:r>
            <w:r>
              <w:rPr>
                <w:noProof/>
                <w:webHidden/>
              </w:rPr>
              <w:fldChar w:fldCharType="begin"/>
            </w:r>
            <w:r>
              <w:rPr>
                <w:noProof/>
                <w:webHidden/>
              </w:rPr>
              <w:instrText xml:space="preserve"> PAGEREF _Toc91438055 \h </w:instrText>
            </w:r>
            <w:r>
              <w:rPr>
                <w:noProof/>
                <w:webHidden/>
              </w:rPr>
            </w:r>
            <w:r>
              <w:rPr>
                <w:noProof/>
                <w:webHidden/>
              </w:rPr>
              <w:fldChar w:fldCharType="separate"/>
            </w:r>
            <w:r>
              <w:rPr>
                <w:noProof/>
                <w:webHidden/>
              </w:rPr>
              <w:t>26</w:t>
            </w:r>
            <w:r>
              <w:rPr>
                <w:noProof/>
                <w:webHidden/>
              </w:rPr>
              <w:fldChar w:fldCharType="end"/>
            </w:r>
          </w:hyperlink>
        </w:p>
        <w:p w14:paraId="00D5C942" w14:textId="60A62ED8" w:rsidR="00976B77" w:rsidRDefault="00976B77">
          <w:pPr>
            <w:pStyle w:val="TOC2"/>
            <w:tabs>
              <w:tab w:val="left" w:pos="660"/>
              <w:tab w:val="right" w:leader="dot" w:pos="9350"/>
            </w:tabs>
            <w:rPr>
              <w:rFonts w:asciiTheme="minorHAnsi" w:eastAsiaTheme="minorEastAsia" w:hAnsiTheme="minorHAnsi" w:cstheme="minorBidi"/>
              <w:i w:val="0"/>
              <w:iCs w:val="0"/>
              <w:noProof/>
              <w:sz w:val="22"/>
              <w:szCs w:val="22"/>
            </w:rPr>
          </w:pPr>
          <w:hyperlink w:anchor="_Toc91438056" w:history="1">
            <w:r w:rsidRPr="007D29BE">
              <w:rPr>
                <w:rStyle w:val="Hyperlink"/>
                <w:rFonts w:ascii="Times New Roman" w:hAnsi="Times New Roman" w:cs="Times New Roman"/>
                <w:noProof/>
              </w:rPr>
              <w:t>c.</w:t>
            </w:r>
            <w:r>
              <w:rPr>
                <w:rFonts w:asciiTheme="minorHAnsi" w:eastAsiaTheme="minorEastAsia" w:hAnsiTheme="minorHAnsi" w:cstheme="minorBidi"/>
                <w:i w:val="0"/>
                <w:iCs w:val="0"/>
                <w:noProof/>
                <w:sz w:val="22"/>
                <w:szCs w:val="22"/>
              </w:rPr>
              <w:tab/>
            </w:r>
            <w:r w:rsidRPr="007D29BE">
              <w:rPr>
                <w:rStyle w:val="Hyperlink"/>
                <w:rFonts w:ascii="Times New Roman" w:hAnsi="Times New Roman" w:cs="Times New Roman"/>
                <w:noProof/>
              </w:rPr>
              <w:t>Statistical Checks</w:t>
            </w:r>
            <w:r>
              <w:rPr>
                <w:noProof/>
                <w:webHidden/>
              </w:rPr>
              <w:tab/>
            </w:r>
            <w:r>
              <w:rPr>
                <w:noProof/>
                <w:webHidden/>
              </w:rPr>
              <w:fldChar w:fldCharType="begin"/>
            </w:r>
            <w:r>
              <w:rPr>
                <w:noProof/>
                <w:webHidden/>
              </w:rPr>
              <w:instrText xml:space="preserve"> PAGEREF _Toc91438056 \h </w:instrText>
            </w:r>
            <w:r>
              <w:rPr>
                <w:noProof/>
                <w:webHidden/>
              </w:rPr>
            </w:r>
            <w:r>
              <w:rPr>
                <w:noProof/>
                <w:webHidden/>
              </w:rPr>
              <w:fldChar w:fldCharType="separate"/>
            </w:r>
            <w:r>
              <w:rPr>
                <w:noProof/>
                <w:webHidden/>
              </w:rPr>
              <w:t>30</w:t>
            </w:r>
            <w:r>
              <w:rPr>
                <w:noProof/>
                <w:webHidden/>
              </w:rPr>
              <w:fldChar w:fldCharType="end"/>
            </w:r>
          </w:hyperlink>
        </w:p>
        <w:p w14:paraId="24969ACE" w14:textId="4596A2F2" w:rsidR="00976B77" w:rsidRDefault="00976B77">
          <w:pPr>
            <w:pStyle w:val="TOC1"/>
            <w:tabs>
              <w:tab w:val="left" w:pos="660"/>
              <w:tab w:val="right" w:leader="dot" w:pos="9350"/>
            </w:tabs>
            <w:rPr>
              <w:rFonts w:asciiTheme="minorHAnsi" w:eastAsiaTheme="minorEastAsia" w:hAnsiTheme="minorHAnsi" w:cstheme="minorBidi"/>
              <w:b w:val="0"/>
              <w:bCs w:val="0"/>
              <w:noProof/>
              <w:sz w:val="22"/>
              <w:szCs w:val="22"/>
            </w:rPr>
          </w:pPr>
          <w:hyperlink w:anchor="_Toc91438057" w:history="1">
            <w:r w:rsidRPr="007D29BE">
              <w:rPr>
                <w:rStyle w:val="Hyperlink"/>
                <w:noProof/>
                <w:lang w:val="en-GB"/>
              </w:rPr>
              <w:t>VII.</w:t>
            </w:r>
            <w:r>
              <w:rPr>
                <w:rFonts w:asciiTheme="minorHAnsi" w:eastAsiaTheme="minorEastAsia" w:hAnsiTheme="minorHAnsi" w:cstheme="minorBidi"/>
                <w:b w:val="0"/>
                <w:bCs w:val="0"/>
                <w:noProof/>
                <w:sz w:val="22"/>
                <w:szCs w:val="22"/>
              </w:rPr>
              <w:tab/>
            </w:r>
            <w:r w:rsidRPr="007D29BE">
              <w:rPr>
                <w:rStyle w:val="Hyperlink"/>
                <w:noProof/>
                <w:lang w:val="en-GB"/>
              </w:rPr>
              <w:t>Discussion</w:t>
            </w:r>
            <w:r>
              <w:rPr>
                <w:noProof/>
                <w:webHidden/>
              </w:rPr>
              <w:tab/>
            </w:r>
            <w:r>
              <w:rPr>
                <w:noProof/>
                <w:webHidden/>
              </w:rPr>
              <w:fldChar w:fldCharType="begin"/>
            </w:r>
            <w:r>
              <w:rPr>
                <w:noProof/>
                <w:webHidden/>
              </w:rPr>
              <w:instrText xml:space="preserve"> PAGEREF _Toc91438057 \h </w:instrText>
            </w:r>
            <w:r>
              <w:rPr>
                <w:noProof/>
                <w:webHidden/>
              </w:rPr>
            </w:r>
            <w:r>
              <w:rPr>
                <w:noProof/>
                <w:webHidden/>
              </w:rPr>
              <w:fldChar w:fldCharType="separate"/>
            </w:r>
            <w:r>
              <w:rPr>
                <w:noProof/>
                <w:webHidden/>
              </w:rPr>
              <w:t>31</w:t>
            </w:r>
            <w:r>
              <w:rPr>
                <w:noProof/>
                <w:webHidden/>
              </w:rPr>
              <w:fldChar w:fldCharType="end"/>
            </w:r>
          </w:hyperlink>
        </w:p>
        <w:p w14:paraId="40BDA2A9" w14:textId="574E8B07" w:rsidR="00976B77" w:rsidRDefault="00976B77">
          <w:pPr>
            <w:pStyle w:val="TOC1"/>
            <w:tabs>
              <w:tab w:val="left" w:pos="660"/>
              <w:tab w:val="right" w:leader="dot" w:pos="9350"/>
            </w:tabs>
            <w:rPr>
              <w:rFonts w:asciiTheme="minorHAnsi" w:eastAsiaTheme="minorEastAsia" w:hAnsiTheme="minorHAnsi" w:cstheme="minorBidi"/>
              <w:b w:val="0"/>
              <w:bCs w:val="0"/>
              <w:noProof/>
              <w:sz w:val="22"/>
              <w:szCs w:val="22"/>
            </w:rPr>
          </w:pPr>
          <w:hyperlink w:anchor="_Toc91438058" w:history="1">
            <w:r w:rsidRPr="007D29BE">
              <w:rPr>
                <w:rStyle w:val="Hyperlink"/>
                <w:noProof/>
                <w:lang w:val="en-GB"/>
              </w:rPr>
              <w:t>VIII.</w:t>
            </w:r>
            <w:r>
              <w:rPr>
                <w:rFonts w:asciiTheme="minorHAnsi" w:eastAsiaTheme="minorEastAsia" w:hAnsiTheme="minorHAnsi" w:cstheme="minorBidi"/>
                <w:b w:val="0"/>
                <w:bCs w:val="0"/>
                <w:noProof/>
                <w:sz w:val="22"/>
                <w:szCs w:val="22"/>
              </w:rPr>
              <w:tab/>
            </w:r>
            <w:r w:rsidRPr="007D29BE">
              <w:rPr>
                <w:rStyle w:val="Hyperlink"/>
                <w:noProof/>
                <w:lang w:val="en-GB"/>
              </w:rPr>
              <w:t>Conclusion and Policy Recommendations</w:t>
            </w:r>
            <w:r>
              <w:rPr>
                <w:noProof/>
                <w:webHidden/>
              </w:rPr>
              <w:tab/>
            </w:r>
            <w:r>
              <w:rPr>
                <w:noProof/>
                <w:webHidden/>
              </w:rPr>
              <w:fldChar w:fldCharType="begin"/>
            </w:r>
            <w:r>
              <w:rPr>
                <w:noProof/>
                <w:webHidden/>
              </w:rPr>
              <w:instrText xml:space="preserve"> PAGEREF _Toc91438058 \h </w:instrText>
            </w:r>
            <w:r>
              <w:rPr>
                <w:noProof/>
                <w:webHidden/>
              </w:rPr>
            </w:r>
            <w:r>
              <w:rPr>
                <w:noProof/>
                <w:webHidden/>
              </w:rPr>
              <w:fldChar w:fldCharType="separate"/>
            </w:r>
            <w:r>
              <w:rPr>
                <w:noProof/>
                <w:webHidden/>
              </w:rPr>
              <w:t>32</w:t>
            </w:r>
            <w:r>
              <w:rPr>
                <w:noProof/>
                <w:webHidden/>
              </w:rPr>
              <w:fldChar w:fldCharType="end"/>
            </w:r>
          </w:hyperlink>
        </w:p>
        <w:p w14:paraId="4615F9DC" w14:textId="0F51116E" w:rsidR="00976B77" w:rsidRDefault="00976B77">
          <w:pPr>
            <w:pStyle w:val="TOC1"/>
            <w:tabs>
              <w:tab w:val="right" w:leader="dot" w:pos="9350"/>
            </w:tabs>
            <w:rPr>
              <w:rFonts w:asciiTheme="minorHAnsi" w:eastAsiaTheme="minorEastAsia" w:hAnsiTheme="minorHAnsi" w:cstheme="minorBidi"/>
              <w:b w:val="0"/>
              <w:bCs w:val="0"/>
              <w:noProof/>
              <w:sz w:val="22"/>
              <w:szCs w:val="22"/>
            </w:rPr>
          </w:pPr>
          <w:hyperlink w:anchor="_Toc91438059" w:history="1">
            <w:r w:rsidRPr="007D29BE">
              <w:rPr>
                <w:rStyle w:val="Hyperlink"/>
                <w:noProof/>
                <w:lang w:val="en-GB"/>
              </w:rPr>
              <w:t>Reference List:</w:t>
            </w:r>
            <w:r>
              <w:rPr>
                <w:noProof/>
                <w:webHidden/>
              </w:rPr>
              <w:tab/>
            </w:r>
            <w:r>
              <w:rPr>
                <w:noProof/>
                <w:webHidden/>
              </w:rPr>
              <w:fldChar w:fldCharType="begin"/>
            </w:r>
            <w:r>
              <w:rPr>
                <w:noProof/>
                <w:webHidden/>
              </w:rPr>
              <w:instrText xml:space="preserve"> PAGEREF _Toc91438059 \h </w:instrText>
            </w:r>
            <w:r>
              <w:rPr>
                <w:noProof/>
                <w:webHidden/>
              </w:rPr>
            </w:r>
            <w:r>
              <w:rPr>
                <w:noProof/>
                <w:webHidden/>
              </w:rPr>
              <w:fldChar w:fldCharType="separate"/>
            </w:r>
            <w:r>
              <w:rPr>
                <w:noProof/>
                <w:webHidden/>
              </w:rPr>
              <w:t>33</w:t>
            </w:r>
            <w:r>
              <w:rPr>
                <w:noProof/>
                <w:webHidden/>
              </w:rPr>
              <w:fldChar w:fldCharType="end"/>
            </w:r>
          </w:hyperlink>
        </w:p>
        <w:p w14:paraId="7A5B3AA2" w14:textId="1DEABC41" w:rsidR="00DE108C" w:rsidRPr="007909A3" w:rsidRDefault="00976B77" w:rsidP="007909A3">
          <w:pPr>
            <w:pStyle w:val="TOC3"/>
            <w:tabs>
              <w:tab w:val="right" w:leader="dot" w:pos="9350"/>
            </w:tabs>
            <w:rPr>
              <w:rFonts w:asciiTheme="minorHAnsi" w:eastAsiaTheme="minorEastAsia" w:hAnsiTheme="minorHAnsi" w:cstheme="minorBidi"/>
              <w:noProof/>
              <w:sz w:val="22"/>
              <w:szCs w:val="22"/>
            </w:rPr>
          </w:pPr>
          <w:hyperlink w:anchor="_Toc91438060" w:history="1">
            <w:r w:rsidRPr="007D29BE">
              <w:rPr>
                <w:rStyle w:val="Hyperlink"/>
                <w:b/>
                <w:bCs/>
                <w:iCs/>
                <w:noProof/>
              </w:rPr>
              <w:t xml:space="preserve">Annex </w:t>
            </w:r>
            <w:r>
              <w:rPr>
                <w:noProof/>
                <w:webHidden/>
              </w:rPr>
              <w:tab/>
            </w:r>
            <w:r>
              <w:rPr>
                <w:noProof/>
                <w:webHidden/>
              </w:rPr>
              <w:fldChar w:fldCharType="begin"/>
            </w:r>
            <w:r>
              <w:rPr>
                <w:noProof/>
                <w:webHidden/>
              </w:rPr>
              <w:instrText xml:space="preserve"> PAGEREF _Toc91438060 \h </w:instrText>
            </w:r>
            <w:r>
              <w:rPr>
                <w:noProof/>
                <w:webHidden/>
              </w:rPr>
            </w:r>
            <w:r>
              <w:rPr>
                <w:noProof/>
                <w:webHidden/>
              </w:rPr>
              <w:fldChar w:fldCharType="separate"/>
            </w:r>
            <w:r>
              <w:rPr>
                <w:noProof/>
                <w:webHidden/>
              </w:rPr>
              <w:t>38</w:t>
            </w:r>
            <w:r>
              <w:rPr>
                <w:noProof/>
                <w:webHidden/>
              </w:rPr>
              <w:fldChar w:fldCharType="end"/>
            </w:r>
          </w:hyperlink>
          <w:r w:rsidR="00A82D4F" w:rsidRPr="00032DA6">
            <w:rPr>
              <w:b/>
              <w:bCs/>
              <w:noProof/>
              <w:lang w:val="en-GB"/>
            </w:rPr>
            <w:fldChar w:fldCharType="end"/>
          </w:r>
        </w:p>
      </w:sdtContent>
    </w:sdt>
    <w:p w14:paraId="7FB601F3" w14:textId="59D92D34" w:rsidR="00FB4BA3" w:rsidRPr="00032DA6" w:rsidRDefault="00106028" w:rsidP="00DE108C">
      <w:pPr>
        <w:pStyle w:val="Heading1"/>
        <w:numPr>
          <w:ilvl w:val="0"/>
          <w:numId w:val="16"/>
        </w:numPr>
        <w:spacing w:line="276" w:lineRule="auto"/>
        <w:ind w:left="270" w:hanging="90"/>
        <w:rPr>
          <w:szCs w:val="28"/>
          <w:lang w:val="en-GB"/>
        </w:rPr>
      </w:pPr>
      <w:bookmarkStart w:id="2" w:name="_Toc91107865"/>
      <w:bookmarkStart w:id="3" w:name="_Toc91438031"/>
      <w:r w:rsidRPr="00032DA6">
        <w:rPr>
          <w:szCs w:val="28"/>
          <w:lang w:val="en-GB"/>
        </w:rPr>
        <w:t>Introduction</w:t>
      </w:r>
      <w:bookmarkEnd w:id="3"/>
      <w:r w:rsidR="000628FD" w:rsidRPr="00032DA6">
        <w:rPr>
          <w:szCs w:val="28"/>
          <w:lang w:val="en-GB"/>
        </w:rPr>
        <w:t xml:space="preserve"> </w:t>
      </w:r>
      <w:bookmarkEnd w:id="2"/>
    </w:p>
    <w:p w14:paraId="5D903E2E" w14:textId="64EC2C51" w:rsidR="00BA08F2" w:rsidRPr="002F06D4" w:rsidRDefault="00F014AD" w:rsidP="00DE108C">
      <w:pPr>
        <w:spacing w:before="120" w:after="120" w:line="276" w:lineRule="auto"/>
        <w:jc w:val="lowKashida"/>
        <w:rPr>
          <w:rFonts w:cstheme="majorBidi"/>
          <w:lang w:val="en-GB"/>
        </w:rPr>
      </w:pPr>
      <w:r w:rsidRPr="002F06D4">
        <w:rPr>
          <w:rFonts w:ascii="Times New Roman" w:eastAsia="Times New Roman" w:hAnsi="Times New Roman" w:cs="Times New Roman"/>
          <w:color w:val="000000" w:themeColor="text1"/>
          <w:lang w:val="en-GB"/>
        </w:rPr>
        <w:t>Housing markets are evolving quickly in emerging markets as part of the natural urban development as well as the evolution of financial instruments and global financial integration. However, limited research and lack of data constitute a challenge to addressing the above theoretical interrelationships and dynamics in these markets</w:t>
      </w:r>
      <w:r w:rsidR="00990C1E" w:rsidRPr="002F06D4">
        <w:rPr>
          <w:rFonts w:ascii="Times New Roman" w:eastAsia="Times New Roman" w:hAnsi="Times New Roman" w:cs="Times New Roman"/>
          <w:color w:val="000000" w:themeColor="text1"/>
          <w:lang w:val="en-GB"/>
        </w:rPr>
        <w:t xml:space="preserve">. It is argued in literature that </w:t>
      </w:r>
      <w:r w:rsidR="00990C1E" w:rsidRPr="002F06D4">
        <w:rPr>
          <w:rFonts w:cstheme="majorBidi"/>
          <w:lang w:val="en-GB"/>
        </w:rPr>
        <w:t>h</w:t>
      </w:r>
      <w:r w:rsidR="00BA08F2" w:rsidRPr="002F06D4">
        <w:rPr>
          <w:rFonts w:cstheme="majorBidi"/>
          <w:lang w:val="en-GB"/>
        </w:rPr>
        <w:t xml:space="preserve">ousing demand in is affected by many determinants in theory and literature and follow many patterns; either a normal cyclical pattern or a bubble-bust </w:t>
      </w:r>
      <w:r w:rsidR="004906F2" w:rsidRPr="002F06D4">
        <w:rPr>
          <w:rFonts w:cstheme="majorBidi"/>
          <w:lang w:val="en-GB"/>
        </w:rPr>
        <w:t>behaviour</w:t>
      </w:r>
      <w:r w:rsidR="00BA08F2" w:rsidRPr="002F06D4">
        <w:rPr>
          <w:rFonts w:cstheme="majorBidi"/>
          <w:lang w:val="en-GB"/>
        </w:rPr>
        <w:t xml:space="preserve"> that is mainly driven by expectations about the future. Main macro-financial fundamentals mainly affect cyclical housing prices. They include </w:t>
      </w:r>
      <w:r w:rsidR="00EE4139" w:rsidRPr="002F06D4">
        <w:rPr>
          <w:rFonts w:cstheme="majorBidi"/>
          <w:lang w:val="en-GB"/>
        </w:rPr>
        <w:t>i</w:t>
      </w:r>
      <w:r w:rsidR="00BA08F2" w:rsidRPr="002F06D4">
        <w:rPr>
          <w:rFonts w:cstheme="majorBidi"/>
          <w:lang w:val="en-GB"/>
        </w:rPr>
        <w:t>nterest rates, real per-capita income, access to finance and sectoral developments. This is in addition to institutional variables such as mortgage laws, banking regulations and other financial instruments (Lambertini et al., 2010).</w:t>
      </w:r>
    </w:p>
    <w:p w14:paraId="01AE5CE8" w14:textId="7A96A41E" w:rsidR="00BA08F2" w:rsidRPr="002F06D4" w:rsidRDefault="00EE4139" w:rsidP="00DE108C">
      <w:pPr>
        <w:spacing w:before="120" w:after="120" w:line="276" w:lineRule="auto"/>
        <w:jc w:val="lowKashida"/>
        <w:rPr>
          <w:rFonts w:cstheme="majorBidi"/>
          <w:lang w:val="en-GB"/>
        </w:rPr>
      </w:pPr>
      <w:r w:rsidRPr="002F06D4">
        <w:rPr>
          <w:rFonts w:cstheme="majorBidi"/>
          <w:lang w:val="en-GB"/>
        </w:rPr>
        <w:t>Behavioural</w:t>
      </w:r>
      <w:r w:rsidR="00BA08F2" w:rsidRPr="002F06D4">
        <w:rPr>
          <w:rFonts w:cstheme="majorBidi"/>
          <w:lang w:val="en-GB"/>
        </w:rPr>
        <w:t xml:space="preserve"> factors also affect home buying decisions and thus impact housing demand and prices during normal cycles. Case and Shiller (2003) referred to the importance of </w:t>
      </w:r>
      <w:r w:rsidRPr="002F06D4">
        <w:rPr>
          <w:rFonts w:cstheme="majorBidi"/>
          <w:lang w:val="en-GB"/>
        </w:rPr>
        <w:t>behavioural</w:t>
      </w:r>
      <w:r w:rsidR="00BA08F2" w:rsidRPr="002F06D4">
        <w:rPr>
          <w:rFonts w:cstheme="majorBidi"/>
          <w:lang w:val="en-GB"/>
        </w:rPr>
        <w:t xml:space="preserve"> factors in influencing household home buying economic decisions; either for occupation or for investment and can be a core cause of housing bubbles with increased uncertainty. People’s perceptions about the risks associated with investment in the housing sector affect their expectations about the future. </w:t>
      </w:r>
    </w:p>
    <w:p w14:paraId="192EDCDE" w14:textId="4C560197" w:rsidR="00BA08F2" w:rsidRPr="002F06D4" w:rsidRDefault="00BA08F2" w:rsidP="00DE108C">
      <w:pPr>
        <w:spacing w:before="120" w:after="120" w:line="276" w:lineRule="auto"/>
        <w:jc w:val="lowKashida"/>
        <w:rPr>
          <w:rFonts w:cstheme="majorBidi"/>
          <w:color w:val="FF0000"/>
          <w:lang w:val="en-GB"/>
        </w:rPr>
      </w:pPr>
      <w:r w:rsidRPr="002F06D4">
        <w:rPr>
          <w:rFonts w:cstheme="majorBidi"/>
          <w:lang w:val="en-GB"/>
        </w:rPr>
        <w:t xml:space="preserve">Regarding the factors affecting the so-called housing bubbles, as argued in Stiglitz (1990), an excessive increase in demand and prices that results solely from expectations about a future increase in selling prices will cause a housing bubble. A housing bubble occurs in the case when prices are high today </w:t>
      </w:r>
      <w:r w:rsidRPr="002F06D4">
        <w:rPr>
          <w:rFonts w:cstheme="majorBidi"/>
          <w:i/>
          <w:iCs/>
          <w:lang w:val="en-GB"/>
        </w:rPr>
        <w:t>only</w:t>
      </w:r>
      <w:r w:rsidRPr="002F06D4">
        <w:rPr>
          <w:rFonts w:cstheme="majorBidi"/>
          <w:lang w:val="en-GB"/>
        </w:rPr>
        <w:t xml:space="preserve"> because investors believe that the future selling price will be higher which will result in higher yields compared to alternative assets while fundamental variables do</w:t>
      </w:r>
      <w:r w:rsidR="00EE4139" w:rsidRPr="002F06D4">
        <w:rPr>
          <w:rFonts w:cstheme="majorBidi"/>
          <w:lang w:val="en-GB"/>
        </w:rPr>
        <w:t xml:space="preserve"> not </w:t>
      </w:r>
      <w:r w:rsidRPr="002F06D4">
        <w:rPr>
          <w:rFonts w:cstheme="majorBidi"/>
          <w:lang w:val="en-GB"/>
        </w:rPr>
        <w:t>seem to play a role in this price rise. This bubble phenomenon usually get</w:t>
      </w:r>
      <w:r w:rsidR="00EE4139" w:rsidRPr="002F06D4">
        <w:rPr>
          <w:rFonts w:cstheme="majorBidi"/>
          <w:lang w:val="en-GB"/>
        </w:rPr>
        <w:t>s</w:t>
      </w:r>
      <w:r w:rsidRPr="002F06D4">
        <w:rPr>
          <w:rFonts w:cstheme="majorBidi"/>
          <w:lang w:val="en-GB"/>
        </w:rPr>
        <w:t xml:space="preserve"> reversed when expectations about the future are altered as a result of sudden uncertainty shocks, expected changes in monetary policy stance and/or reaching the fourth stage of the-so-called Minsky’s cycle – known as Minsky’s moment.</w:t>
      </w:r>
      <w:r w:rsidRPr="002F06D4">
        <w:rPr>
          <w:rFonts w:cstheme="majorBidi"/>
          <w:color w:val="FF0000"/>
          <w:lang w:val="en-GB"/>
        </w:rPr>
        <w:t xml:space="preserve"> </w:t>
      </w:r>
      <w:r w:rsidRPr="002F06D4">
        <w:rPr>
          <w:rFonts w:cstheme="majorBidi"/>
          <w:lang w:val="en-GB"/>
        </w:rPr>
        <w:t xml:space="preserve">According to this theory, housing markets would suddenly collapse as a result of a fall in business sentiment and elevated debt following an era of persisting speculative </w:t>
      </w:r>
      <w:r w:rsidR="00EE4139" w:rsidRPr="002F06D4">
        <w:rPr>
          <w:rFonts w:cstheme="majorBidi"/>
          <w:lang w:val="en-GB"/>
        </w:rPr>
        <w:t>behaviour</w:t>
      </w:r>
      <w:r w:rsidRPr="002F06D4">
        <w:rPr>
          <w:rFonts w:cstheme="majorBidi"/>
          <w:lang w:val="en-GB"/>
        </w:rPr>
        <w:t xml:space="preserve"> that accompanied loose access to credit that gets quickly transmitted from the housing sector to other sectors in the economy (</w:t>
      </w:r>
      <w:r w:rsidRPr="002F06D4">
        <w:rPr>
          <w:rFonts w:cstheme="majorBidi"/>
          <w:lang w:val="en-GB" w:bidi="ar-EG"/>
        </w:rPr>
        <w:t>Vercelli, 2009).</w:t>
      </w:r>
    </w:p>
    <w:p w14:paraId="138FFB16" w14:textId="49737DDC" w:rsidR="002D6851" w:rsidRPr="002F06D4" w:rsidRDefault="00BA08F2" w:rsidP="00DE108C">
      <w:pPr>
        <w:tabs>
          <w:tab w:val="left" w:pos="1140"/>
          <w:tab w:val="left" w:pos="8800"/>
        </w:tabs>
        <w:spacing w:before="120" w:after="120" w:line="276" w:lineRule="auto"/>
        <w:ind w:right="-14"/>
        <w:jc w:val="lowKashida"/>
        <w:rPr>
          <w:rFonts w:eastAsia="Calibri" w:cstheme="majorBidi"/>
          <w:lang w:val="en-GB"/>
        </w:rPr>
      </w:pPr>
      <w:r w:rsidRPr="002F06D4">
        <w:rPr>
          <w:rFonts w:cstheme="majorBidi"/>
          <w:lang w:val="en-GB"/>
        </w:rPr>
        <w:t>In Egypt, the housing sector is a very important sector for many reasons</w:t>
      </w:r>
      <w:r w:rsidR="00AB2DA1" w:rsidRPr="002F06D4">
        <w:rPr>
          <w:rFonts w:cstheme="majorBidi"/>
          <w:lang w:val="en-GB"/>
        </w:rPr>
        <w:t>.</w:t>
      </w:r>
      <w:r w:rsidRPr="002F06D4">
        <w:rPr>
          <w:rFonts w:cstheme="majorBidi"/>
          <w:lang w:val="en-GB"/>
        </w:rPr>
        <w:t xml:space="preserve"> </w:t>
      </w:r>
      <w:r w:rsidR="00FD6709" w:rsidRPr="002F06D4">
        <w:rPr>
          <w:rFonts w:cstheme="majorBidi"/>
          <w:u w:val="single"/>
          <w:lang w:val="en-GB"/>
        </w:rPr>
        <w:t>F</w:t>
      </w:r>
      <w:r w:rsidRPr="002F06D4">
        <w:rPr>
          <w:rFonts w:cstheme="majorBidi"/>
          <w:u w:val="single"/>
          <w:lang w:val="en-GB"/>
        </w:rPr>
        <w:t>irst</w:t>
      </w:r>
      <w:r w:rsidRPr="002F06D4">
        <w:rPr>
          <w:rFonts w:cstheme="majorBidi"/>
          <w:lang w:val="en-GB"/>
        </w:rPr>
        <w:t xml:space="preserve">, it has established backward and forward domestic linkages with other sectors in the economy and contributes to more than 20% of real growth rate according to the Egyptian Ministry of Planning and Economic Development official data (MPED, 2018). There is a lack of evidence-based data on the housing prices in Egypt in official sources, surveys, national accounts, etc. we argue that this results in a problem of asymmetric information affects market equilibrium and decisions of all stakeholders. It also constitutes a challenge for researchers to understand the interactions between the housing market dynamics and the macroeconomic fundamentals in the Egyptian economy. </w:t>
      </w:r>
      <w:r w:rsidRPr="002F06D4">
        <w:rPr>
          <w:rFonts w:cstheme="majorBidi"/>
          <w:u w:val="single"/>
          <w:lang w:val="en-GB"/>
        </w:rPr>
        <w:t>Second</w:t>
      </w:r>
      <w:r w:rsidRPr="002F06D4">
        <w:rPr>
          <w:rFonts w:cstheme="majorBidi"/>
          <w:lang w:val="en-GB"/>
        </w:rPr>
        <w:t xml:space="preserve">, it has strong interactions with financial and monetary dynamics in the economy where monetary policy, access to credit, changes in per-capita income as well as overall macroeconomic and financial performance affect housing prices on the macro level. </w:t>
      </w:r>
      <w:r w:rsidRPr="002F06D4">
        <w:rPr>
          <w:rFonts w:cstheme="majorBidi"/>
          <w:u w:val="single"/>
          <w:lang w:val="en-GB"/>
        </w:rPr>
        <w:t>Third</w:t>
      </w:r>
      <w:r w:rsidRPr="002F06D4">
        <w:rPr>
          <w:rFonts w:cstheme="majorBidi"/>
          <w:lang w:val="en-GB"/>
        </w:rPr>
        <w:t xml:space="preserve">, the housing and construction sector in Egypt runs within a sophisticated system of institutions and regulations that has to do with land ownership, access to finance and other laws and regulations altogether adding to the specific nature of the Egyptian housing market. </w:t>
      </w:r>
      <w:r w:rsidRPr="002F06D4">
        <w:rPr>
          <w:rFonts w:cstheme="majorBidi"/>
          <w:u w:val="single"/>
          <w:lang w:val="en-GB"/>
        </w:rPr>
        <w:t>Fourth</w:t>
      </w:r>
      <w:r w:rsidRPr="002F06D4">
        <w:rPr>
          <w:rFonts w:cstheme="majorBidi"/>
          <w:lang w:val="en-GB"/>
        </w:rPr>
        <w:t xml:space="preserve">, home buying decisions in Egypt are also governed with many </w:t>
      </w:r>
      <w:r w:rsidRPr="002F06D4">
        <w:rPr>
          <w:rFonts w:cstheme="majorBidi"/>
          <w:i/>
          <w:iCs/>
          <w:lang w:val="en-GB"/>
        </w:rPr>
        <w:t xml:space="preserve">cultural and </w:t>
      </w:r>
      <w:r w:rsidR="00EE4139" w:rsidRPr="002F06D4">
        <w:rPr>
          <w:rFonts w:cstheme="majorBidi"/>
          <w:i/>
          <w:iCs/>
          <w:lang w:val="en-GB"/>
        </w:rPr>
        <w:t>behavioural</w:t>
      </w:r>
      <w:r w:rsidRPr="002F06D4">
        <w:rPr>
          <w:rFonts w:cstheme="majorBidi"/>
          <w:lang w:val="en-GB"/>
        </w:rPr>
        <w:t xml:space="preserve"> factors that add to the specific nature of the Egyptian housing market. For example, </w:t>
      </w:r>
      <w:r w:rsidRPr="002F06D4">
        <w:rPr>
          <w:rFonts w:eastAsia="Calibri" w:cstheme="majorBidi"/>
          <w:lang w:val="en-GB"/>
        </w:rPr>
        <w:t>religious beliefs where people would resort to housing investment as a religiously safer option to comply with Islamic Sharia compared to fixed-interest banking schemes.</w:t>
      </w:r>
    </w:p>
    <w:p w14:paraId="08AC31FC" w14:textId="13A80004" w:rsidR="001B66C2" w:rsidRPr="002F06D4" w:rsidRDefault="00BA08F2" w:rsidP="00684C95">
      <w:pPr>
        <w:tabs>
          <w:tab w:val="left" w:pos="1140"/>
          <w:tab w:val="left" w:pos="8800"/>
        </w:tabs>
        <w:spacing w:before="120" w:after="120" w:line="276" w:lineRule="auto"/>
        <w:ind w:right="-14"/>
        <w:jc w:val="lowKashida"/>
        <w:rPr>
          <w:rFonts w:eastAsia="Calibri" w:cstheme="majorBidi"/>
          <w:lang w:val="en-GB"/>
        </w:rPr>
      </w:pPr>
      <w:r w:rsidRPr="002F06D4">
        <w:rPr>
          <w:rFonts w:cstheme="majorBidi"/>
          <w:lang w:val="en-GB"/>
        </w:rPr>
        <w:t xml:space="preserve">To our knowledge, despite the above significance, studying the housing market and demand in Egypt from this perspective has not yet received good attention in academic literature and/or relevant policy works. We also believe that studying the recent COVID19 crisis shall also have important implications on housing prices and demand in Egypt as per the reviewed literature of sudden uncertainty shocks.  While it is too early to anticipate the impact, we argue that the housing demand in Egypt might follow either the overall recessionary wave in the economy and hence would witness deflating prices or oppositely the housing prices might surge; being a safe form of domestic investment in times of high economic uncertainty compared to other investment </w:t>
      </w:r>
      <w:r w:rsidR="005310BD" w:rsidRPr="002F06D4">
        <w:rPr>
          <w:rFonts w:cstheme="majorBidi"/>
          <w:lang w:val="en-GB"/>
        </w:rPr>
        <w:t>assets.</w:t>
      </w:r>
      <w:r w:rsidR="005310BD" w:rsidRPr="002F06D4">
        <w:rPr>
          <w:rFonts w:ascii="Times New Roman" w:eastAsia="Times New Roman" w:hAnsi="Times New Roman" w:cs="Times New Roman"/>
          <w:color w:val="000000" w:themeColor="text1"/>
          <w:lang w:val="en-GB"/>
        </w:rPr>
        <w:t xml:space="preserve"> The</w:t>
      </w:r>
      <w:r w:rsidR="001B66C2" w:rsidRPr="002F06D4">
        <w:rPr>
          <w:rFonts w:ascii="Times New Roman" w:eastAsia="Times New Roman" w:hAnsi="Times New Roman" w:cs="Times New Roman"/>
          <w:color w:val="000000" w:themeColor="text1"/>
          <w:lang w:val="en-GB"/>
        </w:rPr>
        <w:t xml:space="preserve"> paper intends to answer three main questions:</w:t>
      </w:r>
      <w:r w:rsidR="00AF7B55" w:rsidRPr="002F06D4">
        <w:rPr>
          <w:rFonts w:ascii="Times New Roman" w:eastAsia="Times New Roman" w:hAnsi="Times New Roman" w:cs="Times New Roman"/>
          <w:color w:val="000000" w:themeColor="text1"/>
          <w:lang w:val="en-GB"/>
        </w:rPr>
        <w:t xml:space="preserve"> (1)</w:t>
      </w:r>
      <w:r w:rsidR="00AF7B55" w:rsidRPr="002F06D4">
        <w:rPr>
          <w:rFonts w:eastAsia="Calibri" w:cstheme="majorBidi"/>
          <w:lang w:val="en-GB"/>
        </w:rPr>
        <w:t xml:space="preserve"> </w:t>
      </w:r>
      <w:r w:rsidR="001B66C2" w:rsidRPr="002F06D4">
        <w:rPr>
          <w:rFonts w:cstheme="majorBidi"/>
          <w:lang w:val="en-GB"/>
        </w:rPr>
        <w:t>What are the main determinants of housing prices in Egypt?</w:t>
      </w:r>
      <w:r w:rsidR="00AF7B55" w:rsidRPr="002F06D4">
        <w:rPr>
          <w:rFonts w:cstheme="majorBidi"/>
          <w:lang w:val="en-GB"/>
        </w:rPr>
        <w:t>, (2)</w:t>
      </w:r>
      <w:r w:rsidR="001B66C2" w:rsidRPr="002F06D4">
        <w:rPr>
          <w:rFonts w:cstheme="majorBidi"/>
          <w:lang w:val="en-GB"/>
        </w:rPr>
        <w:t xml:space="preserve"> How do </w:t>
      </w:r>
      <w:r w:rsidR="001B66C2" w:rsidRPr="002F06D4">
        <w:rPr>
          <w:rFonts w:cstheme="majorBidi"/>
          <w:u w:val="single"/>
          <w:lang w:val="en-GB"/>
        </w:rPr>
        <w:t xml:space="preserve">macroeconomic and financial, legal, and institutional variables </w:t>
      </w:r>
      <w:r w:rsidR="001B66C2" w:rsidRPr="002F06D4">
        <w:rPr>
          <w:rFonts w:cstheme="majorBidi"/>
          <w:lang w:val="en-GB"/>
        </w:rPr>
        <w:t xml:space="preserve">affect housing demand for occupation and investment in the Egyptian market? </w:t>
      </w:r>
      <w:r w:rsidR="005310BD" w:rsidRPr="002F06D4">
        <w:rPr>
          <w:rFonts w:eastAsia="Calibri" w:cstheme="majorBidi"/>
          <w:lang w:val="en-GB"/>
        </w:rPr>
        <w:t>And (3)</w:t>
      </w:r>
      <w:r w:rsidR="00E917DC" w:rsidRPr="002F06D4">
        <w:rPr>
          <w:rFonts w:eastAsia="Calibri" w:cstheme="majorBidi"/>
          <w:lang w:val="en-GB"/>
        </w:rPr>
        <w:t xml:space="preserve"> </w:t>
      </w:r>
      <w:r w:rsidR="001B66C2" w:rsidRPr="002F06D4">
        <w:rPr>
          <w:rFonts w:cstheme="majorBidi"/>
          <w:lang w:val="en-GB"/>
        </w:rPr>
        <w:t xml:space="preserve">How do </w:t>
      </w:r>
      <w:r w:rsidR="001B66C2" w:rsidRPr="002F06D4">
        <w:rPr>
          <w:rFonts w:cstheme="majorBidi"/>
          <w:u w:val="single"/>
          <w:lang w:val="en-GB"/>
        </w:rPr>
        <w:t>behavioural factors</w:t>
      </w:r>
      <w:r w:rsidR="001B66C2" w:rsidRPr="002F06D4">
        <w:rPr>
          <w:rFonts w:cstheme="majorBidi"/>
          <w:lang w:val="en-GB"/>
        </w:rPr>
        <w:t xml:space="preserve"> influence public choices and expectations in the Egyptian housing market?</w:t>
      </w:r>
    </w:p>
    <w:p w14:paraId="1C6DC5F7" w14:textId="77777777" w:rsidR="0089170C" w:rsidRPr="002F06D4" w:rsidRDefault="00BA08F2" w:rsidP="0089170C">
      <w:pPr>
        <w:tabs>
          <w:tab w:val="left" w:pos="1140"/>
          <w:tab w:val="left" w:pos="8800"/>
        </w:tabs>
        <w:spacing w:before="120" w:after="0" w:line="276" w:lineRule="auto"/>
        <w:ind w:right="-14"/>
        <w:jc w:val="lowKashida"/>
        <w:rPr>
          <w:rFonts w:cstheme="majorBidi"/>
          <w:lang w:val="en-GB"/>
        </w:rPr>
      </w:pPr>
      <w:r w:rsidRPr="002F06D4">
        <w:rPr>
          <w:rFonts w:cstheme="majorBidi"/>
          <w:lang w:val="en-GB"/>
        </w:rPr>
        <w:t xml:space="preserve">Based on the above, this paper </w:t>
      </w:r>
      <w:r w:rsidR="00484318" w:rsidRPr="002F06D4">
        <w:rPr>
          <w:rFonts w:cstheme="majorBidi"/>
          <w:lang w:val="en-GB"/>
        </w:rPr>
        <w:t>employ</w:t>
      </w:r>
      <w:r w:rsidR="001B6199" w:rsidRPr="002F06D4">
        <w:rPr>
          <w:rFonts w:cstheme="majorBidi"/>
          <w:lang w:val="en-GB"/>
        </w:rPr>
        <w:t>s</w:t>
      </w:r>
      <w:r w:rsidR="00484318" w:rsidRPr="002F06D4">
        <w:rPr>
          <w:rFonts w:cstheme="majorBidi"/>
          <w:lang w:val="en-GB"/>
        </w:rPr>
        <w:t xml:space="preserve"> statistical</w:t>
      </w:r>
      <w:r w:rsidRPr="002F06D4">
        <w:rPr>
          <w:rFonts w:cstheme="majorBidi"/>
          <w:lang w:val="en-GB"/>
        </w:rPr>
        <w:t xml:space="preserve"> and empirical methods to </w:t>
      </w:r>
      <w:r w:rsidR="00EE4139" w:rsidRPr="002F06D4">
        <w:rPr>
          <w:rFonts w:cstheme="majorBidi"/>
          <w:lang w:val="en-GB"/>
        </w:rPr>
        <w:t>analyse</w:t>
      </w:r>
      <w:r w:rsidRPr="002F06D4">
        <w:rPr>
          <w:rFonts w:cstheme="majorBidi"/>
          <w:lang w:val="en-GB"/>
        </w:rPr>
        <w:t xml:space="preserve"> field experiment in the sector. </w:t>
      </w:r>
      <w:r w:rsidR="009D283E" w:rsidRPr="002F06D4">
        <w:rPr>
          <w:rFonts w:ascii="Times New Roman" w:eastAsia="Times New Roman" w:hAnsi="Times New Roman" w:cs="Times New Roman"/>
          <w:color w:val="000000" w:themeColor="text1"/>
          <w:lang w:val="en-GB"/>
        </w:rPr>
        <w:t xml:space="preserve">We start by </w:t>
      </w:r>
      <w:r w:rsidR="00E53569" w:rsidRPr="002F06D4">
        <w:rPr>
          <w:rFonts w:ascii="Times New Roman" w:eastAsia="Times New Roman" w:hAnsi="Times New Roman" w:cs="Times New Roman"/>
          <w:color w:val="000000" w:themeColor="text1"/>
          <w:lang w:val="en-GB"/>
        </w:rPr>
        <w:t xml:space="preserve">designing </w:t>
      </w:r>
      <w:r w:rsidR="005A6D2E" w:rsidRPr="002F06D4">
        <w:rPr>
          <w:rFonts w:ascii="Times New Roman" w:eastAsia="Times New Roman" w:hAnsi="Times New Roman" w:cs="Times New Roman"/>
          <w:color w:val="000000" w:themeColor="text1"/>
          <w:lang w:val="en-GB"/>
        </w:rPr>
        <w:t>two</w:t>
      </w:r>
      <w:r w:rsidR="00E53569" w:rsidRPr="002F06D4">
        <w:rPr>
          <w:rFonts w:ascii="Times New Roman" w:eastAsia="Times New Roman" w:hAnsi="Times New Roman" w:cs="Times New Roman"/>
          <w:color w:val="000000" w:themeColor="text1"/>
          <w:lang w:val="en-GB"/>
        </w:rPr>
        <w:t xml:space="preserve"> field survey</w:t>
      </w:r>
      <w:r w:rsidR="005A6D2E" w:rsidRPr="002F06D4">
        <w:rPr>
          <w:rFonts w:ascii="Times New Roman" w:eastAsia="Times New Roman" w:hAnsi="Times New Roman" w:cs="Times New Roman"/>
          <w:color w:val="000000" w:themeColor="text1"/>
          <w:lang w:val="en-GB"/>
        </w:rPr>
        <w:t>s</w:t>
      </w:r>
      <w:r w:rsidR="00E53569" w:rsidRPr="002F06D4">
        <w:rPr>
          <w:rFonts w:ascii="Times New Roman" w:eastAsia="Times New Roman" w:hAnsi="Times New Roman" w:cs="Times New Roman"/>
          <w:color w:val="000000" w:themeColor="text1"/>
          <w:lang w:val="en-GB"/>
        </w:rPr>
        <w:t xml:space="preserve"> that </w:t>
      </w:r>
      <w:r w:rsidR="00EC2CFF" w:rsidRPr="002F06D4">
        <w:rPr>
          <w:rFonts w:ascii="Times New Roman" w:eastAsia="Times New Roman" w:hAnsi="Times New Roman" w:cs="Times New Roman"/>
          <w:color w:val="000000" w:themeColor="text1"/>
          <w:lang w:val="en-GB"/>
        </w:rPr>
        <w:t>are</w:t>
      </w:r>
      <w:r w:rsidR="00E53569" w:rsidRPr="002F06D4">
        <w:rPr>
          <w:rFonts w:ascii="Times New Roman" w:eastAsia="Times New Roman" w:hAnsi="Times New Roman" w:cs="Times New Roman"/>
          <w:color w:val="000000" w:themeColor="text1"/>
          <w:lang w:val="en-GB"/>
        </w:rPr>
        <w:t xml:space="preserve"> implemented on a sample of </w:t>
      </w:r>
      <w:r w:rsidR="00D24556" w:rsidRPr="002F06D4">
        <w:rPr>
          <w:rFonts w:ascii="Times New Roman" w:eastAsia="Times New Roman" w:hAnsi="Times New Roman" w:cs="Times New Roman"/>
          <w:color w:val="000000" w:themeColor="text1"/>
          <w:lang w:val="en-GB"/>
        </w:rPr>
        <w:t>household homebuyers and sellers as well as a sample of real-estate developers and brokers</w:t>
      </w:r>
      <w:r w:rsidR="000364D4" w:rsidRPr="002F06D4">
        <w:rPr>
          <w:rFonts w:ascii="Times New Roman" w:eastAsia="Times New Roman" w:hAnsi="Times New Roman" w:cs="Times New Roman"/>
          <w:color w:val="000000" w:themeColor="text1"/>
          <w:lang w:val="en-GB"/>
        </w:rPr>
        <w:t xml:space="preserve">. We then </w:t>
      </w:r>
      <w:r w:rsidR="00FF6C4C" w:rsidRPr="002F06D4">
        <w:rPr>
          <w:rFonts w:ascii="Times New Roman" w:eastAsia="Times New Roman" w:hAnsi="Times New Roman" w:cs="Times New Roman"/>
          <w:color w:val="000000" w:themeColor="text1"/>
          <w:lang w:val="en-GB"/>
        </w:rPr>
        <w:t>construct</w:t>
      </w:r>
      <w:r w:rsidR="00DC090D" w:rsidRPr="002F06D4">
        <w:rPr>
          <w:rFonts w:ascii="Times New Roman" w:eastAsia="Times New Roman" w:hAnsi="Times New Roman" w:cs="Times New Roman"/>
          <w:color w:val="000000" w:themeColor="text1"/>
          <w:lang w:val="en-GB"/>
        </w:rPr>
        <w:t xml:space="preserve"> a</w:t>
      </w:r>
      <w:r w:rsidR="00EE4139" w:rsidRPr="002F06D4">
        <w:rPr>
          <w:rFonts w:ascii="Times New Roman" w:eastAsia="Times New Roman" w:hAnsi="Times New Roman" w:cs="Times New Roman"/>
          <w:color w:val="000000" w:themeColor="text1"/>
          <w:lang w:val="en-GB"/>
        </w:rPr>
        <w:t>n Egyptian Housing Price Index (EHPI)</w:t>
      </w:r>
      <w:r w:rsidR="00DC090D" w:rsidRPr="002F06D4">
        <w:rPr>
          <w:rFonts w:ascii="Times New Roman" w:eastAsia="Times New Roman" w:hAnsi="Times New Roman" w:cs="Times New Roman"/>
          <w:color w:val="000000" w:themeColor="text1"/>
          <w:lang w:val="en-GB"/>
        </w:rPr>
        <w:t xml:space="preserve"> </w:t>
      </w:r>
      <w:r w:rsidR="0013717A" w:rsidRPr="002F06D4">
        <w:rPr>
          <w:rFonts w:ascii="Times New Roman" w:eastAsia="Times New Roman" w:hAnsi="Times New Roman" w:cs="Times New Roman"/>
          <w:color w:val="000000" w:themeColor="text1"/>
          <w:lang w:val="en-GB"/>
        </w:rPr>
        <w:t xml:space="preserve"> in an attempt to capture the recent trends in the Egyptian housing price and to establish for building a future micro dataset on housing prices</w:t>
      </w:r>
      <w:r w:rsidR="00DC090D" w:rsidRPr="002F06D4">
        <w:rPr>
          <w:rFonts w:ascii="Times New Roman" w:eastAsia="Times New Roman" w:hAnsi="Times New Roman" w:cs="Times New Roman"/>
          <w:color w:val="000000" w:themeColor="text1"/>
          <w:lang w:val="en-GB"/>
        </w:rPr>
        <w:t xml:space="preserve">. </w:t>
      </w:r>
      <w:r w:rsidR="0013717A" w:rsidRPr="002F06D4">
        <w:rPr>
          <w:rFonts w:ascii="Times New Roman" w:eastAsia="Times New Roman" w:hAnsi="Times New Roman" w:cs="Times New Roman"/>
          <w:color w:val="000000" w:themeColor="text1"/>
          <w:lang w:val="en-GB"/>
        </w:rPr>
        <w:t xml:space="preserve">The outcomes of the </w:t>
      </w:r>
      <w:r w:rsidR="00847488" w:rsidRPr="002F06D4">
        <w:rPr>
          <w:rFonts w:ascii="Times New Roman" w:eastAsia="Times New Roman" w:hAnsi="Times New Roman" w:cs="Times New Roman"/>
          <w:color w:val="000000" w:themeColor="text1"/>
          <w:lang w:val="en-GB"/>
        </w:rPr>
        <w:t xml:space="preserve">field suvey and the EHPI are integrated into </w:t>
      </w:r>
      <w:r w:rsidR="006A694D" w:rsidRPr="002F06D4">
        <w:rPr>
          <w:rFonts w:cstheme="majorBidi"/>
          <w:lang w:val="en-GB"/>
        </w:rPr>
        <w:t>an Ordinal Logistic Regression Model (OLM)</w:t>
      </w:r>
      <w:r w:rsidR="00847488" w:rsidRPr="002F06D4">
        <w:rPr>
          <w:rFonts w:cstheme="majorBidi"/>
          <w:lang w:val="en-GB"/>
        </w:rPr>
        <w:t xml:space="preserve"> to </w:t>
      </w:r>
      <w:r w:rsidR="00134911" w:rsidRPr="002F06D4">
        <w:rPr>
          <w:rFonts w:cstheme="majorBidi"/>
          <w:lang w:val="en-GB"/>
        </w:rPr>
        <w:t>examine the significance of different hypothesized determinants of housing prices in the Egyptian housi</w:t>
      </w:r>
      <w:r w:rsidR="0089170C" w:rsidRPr="002F06D4">
        <w:rPr>
          <w:rFonts w:cstheme="majorBidi"/>
          <w:lang w:val="en-GB"/>
        </w:rPr>
        <w:t xml:space="preserve">ng market represented by the surveyed sample. </w:t>
      </w:r>
      <w:r w:rsidR="006A694D" w:rsidRPr="002F06D4">
        <w:rPr>
          <w:rFonts w:cstheme="majorBidi"/>
          <w:lang w:val="en-GB"/>
        </w:rPr>
        <w:t xml:space="preserve"> </w:t>
      </w:r>
    </w:p>
    <w:p w14:paraId="17EF9768" w14:textId="6B0D490B" w:rsidR="00BA08F2" w:rsidRPr="002F06D4" w:rsidRDefault="00DB05BC" w:rsidP="0089170C">
      <w:pPr>
        <w:tabs>
          <w:tab w:val="left" w:pos="1140"/>
          <w:tab w:val="left" w:pos="8800"/>
        </w:tabs>
        <w:spacing w:before="120" w:after="0" w:line="276" w:lineRule="auto"/>
        <w:ind w:right="-14"/>
        <w:jc w:val="lowKashida"/>
        <w:rPr>
          <w:rFonts w:cstheme="majorBidi"/>
          <w:lang w:val="en-GB"/>
        </w:rPr>
      </w:pPr>
      <w:r w:rsidRPr="002F06D4">
        <w:rPr>
          <w:rFonts w:eastAsia="Calibri" w:cstheme="majorBidi"/>
          <w:lang w:val="en-GB"/>
        </w:rPr>
        <w:t>The paper is structured as follows</w:t>
      </w:r>
      <w:r w:rsidR="0089170C" w:rsidRPr="002F06D4">
        <w:rPr>
          <w:rFonts w:eastAsia="Calibri" w:cstheme="majorBidi"/>
          <w:lang w:val="en-GB"/>
        </w:rPr>
        <w:t xml:space="preserve">: section one reviews </w:t>
      </w:r>
      <w:r w:rsidR="00FA7E19" w:rsidRPr="002F06D4">
        <w:rPr>
          <w:rFonts w:eastAsia="Calibri" w:cstheme="majorBidi"/>
          <w:lang w:val="en-GB"/>
        </w:rPr>
        <w:t>relevant theory and literature on housing prices determinants and interactions with macro-financial variables. Section two briefs the methodology. Section three presents</w:t>
      </w:r>
      <w:r w:rsidR="00F63726" w:rsidRPr="002F06D4">
        <w:rPr>
          <w:rFonts w:eastAsia="Calibri" w:cstheme="majorBidi"/>
          <w:lang w:val="en-GB"/>
        </w:rPr>
        <w:t xml:space="preserve"> and discuss</w:t>
      </w:r>
      <w:r w:rsidR="00FA7E19" w:rsidRPr="002F06D4">
        <w:rPr>
          <w:rFonts w:eastAsia="Calibri" w:cstheme="majorBidi"/>
          <w:lang w:val="en-GB"/>
        </w:rPr>
        <w:t xml:space="preserve"> the results of the field</w:t>
      </w:r>
      <w:r w:rsidR="00F63726" w:rsidRPr="002F06D4">
        <w:rPr>
          <w:rFonts w:eastAsia="Calibri" w:cstheme="majorBidi"/>
          <w:lang w:val="en-GB"/>
        </w:rPr>
        <w:t xml:space="preserve"> surveys. Section four presents the constructed </w:t>
      </w:r>
      <w:r w:rsidR="00BC79AA" w:rsidRPr="002F06D4">
        <w:rPr>
          <w:rFonts w:eastAsia="Calibri" w:cstheme="majorBidi"/>
          <w:lang w:val="en-GB"/>
        </w:rPr>
        <w:t xml:space="preserve">Egyptian housing price index and section five presents the results of the empirical models. </w:t>
      </w:r>
      <w:r w:rsidR="00F440BA" w:rsidRPr="002F06D4">
        <w:rPr>
          <w:rFonts w:eastAsia="Calibri" w:cstheme="majorBidi"/>
          <w:lang w:val="en-GB"/>
        </w:rPr>
        <w:t xml:space="preserve">Results are discussed in section </w:t>
      </w:r>
      <w:r w:rsidR="00E40AE4" w:rsidRPr="002F06D4">
        <w:rPr>
          <w:rFonts w:eastAsia="Calibri" w:cstheme="majorBidi"/>
          <w:lang w:val="en-GB"/>
        </w:rPr>
        <w:t>six. Finally, section seven concludes, provides some policy implications and sheds the light on the research limitations.</w:t>
      </w:r>
    </w:p>
    <w:p w14:paraId="502ACB09" w14:textId="0163FD25" w:rsidR="00AA530A" w:rsidRPr="00032DA6" w:rsidRDefault="00DB00BE" w:rsidP="00DE108C">
      <w:pPr>
        <w:pStyle w:val="Heading1"/>
        <w:numPr>
          <w:ilvl w:val="0"/>
          <w:numId w:val="16"/>
        </w:numPr>
        <w:spacing w:line="276" w:lineRule="auto"/>
        <w:ind w:left="270" w:hanging="90"/>
        <w:rPr>
          <w:szCs w:val="28"/>
          <w:lang w:val="en-GB"/>
        </w:rPr>
      </w:pPr>
      <w:bookmarkStart w:id="4" w:name="_Toc91107866"/>
      <w:bookmarkStart w:id="5" w:name="_Toc91438032"/>
      <w:r w:rsidRPr="00032DA6">
        <w:rPr>
          <w:szCs w:val="28"/>
          <w:lang w:val="en-GB"/>
        </w:rPr>
        <w:t>Determinants of Housing Prices: Theory and Literature</w:t>
      </w:r>
      <w:bookmarkEnd w:id="4"/>
      <w:bookmarkEnd w:id="5"/>
    </w:p>
    <w:p w14:paraId="34CB5784" w14:textId="1A9CEC91" w:rsidR="00AA530A" w:rsidRPr="00032DA6" w:rsidRDefault="00AA530A" w:rsidP="00DE108C">
      <w:pPr>
        <w:spacing w:line="276" w:lineRule="auto"/>
        <w:ind w:firstLine="180"/>
        <w:jc w:val="both"/>
        <w:rPr>
          <w:rFonts w:cstheme="majorBidi"/>
          <w:color w:val="000000" w:themeColor="text1"/>
          <w:lang w:val="en-GB"/>
        </w:rPr>
      </w:pPr>
      <w:r w:rsidRPr="00032DA6">
        <w:rPr>
          <w:rFonts w:cstheme="majorBidi"/>
          <w:color w:val="000000" w:themeColor="text1"/>
          <w:lang w:val="en-GB"/>
        </w:rPr>
        <w:t>The interactions among macroeconomic policies, the housing market, and overall economic performance are well-established in the literature.</w:t>
      </w:r>
      <w:r w:rsidR="0065659F" w:rsidRPr="00032DA6">
        <w:rPr>
          <w:rFonts w:cstheme="majorBidi"/>
          <w:color w:val="000000" w:themeColor="text1"/>
          <w:lang w:val="en-GB"/>
        </w:rPr>
        <w:t xml:space="preserve"> M</w:t>
      </w:r>
      <w:r w:rsidR="0065659F" w:rsidRPr="00032DA6">
        <w:rPr>
          <w:rFonts w:cstheme="majorBidi"/>
          <w:lang w:val="en-GB"/>
        </w:rPr>
        <w:t>acro-financial fundamentals and socioeconomic factors are believed to strongly impact the behaviour in housing prices and demand. Also, institutional</w:t>
      </w:r>
      <w:r w:rsidR="00B52233" w:rsidRPr="00032DA6">
        <w:rPr>
          <w:rFonts w:cstheme="majorBidi"/>
          <w:lang w:val="en-GB"/>
        </w:rPr>
        <w:t>, behavioural</w:t>
      </w:r>
      <w:r w:rsidR="002A6BE1" w:rsidRPr="00032DA6">
        <w:rPr>
          <w:rFonts w:cstheme="majorBidi"/>
          <w:lang w:val="en-GB"/>
        </w:rPr>
        <w:t xml:space="preserve">, </w:t>
      </w:r>
      <w:r w:rsidR="00B52233" w:rsidRPr="00032DA6">
        <w:rPr>
          <w:rFonts w:cstheme="majorBidi"/>
          <w:lang w:val="en-GB"/>
        </w:rPr>
        <w:t xml:space="preserve">and </w:t>
      </w:r>
      <w:r w:rsidR="0065659F" w:rsidRPr="00032DA6">
        <w:rPr>
          <w:rFonts w:cstheme="majorBidi"/>
          <w:lang w:val="en-GB"/>
        </w:rPr>
        <w:t>cultural factors</w:t>
      </w:r>
      <w:r w:rsidR="00B52233" w:rsidRPr="00032DA6">
        <w:rPr>
          <w:rFonts w:cstheme="majorBidi"/>
          <w:lang w:val="en-GB"/>
        </w:rPr>
        <w:t xml:space="preserve"> are also examined in literature using different methods. In this section, we review the relevant literature on the determinants of housing prices and demand on housing.</w:t>
      </w:r>
    </w:p>
    <w:p w14:paraId="5C7BD826" w14:textId="2F8C956C" w:rsidR="00F42C54" w:rsidRPr="00032DA6" w:rsidRDefault="00DB00BE" w:rsidP="00DE108C">
      <w:pPr>
        <w:pStyle w:val="Heading2"/>
        <w:numPr>
          <w:ilvl w:val="1"/>
          <w:numId w:val="16"/>
        </w:numPr>
        <w:spacing w:line="276" w:lineRule="auto"/>
        <w:rPr>
          <w:lang w:val="en-GB"/>
        </w:rPr>
      </w:pPr>
      <w:bookmarkStart w:id="6" w:name="_Toc91107867"/>
      <w:bookmarkStart w:id="7" w:name="_Toc91438033"/>
      <w:r w:rsidRPr="00032DA6">
        <w:rPr>
          <w:lang w:val="en-GB"/>
        </w:rPr>
        <w:t>Macro-Financial</w:t>
      </w:r>
      <w:r w:rsidR="00614548" w:rsidRPr="00032DA6">
        <w:rPr>
          <w:lang w:val="en-GB"/>
        </w:rPr>
        <w:t xml:space="preserve"> and Socioeconomic</w:t>
      </w:r>
      <w:r w:rsidRPr="00032DA6">
        <w:rPr>
          <w:lang w:val="en-GB"/>
        </w:rPr>
        <w:t xml:space="preserve"> Fundamentals</w:t>
      </w:r>
      <w:bookmarkEnd w:id="6"/>
      <w:bookmarkEnd w:id="7"/>
    </w:p>
    <w:p w14:paraId="26F3CE89" w14:textId="697092EC" w:rsidR="00614548" w:rsidRPr="00032DA6" w:rsidRDefault="00EF6BA3" w:rsidP="00DE108C">
      <w:pPr>
        <w:spacing w:line="276" w:lineRule="auto"/>
        <w:ind w:firstLine="360"/>
        <w:jc w:val="both"/>
        <w:rPr>
          <w:rFonts w:cstheme="majorBidi"/>
          <w:color w:val="000000" w:themeColor="text1"/>
          <w:shd w:val="clear" w:color="auto" w:fill="FFFFFF"/>
          <w:lang w:val="en-GB"/>
        </w:rPr>
      </w:pPr>
      <w:r w:rsidRPr="00032DA6">
        <w:rPr>
          <w:rFonts w:cstheme="majorBidi"/>
          <w:color w:val="000000" w:themeColor="text1"/>
          <w:lang w:val="en-GB"/>
        </w:rPr>
        <w:t xml:space="preserve">Asset price channel is considered one of the core </w:t>
      </w:r>
      <w:r w:rsidR="006F08A6" w:rsidRPr="00032DA6">
        <w:rPr>
          <w:rFonts w:cstheme="majorBidi"/>
          <w:color w:val="000000" w:themeColor="text1"/>
          <w:lang w:val="en-GB"/>
        </w:rPr>
        <w:t>theoretical foundations that explain</w:t>
      </w:r>
      <w:r w:rsidRPr="00032DA6">
        <w:rPr>
          <w:rFonts w:cstheme="majorBidi"/>
          <w:color w:val="000000" w:themeColor="text1"/>
          <w:lang w:val="en-GB"/>
        </w:rPr>
        <w:t xml:space="preserve"> of the interactions between the housing market and the macro-financial fundamentals</w:t>
      </w:r>
      <w:r w:rsidR="006F08A6" w:rsidRPr="00032DA6">
        <w:rPr>
          <w:rFonts w:cstheme="majorBidi"/>
          <w:color w:val="000000" w:themeColor="text1"/>
          <w:lang w:val="en-GB"/>
        </w:rPr>
        <w:t>. As</w:t>
      </w:r>
      <w:r w:rsidRPr="00032DA6">
        <w:rPr>
          <w:rFonts w:cstheme="majorBidi"/>
          <w:color w:val="000000" w:themeColor="text1"/>
          <w:lang w:val="en-GB"/>
        </w:rPr>
        <w:t xml:space="preserve"> originally established in </w:t>
      </w:r>
      <w:r w:rsidRPr="00032DA6">
        <w:rPr>
          <w:rFonts w:cstheme="majorBidi"/>
          <w:color w:val="222222"/>
          <w:shd w:val="clear" w:color="auto" w:fill="FFFFFF"/>
          <w:lang w:val="en-GB"/>
        </w:rPr>
        <w:t>Mishkin (1995)</w:t>
      </w:r>
      <w:r w:rsidRPr="00032DA6">
        <w:rPr>
          <w:rFonts w:cstheme="majorBidi"/>
          <w:color w:val="000000" w:themeColor="text1"/>
          <w:lang w:val="en-GB"/>
        </w:rPr>
        <w:t xml:space="preserve"> </w:t>
      </w:r>
      <w:r w:rsidR="00614548" w:rsidRPr="00032DA6">
        <w:rPr>
          <w:rFonts w:cstheme="majorBidi"/>
          <w:color w:val="000000" w:themeColor="text1"/>
          <w:lang w:val="en-GB"/>
        </w:rPr>
        <w:t xml:space="preserve">where it is argued that </w:t>
      </w:r>
      <w:r w:rsidR="00614548" w:rsidRPr="00032DA6">
        <w:rPr>
          <w:rFonts w:cstheme="majorBidi"/>
          <w:color w:val="000000" w:themeColor="text1"/>
          <w:shd w:val="clear" w:color="auto" w:fill="FFFFFF"/>
          <w:lang w:val="en-GB"/>
        </w:rPr>
        <w:t xml:space="preserve">the housing price channel is a key component of the asset price channel that affects the </w:t>
      </w:r>
      <w:r w:rsidR="00614548" w:rsidRPr="00032DA6">
        <w:rPr>
          <w:rFonts w:cstheme="majorBidi"/>
          <w:i/>
          <w:iCs/>
          <w:color w:val="000000" w:themeColor="text1"/>
          <w:shd w:val="clear" w:color="auto" w:fill="FFFFFF"/>
          <w:lang w:val="en-GB"/>
        </w:rPr>
        <w:t>monetary transmission mechanism</w:t>
      </w:r>
      <w:r w:rsidR="00614548" w:rsidRPr="00032DA6">
        <w:rPr>
          <w:rFonts w:cstheme="majorBidi"/>
          <w:color w:val="000000" w:themeColor="text1"/>
          <w:shd w:val="clear" w:color="auto" w:fill="FFFFFF"/>
          <w:lang w:val="en-GB"/>
        </w:rPr>
        <w:t>.</w:t>
      </w:r>
      <w:r w:rsidR="00614548" w:rsidRPr="00032DA6">
        <w:rPr>
          <w:rFonts w:eastAsia="Times New Roman" w:cstheme="majorBidi"/>
          <w:color w:val="000000" w:themeColor="text1"/>
          <w:lang w:val="en-GB"/>
        </w:rPr>
        <w:t xml:space="preserve"> </w:t>
      </w:r>
      <w:r w:rsidR="00614548" w:rsidRPr="00032DA6">
        <w:rPr>
          <w:rFonts w:cstheme="majorBidi"/>
          <w:color w:val="000000" w:themeColor="text1"/>
          <w:shd w:val="clear" w:color="auto" w:fill="FFFFFF"/>
          <w:lang w:val="en-GB"/>
        </w:rPr>
        <w:t>Monetary policy interacts with the housing market and housing prices and thus households’ consumption, investments, and real output levels</w:t>
      </w:r>
      <w:r w:rsidR="00DB00BE" w:rsidRPr="00032DA6">
        <w:rPr>
          <w:rFonts w:cstheme="majorBidi"/>
          <w:color w:val="000000" w:themeColor="text1"/>
          <w:shd w:val="clear" w:color="auto" w:fill="FFFFFF"/>
          <w:lang w:val="en-GB"/>
        </w:rPr>
        <w:t xml:space="preserve">. </w:t>
      </w:r>
    </w:p>
    <w:p w14:paraId="4AE15B3E" w14:textId="77777777" w:rsidR="006E3374" w:rsidRPr="00032DA6" w:rsidRDefault="006E3374" w:rsidP="00DE108C">
      <w:pPr>
        <w:spacing w:before="120" w:after="120" w:line="276" w:lineRule="auto"/>
        <w:ind w:firstLine="360"/>
        <w:jc w:val="both"/>
        <w:rPr>
          <w:rFonts w:cstheme="majorBidi"/>
          <w:color w:val="000000" w:themeColor="text1"/>
          <w:shd w:val="clear" w:color="auto" w:fill="FFFFFF"/>
          <w:lang w:val="en-GB"/>
        </w:rPr>
      </w:pPr>
      <w:r w:rsidRPr="00032DA6">
        <w:rPr>
          <w:rFonts w:cstheme="majorBidi"/>
          <w:color w:val="000000" w:themeColor="text1"/>
          <w:lang w:val="en-GB"/>
        </w:rPr>
        <w:t xml:space="preserve">A contractionary monetary policy by raising interest-rates, </w:t>
      </w:r>
      <w:r w:rsidRPr="00032DA6">
        <w:rPr>
          <w:rFonts w:cstheme="majorBidi"/>
          <w:color w:val="000000" w:themeColor="text1"/>
          <w:shd w:val="clear" w:color="auto" w:fill="FFFFFF"/>
          <w:lang w:val="en-GB"/>
        </w:rPr>
        <w:t>downward pressures will be exerted on housing prices due to the resulting higher mortgage rates, amplified costs of housing debt-financing</w:t>
      </w:r>
      <w:r w:rsidRPr="00032DA6">
        <w:rPr>
          <w:rStyle w:val="FootnoteReference"/>
          <w:rFonts w:cstheme="majorBidi"/>
          <w:color w:val="000000" w:themeColor="text1"/>
          <w:shd w:val="clear" w:color="auto" w:fill="FFFFFF"/>
          <w:lang w:val="en-GB"/>
        </w:rPr>
        <w:footnoteReference w:id="4"/>
      </w:r>
      <w:r w:rsidRPr="00032DA6">
        <w:rPr>
          <w:rFonts w:cstheme="majorBidi"/>
          <w:color w:val="000000" w:themeColor="text1"/>
          <w:shd w:val="clear" w:color="auto" w:fill="FFFFFF"/>
          <w:lang w:val="en-GB"/>
        </w:rPr>
        <w:t>, and user cost of capital (Andersen &amp; Kennedy, 1994; Apergis, 2003; Adams &amp; Füss, 2010; Agnello &amp; Schuknecht, 2011; Simo-Kengne et al., 2014)</w:t>
      </w:r>
      <w:r w:rsidRPr="00032DA6">
        <w:rPr>
          <w:rFonts w:cstheme="majorBidi"/>
          <w:color w:val="000000" w:themeColor="text1"/>
          <w:lang w:val="en-GB"/>
        </w:rPr>
        <w:t xml:space="preserve"> This will eventually lead to a contraction of economy-wide aggregate demand. </w:t>
      </w:r>
      <w:r w:rsidRPr="00032DA6">
        <w:rPr>
          <w:rFonts w:cstheme="majorBidi"/>
          <w:color w:val="000000" w:themeColor="text1"/>
          <w:shd w:val="clear" w:color="auto" w:fill="FFFFFF"/>
          <w:lang w:val="en-GB"/>
        </w:rPr>
        <w:t xml:space="preserve">When real interest rates rise, fixed-income assets like bonds are more attractive compared to real-estate causing capital switching – investments shift from the housing sector to other assets (Cohen &amp; Karpaviciute, 2017).  Similarly, a contraction in the money supply will lead to excess money and credit demand by households and firms, higher interest rates, reduction in spending – including housing spending, and ultimately downward pressures on prices (Baffoe-Bonnie, 1998). Hence, </w:t>
      </w:r>
      <w:r w:rsidRPr="00032DA6">
        <w:rPr>
          <w:rFonts w:cstheme="majorBidi"/>
          <w:color w:val="000000" w:themeColor="text1"/>
          <w:lang w:val="en-GB"/>
        </w:rPr>
        <w:t>monetary policy is not neutral for the real-estate market because of its indirect effect on housing prices though money supply and its direct effects through interest rate on the demand and supply of housing</w:t>
      </w:r>
      <w:r w:rsidRPr="00032DA6">
        <w:rPr>
          <w:rStyle w:val="FootnoteReference"/>
          <w:rFonts w:cstheme="majorBidi"/>
          <w:color w:val="000000" w:themeColor="text1"/>
          <w:lang w:val="en-GB"/>
        </w:rPr>
        <w:footnoteReference w:id="5"/>
      </w:r>
      <w:r w:rsidRPr="00032DA6">
        <w:rPr>
          <w:rFonts w:cstheme="majorBidi"/>
          <w:color w:val="000000" w:themeColor="text1"/>
          <w:lang w:val="en-GB"/>
        </w:rPr>
        <w:t xml:space="preserve"> (Lastrapes, 2002). To add, if the nation’s currency devaluates, foreign investment in the domestic real-estate market will increase creating a surge in housing prices (</w:t>
      </w:r>
      <w:r w:rsidRPr="00032DA6">
        <w:rPr>
          <w:rFonts w:cstheme="majorBidi"/>
          <w:color w:val="000000" w:themeColor="text1"/>
          <w:shd w:val="clear" w:color="auto" w:fill="FFFFFF"/>
          <w:lang w:val="en-GB"/>
        </w:rPr>
        <w:t>Alkali et al., 2018)</w:t>
      </w:r>
    </w:p>
    <w:p w14:paraId="47E6D5DB" w14:textId="77777777" w:rsidR="006E3374" w:rsidRPr="00032DA6" w:rsidRDefault="006E3374" w:rsidP="00DE108C">
      <w:pPr>
        <w:spacing w:before="120" w:after="120" w:line="276" w:lineRule="auto"/>
        <w:ind w:firstLine="360"/>
        <w:jc w:val="both"/>
        <w:rPr>
          <w:rFonts w:eastAsia="Times New Roman" w:cstheme="majorBidi"/>
          <w:color w:val="000000" w:themeColor="text1"/>
          <w:lang w:val="en-GB"/>
        </w:rPr>
      </w:pPr>
      <w:r w:rsidRPr="00032DA6">
        <w:rPr>
          <w:rFonts w:eastAsia="Times New Roman" w:cstheme="majorBidi"/>
          <w:color w:val="000000" w:themeColor="text1"/>
          <w:lang w:val="en-GB"/>
        </w:rPr>
        <w:t xml:space="preserve">These direct effects of monetary tightening on housing prices will indirectly transmit to the real economy through </w:t>
      </w:r>
      <w:r w:rsidRPr="00032DA6">
        <w:rPr>
          <w:rFonts w:cstheme="majorBidi"/>
          <w:color w:val="000000" w:themeColor="text1"/>
          <w:shd w:val="clear" w:color="auto" w:fill="FFFFFF"/>
          <w:lang w:val="en-GB"/>
        </w:rPr>
        <w:t xml:space="preserve">Modigliani’s &amp; Brumberg’s (1954) </w:t>
      </w:r>
      <w:r w:rsidRPr="00032DA6">
        <w:rPr>
          <w:rFonts w:cstheme="majorBidi"/>
          <w:i/>
          <w:iCs/>
          <w:color w:val="000000" w:themeColor="text1"/>
          <w:shd w:val="clear" w:color="auto" w:fill="FFFFFF"/>
          <w:lang w:val="en-GB"/>
        </w:rPr>
        <w:t>life-cycle hypothesis</w:t>
      </w:r>
      <w:r w:rsidRPr="00032DA6">
        <w:rPr>
          <w:rFonts w:cstheme="majorBidi"/>
          <w:color w:val="000000" w:themeColor="text1"/>
          <w:shd w:val="clear" w:color="auto" w:fill="FFFFFF"/>
          <w:lang w:val="en-GB"/>
        </w:rPr>
        <w:t xml:space="preserve"> which maintains that consumers seek to maximise their total lifetime utility by smoothing consumption throughout one’s lifetime </w:t>
      </w:r>
      <w:r w:rsidRPr="00032DA6">
        <w:rPr>
          <w:rFonts w:eastAsia="Times New Roman" w:cstheme="majorBidi"/>
          <w:color w:val="000000" w:themeColor="text1"/>
          <w:lang w:val="en-GB"/>
        </w:rPr>
        <w:t xml:space="preserve">(Erdogan et al. 2018; Milcheva &amp; Sebastian, 2010). </w:t>
      </w:r>
      <w:r w:rsidRPr="00032DA6">
        <w:rPr>
          <w:rFonts w:cstheme="majorBidi"/>
          <w:color w:val="000000" w:themeColor="text1"/>
          <w:lang w:val="en-GB"/>
        </w:rPr>
        <w:t>Modigliani (1986) concluded that life-cycle savings tend to follow a “hump-shaped” curve where young individuals will have very low-income levels and will thus spend rather than save. However, as age increases, wealth holdings rise leading to continuous savings until the retirement age is reached where savings and investments halt and spending (dissaving) upsurges (Modigliani, 1986).</w:t>
      </w:r>
    </w:p>
    <w:p w14:paraId="740034CB" w14:textId="10F678C1" w:rsidR="00DB00BE" w:rsidRPr="00032DA6" w:rsidRDefault="00DB00BE" w:rsidP="00DE108C">
      <w:pPr>
        <w:spacing w:line="276" w:lineRule="auto"/>
        <w:ind w:firstLine="360"/>
        <w:jc w:val="both"/>
        <w:rPr>
          <w:rFonts w:cstheme="majorBidi"/>
          <w:lang w:val="en-GB"/>
        </w:rPr>
      </w:pPr>
      <w:r w:rsidRPr="00032DA6">
        <w:rPr>
          <w:rFonts w:eastAsia="Times New Roman" w:cstheme="majorBidi"/>
          <w:color w:val="000000" w:themeColor="text1"/>
          <w:lang w:val="en-GB"/>
        </w:rPr>
        <w:t xml:space="preserve">Mishkin (2007) </w:t>
      </w:r>
      <w:r w:rsidR="00614548" w:rsidRPr="00032DA6">
        <w:rPr>
          <w:rFonts w:eastAsia="Times New Roman" w:cstheme="majorBidi"/>
          <w:color w:val="000000" w:themeColor="text1"/>
          <w:lang w:val="en-GB"/>
        </w:rPr>
        <w:t>illustrates that fluctuations</w:t>
      </w:r>
      <w:r w:rsidRPr="00032DA6">
        <w:rPr>
          <w:rFonts w:eastAsia="Times New Roman" w:cstheme="majorBidi"/>
          <w:color w:val="000000" w:themeColor="text1"/>
          <w:lang w:val="en-GB"/>
        </w:rPr>
        <w:t xml:space="preserve"> in interest rates have a direct</w:t>
      </w:r>
      <w:r w:rsidRPr="00032DA6">
        <w:rPr>
          <w:rFonts w:eastAsia="Times New Roman" w:cstheme="majorBidi"/>
          <w:b/>
          <w:bCs/>
          <w:color w:val="000000" w:themeColor="text1"/>
          <w:lang w:val="en-GB"/>
        </w:rPr>
        <w:t xml:space="preserve"> </w:t>
      </w:r>
      <w:r w:rsidRPr="00032DA6">
        <w:rPr>
          <w:rFonts w:eastAsia="Times New Roman" w:cstheme="majorBidi"/>
          <w:color w:val="000000" w:themeColor="text1"/>
          <w:lang w:val="en-GB"/>
        </w:rPr>
        <w:t>impact on user cost of capital of housing, expectations of future housing prices patterns, and the supply of housing. This will then have an indirect impact on real economic conditions through housing prices’ wealth effects, bank lending channel and balance sheet effects on consumption as well as on housing demand.</w:t>
      </w:r>
      <w:r w:rsidRPr="00032DA6">
        <w:rPr>
          <w:rFonts w:cstheme="majorBidi"/>
          <w:color w:val="000000" w:themeColor="text1"/>
          <w:lang w:val="en-GB"/>
        </w:rPr>
        <w:t xml:space="preserve"> </w:t>
      </w:r>
      <w:r w:rsidRPr="00032DA6">
        <w:rPr>
          <w:rFonts w:cstheme="majorBidi"/>
          <w:color w:val="000000" w:themeColor="text1"/>
          <w:shd w:val="clear" w:color="auto" w:fill="FFFFFF"/>
          <w:lang w:val="en-GB"/>
        </w:rPr>
        <w:t xml:space="preserve">Milcheva &amp; Sebastian (2010) </w:t>
      </w:r>
      <w:r w:rsidR="00614548" w:rsidRPr="00032DA6">
        <w:rPr>
          <w:rFonts w:cstheme="majorBidi"/>
          <w:color w:val="000000" w:themeColor="text1"/>
          <w:shd w:val="clear" w:color="auto" w:fill="FFFFFF"/>
          <w:lang w:val="en-GB"/>
        </w:rPr>
        <w:t>assert</w:t>
      </w:r>
      <w:r w:rsidRPr="00032DA6">
        <w:rPr>
          <w:rFonts w:cstheme="majorBidi"/>
          <w:color w:val="000000" w:themeColor="text1"/>
          <w:shd w:val="clear" w:color="auto" w:fill="FFFFFF"/>
          <w:lang w:val="en-GB"/>
        </w:rPr>
        <w:t xml:space="preserve"> that the strength of these indirect effects on the real economy ultimately depend on the nation’s institutional setup where more developed economies with developed mortgage and financial markets tend to experience a stronger housing monetary transmission channel. </w:t>
      </w:r>
      <w:r w:rsidR="00614548" w:rsidRPr="00032DA6">
        <w:rPr>
          <w:rFonts w:cstheme="majorBidi"/>
          <w:color w:val="000000" w:themeColor="text1"/>
          <w:lang w:val="en-GB"/>
        </w:rPr>
        <w:t>(</w:t>
      </w:r>
      <w:r w:rsidR="00614548" w:rsidRPr="00032DA6">
        <w:rPr>
          <w:rFonts w:cstheme="majorBidi"/>
          <w:color w:val="222222"/>
          <w:shd w:val="clear" w:color="auto" w:fill="FFFFFF"/>
          <w:lang w:val="en-GB"/>
        </w:rPr>
        <w:t>Mishkin, 1995;</w:t>
      </w:r>
      <w:r w:rsidR="00772C81" w:rsidRPr="00032DA6">
        <w:rPr>
          <w:rFonts w:cstheme="majorBidi"/>
          <w:color w:val="222222"/>
          <w:shd w:val="clear" w:color="auto" w:fill="FFFFFF"/>
          <w:lang w:val="en-GB"/>
        </w:rPr>
        <w:t xml:space="preserve"> </w:t>
      </w:r>
      <w:r w:rsidR="00772C81" w:rsidRPr="00032DA6">
        <w:rPr>
          <w:rFonts w:cstheme="majorBidi"/>
          <w:color w:val="000000" w:themeColor="text1"/>
          <w:shd w:val="clear" w:color="auto" w:fill="FFFFFF"/>
          <w:lang w:val="en-GB"/>
        </w:rPr>
        <w:t>Bernanke &amp; Gertler, 1995;</w:t>
      </w:r>
      <w:r w:rsidR="00614548" w:rsidRPr="00032DA6">
        <w:rPr>
          <w:rFonts w:cstheme="majorBidi"/>
          <w:color w:val="222222"/>
          <w:shd w:val="clear" w:color="auto" w:fill="FFFFFF"/>
          <w:lang w:val="en-GB"/>
        </w:rPr>
        <w:t xml:space="preserve"> Kosfeld, 2002</w:t>
      </w:r>
      <w:r w:rsidR="00772C81" w:rsidRPr="00032DA6">
        <w:rPr>
          <w:rFonts w:cstheme="majorBidi"/>
          <w:color w:val="222222"/>
          <w:shd w:val="clear" w:color="auto" w:fill="FFFFFF"/>
          <w:lang w:val="en-GB"/>
        </w:rPr>
        <w:t>;</w:t>
      </w:r>
      <w:r w:rsidR="00772C81" w:rsidRPr="00032DA6">
        <w:rPr>
          <w:rFonts w:cstheme="majorBidi"/>
          <w:color w:val="000000" w:themeColor="text1"/>
          <w:lang w:val="en-GB"/>
        </w:rPr>
        <w:t xml:space="preserve"> </w:t>
      </w:r>
      <w:r w:rsidR="00614548" w:rsidRPr="00032DA6">
        <w:rPr>
          <w:rFonts w:cstheme="majorBidi"/>
          <w:color w:val="000000" w:themeColor="text1"/>
          <w:shd w:val="clear" w:color="auto" w:fill="FFFFFF"/>
          <w:lang w:val="en-GB"/>
        </w:rPr>
        <w:t>Milcheva &amp; Sebastian</w:t>
      </w:r>
      <w:r w:rsidR="00772C81" w:rsidRPr="00032DA6">
        <w:rPr>
          <w:rFonts w:cstheme="majorBidi"/>
          <w:color w:val="000000" w:themeColor="text1"/>
          <w:shd w:val="clear" w:color="auto" w:fill="FFFFFF"/>
          <w:lang w:val="en-GB"/>
        </w:rPr>
        <w:t xml:space="preserve">, </w:t>
      </w:r>
      <w:r w:rsidR="00614548" w:rsidRPr="00032DA6">
        <w:rPr>
          <w:rFonts w:cstheme="majorBidi"/>
          <w:color w:val="000000" w:themeColor="text1"/>
          <w:shd w:val="clear" w:color="auto" w:fill="FFFFFF"/>
          <w:lang w:val="en-GB"/>
        </w:rPr>
        <w:t>2010</w:t>
      </w:r>
      <w:r w:rsidR="00772C81" w:rsidRPr="00032DA6">
        <w:rPr>
          <w:rFonts w:cstheme="majorBidi"/>
          <w:color w:val="000000" w:themeColor="text1"/>
          <w:shd w:val="clear" w:color="auto" w:fill="FFFFFF"/>
          <w:lang w:val="en-GB"/>
        </w:rPr>
        <w:t xml:space="preserve">; </w:t>
      </w:r>
      <w:r w:rsidR="00614548" w:rsidRPr="00032DA6">
        <w:rPr>
          <w:rFonts w:cstheme="majorBidi"/>
          <w:color w:val="000000" w:themeColor="text1"/>
          <w:shd w:val="clear" w:color="auto" w:fill="FFFFFF"/>
          <w:lang w:val="en-GB"/>
        </w:rPr>
        <w:t>Erdogan et al.</w:t>
      </w:r>
      <w:r w:rsidR="00772C81" w:rsidRPr="00032DA6">
        <w:rPr>
          <w:rFonts w:cstheme="majorBidi"/>
          <w:color w:val="000000" w:themeColor="text1"/>
          <w:shd w:val="clear" w:color="auto" w:fill="FFFFFF"/>
          <w:lang w:val="en-GB"/>
        </w:rPr>
        <w:t xml:space="preserve">, </w:t>
      </w:r>
      <w:r w:rsidR="00614548" w:rsidRPr="00032DA6">
        <w:rPr>
          <w:rFonts w:cstheme="majorBidi"/>
          <w:color w:val="000000" w:themeColor="text1"/>
          <w:shd w:val="clear" w:color="auto" w:fill="FFFFFF"/>
          <w:lang w:val="en-GB"/>
        </w:rPr>
        <w:t>2019)</w:t>
      </w:r>
      <w:r w:rsidR="00772C81" w:rsidRPr="00032DA6">
        <w:rPr>
          <w:rFonts w:cstheme="majorBidi"/>
          <w:color w:val="000000" w:themeColor="text1"/>
          <w:shd w:val="clear" w:color="auto" w:fill="FFFFFF"/>
          <w:lang w:val="en-GB"/>
        </w:rPr>
        <w:t>.</w:t>
      </w:r>
    </w:p>
    <w:p w14:paraId="599A84A0" w14:textId="14B36D7E" w:rsidR="00DB00BE" w:rsidRPr="00032DA6" w:rsidRDefault="00DB00BE" w:rsidP="00DE108C">
      <w:pPr>
        <w:spacing w:before="120" w:after="120" w:line="276" w:lineRule="auto"/>
        <w:ind w:firstLine="360"/>
        <w:jc w:val="both"/>
        <w:rPr>
          <w:rFonts w:cstheme="majorBidi"/>
          <w:color w:val="000000" w:themeColor="text1"/>
          <w:shd w:val="clear" w:color="auto" w:fill="FFFFFF"/>
          <w:lang w:val="en-GB"/>
        </w:rPr>
      </w:pPr>
      <w:r w:rsidRPr="00032DA6">
        <w:rPr>
          <w:rFonts w:cstheme="majorBidi"/>
          <w:color w:val="000000" w:themeColor="text1"/>
          <w:shd w:val="clear" w:color="auto" w:fill="FFFFFF"/>
          <w:lang w:val="en-GB"/>
        </w:rPr>
        <w:t xml:space="preserve">Applications of </w:t>
      </w:r>
      <w:r w:rsidR="006E3374" w:rsidRPr="00032DA6">
        <w:rPr>
          <w:rFonts w:cstheme="majorBidi"/>
          <w:color w:val="000000" w:themeColor="text1"/>
          <w:shd w:val="clear" w:color="auto" w:fill="FFFFFF"/>
          <w:lang w:val="en-GB"/>
        </w:rPr>
        <w:t>the life-</w:t>
      </w:r>
      <w:r w:rsidR="71C6E7A8" w:rsidRPr="199FF000">
        <w:rPr>
          <w:rFonts w:cstheme="majorBidi"/>
          <w:color w:val="000000" w:themeColor="text1"/>
          <w:shd w:val="clear" w:color="auto" w:fill="FFFFFF"/>
          <w:lang w:val="en-GB"/>
        </w:rPr>
        <w:t>cycle</w:t>
      </w:r>
      <w:r w:rsidRPr="00032DA6">
        <w:rPr>
          <w:rFonts w:cstheme="majorBidi"/>
          <w:color w:val="000000" w:themeColor="text1"/>
          <w:shd w:val="clear" w:color="auto" w:fill="FFFFFF"/>
          <w:lang w:val="en-GB"/>
        </w:rPr>
        <w:t xml:space="preserve"> hypothesis maintain that a rise in wealth, either from property, stocks, or any other asset, will boost aggregate consumption due to the high marginal propensity to consume in the long-run. It is argued, however, that whether the increase in housing prices boosts aggregate consumption depends on the distributional effects as well as on the underlying reason of the higher prices. If housing prices increase only because of supply-related constraints rather than higher future productivity, the expansion of household wealth will likely have a reduced effect on consumption (Mishkin, 2007). On the other hand, if households expect an expansion of future incomes (due to boosted productivity or expectations of reductions in taxes) the wealth effect</w:t>
      </w:r>
      <w:r w:rsidRPr="00032DA6">
        <w:rPr>
          <w:rFonts w:cstheme="majorBidi"/>
          <w:i/>
          <w:iCs/>
          <w:color w:val="000000" w:themeColor="text1"/>
          <w:shd w:val="clear" w:color="auto" w:fill="FFFFFF"/>
          <w:lang w:val="en-GB"/>
        </w:rPr>
        <w:t xml:space="preserve"> </w:t>
      </w:r>
      <w:r w:rsidRPr="00032DA6">
        <w:rPr>
          <w:rFonts w:cstheme="majorBidi"/>
          <w:color w:val="000000" w:themeColor="text1"/>
          <w:shd w:val="clear" w:color="auto" w:fill="FFFFFF"/>
          <w:lang w:val="en-GB"/>
        </w:rPr>
        <w:t>on consumption is likely to be larger (Milcheva &amp; Sebastian, 2010).</w:t>
      </w:r>
    </w:p>
    <w:p w14:paraId="17DED142" w14:textId="77777777" w:rsidR="00DB00BE" w:rsidRPr="00032DA6" w:rsidRDefault="00DB00BE" w:rsidP="00DE108C">
      <w:pPr>
        <w:spacing w:before="120" w:after="120" w:line="276" w:lineRule="auto"/>
        <w:ind w:firstLine="360"/>
        <w:jc w:val="both"/>
        <w:rPr>
          <w:rFonts w:cstheme="majorBidi"/>
          <w:color w:val="000000" w:themeColor="text1"/>
          <w:shd w:val="clear" w:color="auto" w:fill="FFFFFF"/>
          <w:lang w:val="en-GB"/>
        </w:rPr>
      </w:pPr>
      <w:r w:rsidRPr="00032DA6">
        <w:rPr>
          <w:rFonts w:cstheme="majorBidi"/>
          <w:color w:val="000000" w:themeColor="text1"/>
          <w:shd w:val="clear" w:color="auto" w:fill="FFFFFF"/>
          <w:lang w:val="en-GB"/>
        </w:rPr>
        <w:t xml:space="preserve">Bernanke’s &amp; Gertler’s (1995) financial accelerator framework also provides another angle with regards to how higher prices transmit to the real economy by determining the extent to which financial institutions are willing to offer loans and individuals are willing to finance their housing purchases though mortgages. In this bank-lending channel – also referred to as </w:t>
      </w:r>
      <w:r w:rsidRPr="00032DA6">
        <w:rPr>
          <w:rFonts w:cstheme="majorBidi"/>
          <w:i/>
          <w:iCs/>
          <w:color w:val="000000" w:themeColor="text1"/>
          <w:shd w:val="clear" w:color="auto" w:fill="FFFFFF"/>
          <w:lang w:val="en-GB"/>
        </w:rPr>
        <w:t>collateral effect</w:t>
      </w:r>
      <w:r w:rsidRPr="00032DA6">
        <w:rPr>
          <w:rFonts w:cstheme="majorBidi"/>
          <w:color w:val="000000" w:themeColor="text1"/>
          <w:shd w:val="clear" w:color="auto" w:fill="FFFFFF"/>
          <w:lang w:val="en-GB"/>
        </w:rPr>
        <w:t xml:space="preserve"> – if housing prices increase, individuals have additional collateral to secure their loans. These loosening credit constraints will ultimately stimulate aggregate spending.</w:t>
      </w:r>
      <w:r w:rsidRPr="00032DA6">
        <w:rPr>
          <w:rFonts w:cstheme="majorBidi"/>
          <w:color w:val="000000" w:themeColor="text1"/>
          <w:lang w:val="en-GB"/>
        </w:rPr>
        <w:t xml:space="preserve"> Nevertheless, Milcheva</w:t>
      </w:r>
      <w:r w:rsidRPr="00032DA6">
        <w:rPr>
          <w:rFonts w:cstheme="majorBidi"/>
          <w:color w:val="000000" w:themeColor="text1"/>
          <w:shd w:val="clear" w:color="auto" w:fill="FFFFFF"/>
          <w:lang w:val="en-GB"/>
        </w:rPr>
        <w:t xml:space="preserve"> &amp; Sebastian (2010) argue that the savings and rent effects might entirely offset the wealth and balance-sheet effects. This occurs when households are relatively poor and have been saving to purchase a house in the future; however, the increase in housing prices made the real value of their savings diminish. The rent effects also entail that if these relatively poor households are currently renting, disposable income will fall thereby reducing aggregate demand (Milcheva &amp; Sebastian, 2010).</w:t>
      </w:r>
    </w:p>
    <w:p w14:paraId="5A0E905D" w14:textId="4D0B11D8" w:rsidR="00DB00BE" w:rsidRPr="00032DA6" w:rsidRDefault="00DB00BE" w:rsidP="00DE108C">
      <w:pPr>
        <w:pStyle w:val="ListParagraph"/>
        <w:spacing w:line="276" w:lineRule="auto"/>
        <w:ind w:left="0" w:firstLine="360"/>
        <w:jc w:val="both"/>
        <w:rPr>
          <w:rFonts w:cstheme="majorBidi"/>
          <w:color w:val="000000" w:themeColor="text1"/>
          <w:shd w:val="clear" w:color="auto" w:fill="FFFFFF"/>
          <w:lang w:val="en-GB"/>
        </w:rPr>
      </w:pPr>
      <w:r w:rsidRPr="00032DA6">
        <w:rPr>
          <w:rFonts w:cstheme="majorBidi"/>
          <w:color w:val="000000" w:themeColor="text1"/>
          <w:shd w:val="clear" w:color="auto" w:fill="FFFFFF"/>
          <w:lang w:val="en-GB"/>
        </w:rPr>
        <w:t xml:space="preserve">Furthermore, demographic determinants including population growth due to both natural forces and migration will create upward pressures on </w:t>
      </w:r>
      <w:r w:rsidR="006E3374" w:rsidRPr="00032DA6">
        <w:rPr>
          <w:rFonts w:cstheme="majorBidi"/>
          <w:color w:val="000000" w:themeColor="text1"/>
          <w:shd w:val="clear" w:color="auto" w:fill="FFFFFF"/>
          <w:lang w:val="en-GB"/>
        </w:rPr>
        <w:t>housing</w:t>
      </w:r>
      <w:r w:rsidRPr="00032DA6">
        <w:rPr>
          <w:rFonts w:cstheme="majorBidi"/>
          <w:color w:val="000000" w:themeColor="text1"/>
          <w:shd w:val="clear" w:color="auto" w:fill="FFFFFF"/>
          <w:lang w:val="en-GB"/>
        </w:rPr>
        <w:t xml:space="preserve"> prices. Housing market dynamics are closely intertwined with fertility rates</w:t>
      </w:r>
      <w:r w:rsidRPr="00032DA6">
        <w:rPr>
          <w:rStyle w:val="FootnoteReference"/>
          <w:rFonts w:cstheme="majorBidi"/>
          <w:color w:val="000000" w:themeColor="text1"/>
          <w:shd w:val="clear" w:color="auto" w:fill="FFFFFF"/>
          <w:lang w:val="en-GB"/>
        </w:rPr>
        <w:footnoteReference w:id="6"/>
      </w:r>
      <w:r w:rsidRPr="00032DA6">
        <w:rPr>
          <w:rFonts w:cstheme="majorBidi"/>
          <w:color w:val="000000" w:themeColor="text1"/>
          <w:shd w:val="clear" w:color="auto" w:fill="FFFFFF"/>
          <w:lang w:val="en-GB"/>
        </w:rPr>
        <w:t xml:space="preserve"> and the population’s age structure through </w:t>
      </w:r>
      <w:r w:rsidRPr="00032DA6">
        <w:rPr>
          <w:rFonts w:cstheme="majorBidi"/>
          <w:color w:val="000000" w:themeColor="text1"/>
          <w:lang w:val="en-GB"/>
        </w:rPr>
        <w:t>Modigliani and Brumber’s life-cycle hypothesis as explained above (</w:t>
      </w:r>
      <w:r w:rsidRPr="00032DA6">
        <w:rPr>
          <w:rFonts w:cstheme="majorBidi"/>
          <w:color w:val="000000" w:themeColor="text1"/>
          <w:shd w:val="clear" w:color="auto" w:fill="FFFFFF"/>
          <w:lang w:val="en-GB"/>
        </w:rPr>
        <w:t xml:space="preserve">Andersen &amp; Kennedy, 1994; Bakshi &amp; Chen, 1994; </w:t>
      </w:r>
      <w:r w:rsidRPr="00032DA6">
        <w:rPr>
          <w:rFonts w:cstheme="majorBidi"/>
          <w:color w:val="000000" w:themeColor="text1"/>
          <w:lang w:val="en-GB"/>
        </w:rPr>
        <w:t>T</w:t>
      </w:r>
      <w:r w:rsidRPr="00032DA6">
        <w:rPr>
          <w:rFonts w:cstheme="majorBidi"/>
          <w:color w:val="000000" w:themeColor="text1"/>
          <w:shd w:val="clear" w:color="auto" w:fill="FFFFFF"/>
          <w:lang w:val="en-GB"/>
        </w:rPr>
        <w:t xml:space="preserve">akáts, 2012). Nevertheless, Bakshi &amp; Chen (1994) assert that this life-cycle hypothesis does not focus on the composition of an individuals’ savings portfolio and thus examine the </w:t>
      </w:r>
      <w:r w:rsidRPr="00032DA6">
        <w:rPr>
          <w:rFonts w:cstheme="majorBidi"/>
          <w:i/>
          <w:iCs/>
          <w:color w:val="000000" w:themeColor="text1"/>
          <w:shd w:val="clear" w:color="auto" w:fill="FFFFFF"/>
          <w:lang w:val="en-GB"/>
        </w:rPr>
        <w:t>life-cycle investment hypothesis</w:t>
      </w:r>
      <w:r w:rsidRPr="00032DA6">
        <w:rPr>
          <w:rFonts w:cstheme="majorBidi"/>
          <w:b/>
          <w:bCs/>
          <w:i/>
          <w:iCs/>
          <w:color w:val="000000" w:themeColor="text1"/>
          <w:shd w:val="clear" w:color="auto" w:fill="FFFFFF"/>
          <w:lang w:val="en-GB"/>
        </w:rPr>
        <w:t xml:space="preserve"> </w:t>
      </w:r>
      <w:r w:rsidRPr="00032DA6">
        <w:rPr>
          <w:rFonts w:cstheme="majorBidi"/>
          <w:color w:val="000000" w:themeColor="text1"/>
          <w:shd w:val="clear" w:color="auto" w:fill="FFFFFF"/>
          <w:lang w:val="en-GB"/>
        </w:rPr>
        <w:t>focusing on the decision to save either through investing in housing or financial assets over the life cycle. Bakshi &amp; Chen (1994) maintain that individuals devote most of their bounded savings on housing when they are relatively young and in the age of building a family</w:t>
      </w:r>
      <w:r w:rsidRPr="00032DA6">
        <w:rPr>
          <w:rStyle w:val="FootnoteReference"/>
          <w:rFonts w:cstheme="majorBidi"/>
          <w:color w:val="000000" w:themeColor="text1"/>
          <w:shd w:val="clear" w:color="auto" w:fill="FFFFFF"/>
          <w:lang w:val="en-GB"/>
        </w:rPr>
        <w:footnoteReference w:id="7"/>
      </w:r>
      <w:r w:rsidRPr="00032DA6">
        <w:rPr>
          <w:rFonts w:cstheme="majorBidi"/>
          <w:color w:val="000000" w:themeColor="text1"/>
          <w:shd w:val="clear" w:color="auto" w:fill="FFFFFF"/>
          <w:lang w:val="en-GB"/>
        </w:rPr>
        <w:t xml:space="preserve">. However, sufficient housing is probably obtained as individuals grow older and the uncertainty associated with future income is amplified. This intensifies the need for retirement investments and thus an aging individual will dedicate a growing portion of savings to financial assets. This, in turn, diminishes the demand for housing and reduces housing prices. This was evident in the “baby-boom” after WWII during the period 1945 – 1980s. As the baby boomers grew in age during 1965 – 1980, investments shifted from financial assets to housing leading to depressed stock prices and heightened housing prices. However, baby boomers began to invest in educating their children and in planning for retirement in their late 30s and early 40s ultimately shifting demand away from housing and towards financial assets in the 1980s and creating downward pressures on housing prices </w:t>
      </w:r>
      <w:r w:rsidRPr="00032DA6">
        <w:rPr>
          <w:rFonts w:cstheme="majorBidi"/>
          <w:color w:val="000000" w:themeColor="text1"/>
          <w:lang w:val="en-GB"/>
        </w:rPr>
        <w:t>(</w:t>
      </w:r>
      <w:r w:rsidRPr="00032DA6">
        <w:rPr>
          <w:rFonts w:cstheme="majorBidi"/>
          <w:color w:val="000000" w:themeColor="text1"/>
          <w:shd w:val="clear" w:color="auto" w:fill="FFFFFF"/>
          <w:lang w:val="en-GB"/>
        </w:rPr>
        <w:t>Bakshi &amp; Chen, 1994).</w:t>
      </w:r>
    </w:p>
    <w:p w14:paraId="7BC5333F" w14:textId="77777777" w:rsidR="00DB00BE" w:rsidRPr="00032DA6" w:rsidRDefault="00DB00BE" w:rsidP="00DE108C">
      <w:pPr>
        <w:spacing w:line="276" w:lineRule="auto"/>
        <w:ind w:firstLine="360"/>
        <w:jc w:val="both"/>
        <w:rPr>
          <w:rFonts w:cstheme="majorBidi"/>
          <w:color w:val="000000" w:themeColor="text1"/>
          <w:shd w:val="clear" w:color="auto" w:fill="FFFFFF"/>
          <w:lang w:val="en-GB"/>
        </w:rPr>
      </w:pPr>
      <w:r w:rsidRPr="00032DA6">
        <w:rPr>
          <w:rFonts w:cstheme="majorBidi"/>
          <w:color w:val="000000" w:themeColor="text1"/>
          <w:lang w:val="en-GB"/>
        </w:rPr>
        <w:t>Moreover, one macroeconomic determinant that has generated noteworthy controversy with regards to its impact on housing prices is inflation</w:t>
      </w:r>
      <w:r w:rsidRPr="00032DA6">
        <w:rPr>
          <w:rFonts w:cstheme="majorBidi"/>
          <w:color w:val="000000" w:themeColor="text1"/>
          <w:shd w:val="clear" w:color="auto" w:fill="FFFFFF"/>
          <w:lang w:val="en-GB"/>
        </w:rPr>
        <w:t>. In the presence of fixed-payment mortgage contracts, inflation has an impact on initial outlays, maturity, and the mortgage’s risk attributes. These repercussions of inflation will ultimately heighten the real cost of housing capital and reduce economic agents’ purchasing power causing a diminution in housing demand and housing prices, ceteris paribus (Kearl, 1979; Andersen &amp; Kennedy, 1994; Alkali et al., 2018). One strand of the literature asserts that, in response to inflationary pressures, the central bank will tend to heighten interest rates thereby decreasing housing demand and prices through the mechanism discussed above (Demary, 2010). Feldstein (1992)</w:t>
      </w:r>
      <w:r w:rsidRPr="00032DA6">
        <w:rPr>
          <w:rStyle w:val="apple-converted-space"/>
          <w:rFonts w:cstheme="majorBidi"/>
          <w:color w:val="000000" w:themeColor="text1"/>
          <w:shd w:val="clear" w:color="auto" w:fill="FFFFFF"/>
          <w:lang w:val="en-GB"/>
        </w:rPr>
        <w:t> </w:t>
      </w:r>
      <w:r w:rsidRPr="00032DA6">
        <w:rPr>
          <w:rFonts w:cstheme="majorBidi"/>
          <w:color w:val="000000" w:themeColor="text1"/>
          <w:shd w:val="clear" w:color="auto" w:fill="FFFFFF"/>
          <w:lang w:val="en-GB"/>
        </w:rPr>
        <w:t>highlights that lower inflation rates shift incentives towards owning rather than renting houses due to the nature of substitution between housing rentals and housing ownership – higher market rents</w:t>
      </w:r>
      <w:r w:rsidRPr="00032DA6">
        <w:rPr>
          <w:rStyle w:val="FootnoteReference"/>
          <w:rFonts w:cstheme="majorBidi"/>
          <w:color w:val="000000" w:themeColor="text1"/>
          <w:shd w:val="clear" w:color="auto" w:fill="FFFFFF"/>
          <w:lang w:val="en-GB"/>
        </w:rPr>
        <w:footnoteReference w:id="8"/>
      </w:r>
      <w:r w:rsidRPr="00032DA6">
        <w:rPr>
          <w:rFonts w:cstheme="majorBidi"/>
          <w:color w:val="000000" w:themeColor="text1"/>
          <w:shd w:val="clear" w:color="auto" w:fill="FFFFFF"/>
          <w:lang w:val="en-GB"/>
        </w:rPr>
        <w:t xml:space="preserve"> incentivise individuals to purchase their own house, boosting the demand for owner-occupied dwellings </w:t>
      </w:r>
      <w:r w:rsidRPr="00032DA6">
        <w:rPr>
          <w:rFonts w:cstheme="majorBidi"/>
          <w:color w:val="000000" w:themeColor="text1"/>
          <w:lang w:val="en-GB"/>
        </w:rPr>
        <w:t>(</w:t>
      </w:r>
      <w:r w:rsidRPr="00032DA6">
        <w:rPr>
          <w:rFonts w:cstheme="majorBidi"/>
          <w:color w:val="000000" w:themeColor="text1"/>
          <w:shd w:val="clear" w:color="auto" w:fill="FFFFFF"/>
          <w:lang w:val="en-GB"/>
        </w:rPr>
        <w:t>Hlaváček &amp; Komárek, 2011; Zhang et al., 2012).</w:t>
      </w:r>
    </w:p>
    <w:p w14:paraId="17F2421C" w14:textId="77777777" w:rsidR="00DB00BE" w:rsidRPr="00032DA6" w:rsidRDefault="00DB00BE" w:rsidP="00DE108C">
      <w:pPr>
        <w:spacing w:line="276" w:lineRule="auto"/>
        <w:ind w:firstLine="360"/>
        <w:jc w:val="both"/>
        <w:rPr>
          <w:rFonts w:cstheme="majorBidi"/>
          <w:color w:val="000000" w:themeColor="text1"/>
          <w:shd w:val="clear" w:color="auto" w:fill="FFFFFF"/>
          <w:lang w:val="en-GB"/>
        </w:rPr>
      </w:pPr>
      <w:r w:rsidRPr="00032DA6">
        <w:rPr>
          <w:rFonts w:cstheme="majorBidi"/>
          <w:color w:val="000000" w:themeColor="text1"/>
          <w:shd w:val="clear" w:color="auto" w:fill="FFFFFF"/>
          <w:lang w:val="en-GB"/>
        </w:rPr>
        <w:t>On the other hand, Kearl (1979) and Gholipour et al. (2014) maintain that anticipated inflation alters perceptions of real housing costs and will cause an upward pressure on housing prices transmitted through supply-side channels namely amplified construction costs. If individuals perceive that investment in real-estate is a good hedge against inflation, they are likely to increase their investment in housing in the presence of inflationary pressures to safeguard their wealth. The resulting higher demand will create an upward pressure on housing prices (Demary, 2010; Zhang et al., 2012; Alkali et al., 2018). It is important to note that individuals’ expectations of higher inflation can also increase the current demand and prices of owner-occupied dwellings (Summers, 1980; Baffoe-Bonnie, 1998).</w:t>
      </w:r>
    </w:p>
    <w:p w14:paraId="4711BBB8" w14:textId="35C130DA" w:rsidR="00F42C54" w:rsidRPr="00032DA6" w:rsidRDefault="00DB00BE" w:rsidP="00DE108C">
      <w:pPr>
        <w:spacing w:line="276" w:lineRule="auto"/>
        <w:ind w:firstLine="360"/>
        <w:jc w:val="both"/>
        <w:rPr>
          <w:rStyle w:val="apple-converted-space"/>
          <w:rFonts w:cstheme="majorBidi"/>
          <w:color w:val="000000" w:themeColor="text1"/>
          <w:shd w:val="clear" w:color="auto" w:fill="FFFFFF"/>
          <w:lang w:val="en-GB"/>
        </w:rPr>
      </w:pPr>
      <w:r w:rsidRPr="00032DA6">
        <w:rPr>
          <w:rFonts w:cstheme="majorBidi"/>
          <w:color w:val="000000" w:themeColor="text1"/>
          <w:shd w:val="clear" w:color="auto" w:fill="FFFFFF"/>
          <w:lang w:val="en-GB"/>
        </w:rPr>
        <w:t xml:space="preserve">Another key determinant of housing prices is households’ disposable income and, in turn, wealth accumulation and savings. Interrelated factors that will affect households’ disposable income include the rate of unemployment and the population’s economic activity level. Other things equal, higher employment rates and real per-capita income will spur housing demand since individuals have higher purchasing power and are better able to service a mortgage thereby creating an upward pressure on the prices of owner-occupied dwellings (Hwang &amp; Quigley, 2006; Adams &amp; Füss, 2010; Demary, 2010; Simo-Kengne et al., 2014; Geng, 2018). </w:t>
      </w:r>
    </w:p>
    <w:p w14:paraId="675CC0C6" w14:textId="655E31B7" w:rsidR="00DB00BE" w:rsidRPr="00032DA6" w:rsidRDefault="00DB00BE" w:rsidP="00DE108C">
      <w:pPr>
        <w:pStyle w:val="Heading2"/>
        <w:numPr>
          <w:ilvl w:val="1"/>
          <w:numId w:val="16"/>
        </w:numPr>
        <w:spacing w:line="276" w:lineRule="auto"/>
        <w:rPr>
          <w:lang w:val="en-GB"/>
        </w:rPr>
      </w:pPr>
      <w:bookmarkStart w:id="8" w:name="_Toc91107868"/>
      <w:bookmarkStart w:id="9" w:name="_Toc91438034"/>
      <w:r w:rsidRPr="00032DA6">
        <w:rPr>
          <w:lang w:val="en-GB"/>
        </w:rPr>
        <w:t>Institutional Determinants</w:t>
      </w:r>
      <w:bookmarkEnd w:id="8"/>
      <w:bookmarkEnd w:id="9"/>
    </w:p>
    <w:p w14:paraId="30B2E5C4" w14:textId="6F7F4F9F" w:rsidR="00DB00BE" w:rsidRPr="00032DA6" w:rsidRDefault="00DB00BE" w:rsidP="00DE108C">
      <w:pPr>
        <w:pStyle w:val="ListParagraph"/>
        <w:spacing w:line="276" w:lineRule="auto"/>
        <w:ind w:left="0" w:firstLine="360"/>
        <w:jc w:val="both"/>
        <w:rPr>
          <w:rFonts w:cstheme="majorBidi"/>
          <w:color w:val="000000" w:themeColor="text1"/>
          <w:shd w:val="clear" w:color="auto" w:fill="FFFFFF"/>
          <w:lang w:val="en-GB"/>
        </w:rPr>
      </w:pPr>
      <w:r w:rsidRPr="00032DA6">
        <w:rPr>
          <w:rFonts w:cstheme="majorBidi"/>
          <w:color w:val="000000" w:themeColor="text1"/>
          <w:lang w:val="en-GB"/>
        </w:rPr>
        <w:t>Institutional variables such as mortgage laws, banking regulations, macroprudential policies, and other financial instruments are also key determinants of housing demand and prices (Lambertini et al., 2013). A key factor affecting housing prices is the extent to which the financial market is developed</w:t>
      </w:r>
      <w:r w:rsidRPr="00032DA6">
        <w:rPr>
          <w:rFonts w:cstheme="majorBidi"/>
          <w:color w:val="000000" w:themeColor="text1"/>
          <w:shd w:val="clear" w:color="auto" w:fill="FFFFFF"/>
          <w:lang w:val="en-GB"/>
        </w:rPr>
        <w:t xml:space="preserve">. </w:t>
      </w:r>
      <w:r w:rsidRPr="00032DA6">
        <w:rPr>
          <w:rFonts w:cstheme="majorBidi"/>
          <w:color w:val="000000" w:themeColor="text1"/>
          <w:lang w:val="en-GB"/>
        </w:rPr>
        <w:t xml:space="preserve">According to </w:t>
      </w:r>
      <w:r w:rsidRPr="00032DA6">
        <w:rPr>
          <w:rFonts w:cstheme="majorBidi"/>
          <w:color w:val="000000" w:themeColor="text1"/>
          <w:shd w:val="clear" w:color="auto" w:fill="FFFFFF"/>
          <w:lang w:val="en-GB"/>
        </w:rPr>
        <w:t xml:space="preserve">Andersen &amp; Kennedy (1994), deregulation and liberalisation of the financial market will cause an upsurge in the prices of owner-occupied </w:t>
      </w:r>
      <w:r w:rsidR="00D07A54" w:rsidRPr="00032DA6">
        <w:rPr>
          <w:rFonts w:cstheme="majorBidi"/>
          <w:color w:val="000000" w:themeColor="text1"/>
          <w:shd w:val="clear" w:color="auto" w:fill="FFFFFF"/>
          <w:lang w:val="en-GB"/>
        </w:rPr>
        <w:t>housing units</w:t>
      </w:r>
      <w:r w:rsidRPr="00032DA6">
        <w:rPr>
          <w:rFonts w:cstheme="majorBidi"/>
          <w:color w:val="000000" w:themeColor="text1"/>
          <w:shd w:val="clear" w:color="auto" w:fill="FFFFFF"/>
          <w:lang w:val="en-GB"/>
        </w:rPr>
        <w:t xml:space="preserve"> since the reductions in liquidity constraints will facilitate access to finance and boost the demand for housing. Lecat &amp; Mesonnier (2005) explain that changes in regulatory constraints – including a fall in transaction costs and less restrictive bank lending conditions – have contributed to the upsurge in housing prices in industrialised countries over the last 20 years. Macroprudential regulations </w:t>
      </w:r>
      <w:r w:rsidRPr="00032DA6">
        <w:rPr>
          <w:rFonts w:cstheme="majorBidi"/>
          <w:color w:val="000000" w:themeColor="text1"/>
          <w:lang w:val="en-GB"/>
        </w:rPr>
        <w:t xml:space="preserve">– including loan-to-value (LTV) ratio, down payment requirements, and debt-to-income (DIT) ratio – </w:t>
      </w:r>
      <w:r w:rsidRPr="00032DA6">
        <w:rPr>
          <w:rFonts w:cstheme="majorBidi"/>
          <w:color w:val="000000" w:themeColor="text1"/>
          <w:shd w:val="clear" w:color="auto" w:fill="FFFFFF"/>
          <w:lang w:val="en-GB"/>
        </w:rPr>
        <w:t>represent key institutional forces that influence housing prices and are also closely interlinked with the macro-financial fundamentals and policies.</w:t>
      </w:r>
      <w:r w:rsidRPr="00032DA6">
        <w:rPr>
          <w:rFonts w:cstheme="majorBidi"/>
          <w:color w:val="000000" w:themeColor="text1"/>
          <w:lang w:val="en-GB"/>
        </w:rPr>
        <w:t xml:space="preserve"> </w:t>
      </w:r>
    </w:p>
    <w:p w14:paraId="5A256159" w14:textId="77777777" w:rsidR="00DB00BE" w:rsidRPr="00032DA6" w:rsidRDefault="00DB00BE" w:rsidP="00DE108C">
      <w:pPr>
        <w:pStyle w:val="NormalWeb"/>
        <w:spacing w:line="276" w:lineRule="auto"/>
        <w:ind w:firstLine="360"/>
        <w:jc w:val="both"/>
        <w:rPr>
          <w:rFonts w:asciiTheme="majorBidi" w:hAnsiTheme="majorBidi" w:cstheme="majorBidi"/>
          <w:color w:val="000000" w:themeColor="text1"/>
          <w:sz w:val="22"/>
          <w:szCs w:val="22"/>
          <w:shd w:val="clear" w:color="auto" w:fill="FFFFFF"/>
          <w:lang w:val="en-GB"/>
        </w:rPr>
      </w:pPr>
      <w:r w:rsidRPr="00032DA6">
        <w:rPr>
          <w:rFonts w:asciiTheme="majorBidi" w:hAnsiTheme="majorBidi" w:cstheme="majorBidi"/>
          <w:color w:val="000000" w:themeColor="text1"/>
          <w:sz w:val="22"/>
          <w:szCs w:val="22"/>
          <w:shd w:val="clear" w:color="auto" w:fill="FFFFFF"/>
          <w:lang w:val="en-GB"/>
        </w:rPr>
        <w:t>Chu (2014) argues that credit constrains, namely down payment requirements, can have a substantial impact on housing prices if it is costly to switch from owner-occupied to rental dwellings. Tsatsaronis &amp; Zhu (2004) contend that if the LTV ratio is not anchored to historical values and is instead derived from the current value of the real-estate property, credit availability will expand leading to higher housing prices. Moreover, Milcheva &amp; Sebastian (2010) and Crowe et al. (2013) assert that prudential ceilings on LTV ratio will shrink the pool of borrowers who will be able to finance their housing purchases leading to downward pressures on housing demand and prices. Likewise, ceilings on DIT ratio will restrain individuals’ purchasing powers creating similar downward pressures on housing prices (Crowe et al., 2013).</w:t>
      </w:r>
    </w:p>
    <w:p w14:paraId="671488AB" w14:textId="79B2F17C" w:rsidR="00DB00BE" w:rsidRPr="00032DA6" w:rsidRDefault="00DB00BE" w:rsidP="00DE108C">
      <w:pPr>
        <w:spacing w:line="276" w:lineRule="auto"/>
        <w:ind w:firstLine="360"/>
        <w:jc w:val="both"/>
        <w:rPr>
          <w:rFonts w:cstheme="majorBidi"/>
          <w:color w:val="000000" w:themeColor="text1"/>
          <w:shd w:val="clear" w:color="auto" w:fill="FFFFFF"/>
          <w:lang w:val="en-GB"/>
        </w:rPr>
      </w:pPr>
      <w:r w:rsidRPr="00032DA6">
        <w:rPr>
          <w:rFonts w:cstheme="majorBidi"/>
          <w:color w:val="000000" w:themeColor="text1"/>
          <w:lang w:val="en-GB"/>
        </w:rPr>
        <w:t>On the supply side, housing market dynamics are, to a great extent, driven by the construction industry’s profitability which tends to be sticky in the short</w:t>
      </w:r>
      <w:r w:rsidR="3BA8DAA0" w:rsidRPr="199FF000">
        <w:rPr>
          <w:rFonts w:cstheme="majorBidi"/>
          <w:color w:val="000000" w:themeColor="text1"/>
          <w:lang w:val="en-GB"/>
        </w:rPr>
        <w:t xml:space="preserve"> </w:t>
      </w:r>
      <w:r w:rsidRPr="00032DA6">
        <w:rPr>
          <w:rFonts w:cstheme="majorBidi"/>
          <w:color w:val="000000" w:themeColor="text1"/>
          <w:lang w:val="en-GB"/>
        </w:rPr>
        <w:t>run (</w:t>
      </w:r>
      <w:r w:rsidRPr="00032DA6">
        <w:rPr>
          <w:rFonts w:cstheme="majorBidi"/>
          <w:color w:val="000000" w:themeColor="text1"/>
          <w:shd w:val="clear" w:color="auto" w:fill="FFFFFF"/>
          <w:lang w:val="en-GB"/>
        </w:rPr>
        <w:t xml:space="preserve">Mayer, 2011; Geng, 2018). Adams &amp; Füss (2010) assert that a spike in construction costs will decrease housing stock which, in turn, increases housing prices. Furthermore, the saturation of housing needs, cost components, and geographical limitations contribute to defining housing prices </w:t>
      </w:r>
      <w:r w:rsidRPr="00032DA6">
        <w:rPr>
          <w:rFonts w:cstheme="majorBidi"/>
          <w:color w:val="000000" w:themeColor="text1"/>
          <w:lang w:val="en-GB"/>
        </w:rPr>
        <w:t>(</w:t>
      </w:r>
      <w:r w:rsidRPr="00032DA6">
        <w:rPr>
          <w:rFonts w:cstheme="majorBidi"/>
          <w:color w:val="000000" w:themeColor="text1"/>
          <w:shd w:val="clear" w:color="auto" w:fill="FFFFFF"/>
          <w:lang w:val="en-GB"/>
        </w:rPr>
        <w:t>Paciorek, 2013; Belke &amp; Keil, 2018). It is important to note, however, that supply-side factors’ transmission to housing prices occurs with a lengthy lag given the time required to plan and implement housing projects (Mayer, 2011). Variation in housing prices in narrow areas can be explained by cross-sectional patterns where houses in relatively poor neighbourhoods that are located near a high-priced neighbourhood tend to experience higher house price volatility due to gentrification (</w:t>
      </w:r>
      <w:r w:rsidRPr="00032DA6">
        <w:rPr>
          <w:rFonts w:cstheme="majorBidi"/>
          <w:color w:val="222222"/>
          <w:shd w:val="clear" w:color="auto" w:fill="FFFFFF"/>
          <w:lang w:val="en-GB"/>
        </w:rPr>
        <w:t>Piazzesi &amp; Schneider, 2016).</w:t>
      </w:r>
    </w:p>
    <w:p w14:paraId="403D8E4B" w14:textId="4F7BF350" w:rsidR="00DB00BE" w:rsidRPr="00032DA6" w:rsidRDefault="00DB00BE" w:rsidP="00DE108C">
      <w:pPr>
        <w:spacing w:line="276" w:lineRule="auto"/>
        <w:ind w:firstLine="360"/>
        <w:jc w:val="both"/>
        <w:rPr>
          <w:rFonts w:cstheme="majorBidi"/>
          <w:color w:val="000000" w:themeColor="text1"/>
          <w:shd w:val="clear" w:color="auto" w:fill="FFFFFF"/>
          <w:lang w:val="en-GB"/>
        </w:rPr>
      </w:pPr>
      <w:r w:rsidRPr="00032DA6">
        <w:rPr>
          <w:rFonts w:cstheme="majorBidi"/>
          <w:color w:val="000000" w:themeColor="text1"/>
          <w:shd w:val="clear" w:color="auto" w:fill="FFFFFF"/>
          <w:lang w:val="en-GB"/>
        </w:rPr>
        <w:t xml:space="preserve">The supply-side of the housing market is also affected by institutional factors including building regulations, restrictions on land use, administrative processes, social housing supply, and access to credit (Milcheva &amp; Sebastian, 2010; Belke &amp; Keil, 2018). Mishkin (2007) highlights that land-use restrictions tend to make housing supply relatively more inelastic even if land is abundantly available in a certain nation. Following Tobin’s q approach, investing in housing is profitable when Tobin’s q exceeds 1 implying that housing prices increase at a faster rate compared to construction costs (Milcheva &amp; Sebastian, 2010). Nevertheless, if institutional hurdles lead to a relatively inelastic housing supply, housing prices are likely to be more volatile. Inefficiencies in housing supply and housing market structure can also create upward pressures on housing prices. House prices will soar if the housing market is dominated by state-owned enterprises who can easily take loans from public banks to partake in the housing market (Zhang et al., 2012). </w:t>
      </w:r>
    </w:p>
    <w:p w14:paraId="6288725B" w14:textId="55F2FF42" w:rsidR="00F42C54" w:rsidRPr="00032DA6" w:rsidRDefault="002C40FB" w:rsidP="00DE108C">
      <w:pPr>
        <w:spacing w:line="276" w:lineRule="auto"/>
        <w:ind w:firstLine="360"/>
        <w:jc w:val="both"/>
        <w:rPr>
          <w:rFonts w:cstheme="majorBidi"/>
          <w:color w:val="000000" w:themeColor="text1"/>
          <w:shd w:val="clear" w:color="auto" w:fill="FFFFFF"/>
          <w:lang w:val="en-GB"/>
        </w:rPr>
      </w:pPr>
      <w:r w:rsidRPr="00032DA6">
        <w:rPr>
          <w:rFonts w:cstheme="majorBidi"/>
          <w:color w:val="000000" w:themeColor="text1"/>
          <w:lang w:val="en-GB"/>
        </w:rPr>
        <w:t xml:space="preserve">Furthermore, fiscal policy can also affect housing prices especially through tax policy. To illustrate, the United States government’s implementation of the Economic Recovery Tax Act in 1981 boosted investments in real-estate; however, as the taxation policy became more contractionary due to the Tax Reform Act in 1986, investments in real-estate decreased significantly </w:t>
      </w:r>
      <w:r w:rsidRPr="00032DA6">
        <w:rPr>
          <w:rFonts w:cstheme="majorBidi"/>
          <w:color w:val="000000" w:themeColor="text1"/>
          <w:shd w:val="clear" w:color="auto" w:fill="FFFFFF"/>
          <w:lang w:val="en-GB"/>
        </w:rPr>
        <w:t>(Baffoe-Bonnie, 1998). Favourable tax treatments for mortgage financing and real-estate investment decrease housing’s user cost of capital and thus increase housing demand and prices (Geng, 2018).</w:t>
      </w:r>
      <w:r w:rsidRPr="00032DA6">
        <w:rPr>
          <w:rStyle w:val="apple-converted-space"/>
          <w:rFonts w:cstheme="majorBidi"/>
          <w:color w:val="000000" w:themeColor="text1"/>
          <w:shd w:val="clear" w:color="auto" w:fill="FFFFFF"/>
          <w:lang w:val="en-GB"/>
        </w:rPr>
        <w:t> </w:t>
      </w:r>
    </w:p>
    <w:p w14:paraId="5C02E40A" w14:textId="3E886C5E" w:rsidR="00DB00BE" w:rsidRPr="00032DA6" w:rsidRDefault="00DB00BE" w:rsidP="00DE108C">
      <w:pPr>
        <w:pStyle w:val="Heading2"/>
        <w:numPr>
          <w:ilvl w:val="1"/>
          <w:numId w:val="16"/>
        </w:numPr>
        <w:spacing w:line="276" w:lineRule="auto"/>
        <w:rPr>
          <w:rFonts w:eastAsia="Times New Roman"/>
          <w:lang w:val="en-GB"/>
        </w:rPr>
      </w:pPr>
      <w:bookmarkStart w:id="10" w:name="_Toc91107869"/>
      <w:bookmarkStart w:id="11" w:name="_Toc91438035"/>
      <w:r w:rsidRPr="00032DA6">
        <w:rPr>
          <w:rFonts w:eastAsia="Times New Roman"/>
          <w:lang w:val="en-GB"/>
        </w:rPr>
        <w:t>Behavioural, Cultural, and Speculative-Driven Fundamentals</w:t>
      </w:r>
      <w:bookmarkEnd w:id="10"/>
      <w:bookmarkEnd w:id="11"/>
      <w:r w:rsidRPr="00032DA6">
        <w:rPr>
          <w:rFonts w:eastAsia="Times New Roman"/>
          <w:lang w:val="en-GB"/>
        </w:rPr>
        <w:t xml:space="preserve"> </w:t>
      </w:r>
    </w:p>
    <w:p w14:paraId="75F34166" w14:textId="77777777" w:rsidR="00DB00BE" w:rsidRPr="00032DA6" w:rsidRDefault="00DB00BE" w:rsidP="00DE108C">
      <w:pPr>
        <w:spacing w:before="120" w:after="120" w:line="276" w:lineRule="auto"/>
        <w:ind w:firstLine="360"/>
        <w:jc w:val="both"/>
        <w:rPr>
          <w:rFonts w:cstheme="majorBidi"/>
          <w:color w:val="000000" w:themeColor="text1"/>
          <w:shd w:val="clear" w:color="auto" w:fill="FFFFFF"/>
          <w:lang w:val="en-GB"/>
        </w:rPr>
      </w:pPr>
      <w:r w:rsidRPr="00032DA6">
        <w:rPr>
          <w:rFonts w:eastAsia="Times New Roman" w:cstheme="majorBidi"/>
          <w:color w:val="000000" w:themeColor="text1"/>
          <w:lang w:val="en-GB"/>
        </w:rPr>
        <w:t>A new strand of literature also incorporates behavioural factors, speculative-driven fundamentals, and cultural values in examining housing prices and demand (</w:t>
      </w:r>
      <w:r w:rsidRPr="00032DA6">
        <w:rPr>
          <w:rFonts w:eastAsia="Times New Roman" w:cstheme="majorBidi"/>
          <w:color w:val="211E1E"/>
          <w:lang w:val="en-GB" w:eastAsia="en-GB"/>
        </w:rPr>
        <w:t xml:space="preserve">Elsinga </w:t>
      </w:r>
      <w:r w:rsidRPr="00032DA6">
        <w:rPr>
          <w:rFonts w:cstheme="majorBidi"/>
          <w:color w:val="211E1E"/>
          <w:lang w:val="en-GB"/>
        </w:rPr>
        <w:t>&amp;</w:t>
      </w:r>
      <w:r w:rsidRPr="00032DA6">
        <w:rPr>
          <w:rFonts w:eastAsia="Times New Roman" w:cstheme="majorBidi"/>
          <w:color w:val="211E1E"/>
          <w:lang w:val="en-GB" w:eastAsia="en-GB"/>
        </w:rPr>
        <w:t xml:space="preserve"> Hoekstra, 2004; S</w:t>
      </w:r>
      <w:r w:rsidRPr="00032DA6">
        <w:rPr>
          <w:rFonts w:cstheme="majorBidi"/>
          <w:color w:val="222222"/>
          <w:shd w:val="clear" w:color="auto" w:fill="FFFFFF"/>
          <w:lang w:val="en-GB"/>
        </w:rPr>
        <w:t xml:space="preserve">toykova &amp; Chou, 2013; </w:t>
      </w:r>
      <w:r w:rsidRPr="00032DA6">
        <w:rPr>
          <w:rFonts w:eastAsia="Times New Roman" w:cstheme="majorBidi"/>
          <w:color w:val="000000" w:themeColor="text1"/>
          <w:lang w:val="en-GB"/>
        </w:rPr>
        <w:t xml:space="preserve">Whittle et al., 2014). </w:t>
      </w:r>
      <w:r w:rsidRPr="00032DA6">
        <w:rPr>
          <w:rFonts w:cstheme="majorBidi"/>
          <w:color w:val="000000" w:themeColor="text1"/>
          <w:lang w:val="en-GB"/>
        </w:rPr>
        <w:t>Behavioural determinants, including how biases and cognitive errors can affect housing prices, have been greatly neglected until the Global Financial Crisis in 2007/08 (</w:t>
      </w:r>
      <w:r w:rsidRPr="00032DA6">
        <w:rPr>
          <w:rFonts w:cstheme="majorBidi"/>
          <w:color w:val="000000" w:themeColor="text1"/>
          <w:shd w:val="clear" w:color="auto" w:fill="FFFFFF"/>
          <w:lang w:val="en-GB"/>
        </w:rPr>
        <w:t>Whittle et al., 2014).</w:t>
      </w:r>
      <w:r w:rsidRPr="00032DA6">
        <w:rPr>
          <w:rFonts w:cstheme="majorBidi"/>
          <w:color w:val="000000" w:themeColor="text1"/>
          <w:lang w:val="en-GB"/>
        </w:rPr>
        <w:t xml:space="preserve"> </w:t>
      </w:r>
      <w:r w:rsidRPr="00032DA6">
        <w:rPr>
          <w:rFonts w:cstheme="majorBidi"/>
          <w:color w:val="000000" w:themeColor="text1"/>
          <w:shd w:val="clear" w:color="auto" w:fill="FFFFFF"/>
          <w:lang w:val="en-GB"/>
        </w:rPr>
        <w:t xml:space="preserve">Case and Shiller (2003) implicitly highlighted the significance of behavioural factors and </w:t>
      </w:r>
      <w:r w:rsidRPr="00032DA6">
        <w:rPr>
          <w:rFonts w:cstheme="majorBidi"/>
          <w:i/>
          <w:iCs/>
          <w:color w:val="000000" w:themeColor="text1"/>
          <w:shd w:val="clear" w:color="auto" w:fill="FFFFFF"/>
          <w:lang w:val="en-GB"/>
        </w:rPr>
        <w:t xml:space="preserve">“how people think” </w:t>
      </w:r>
      <w:r w:rsidRPr="00032DA6">
        <w:rPr>
          <w:rFonts w:cstheme="majorBidi"/>
          <w:color w:val="000000" w:themeColor="text1"/>
          <w:shd w:val="clear" w:color="auto" w:fill="FFFFFF"/>
          <w:lang w:val="en-GB"/>
        </w:rPr>
        <w:t>in making housing decisions. These behaviour-based determinants include investment motivations, expectations, risk perceptions, and widespread attitudes towards real-estate (Case and Shiller, 2003).</w:t>
      </w:r>
    </w:p>
    <w:p w14:paraId="077F6337" w14:textId="77777777" w:rsidR="0095662F" w:rsidRPr="00032DA6" w:rsidRDefault="00DB00BE" w:rsidP="00DE108C">
      <w:pPr>
        <w:spacing w:line="276" w:lineRule="auto"/>
        <w:ind w:firstLine="360"/>
        <w:jc w:val="both"/>
        <w:rPr>
          <w:rFonts w:cstheme="majorBidi"/>
          <w:color w:val="000000" w:themeColor="text1"/>
          <w:lang w:val="en-GB"/>
        </w:rPr>
      </w:pPr>
      <w:bookmarkStart w:id="12" w:name="_Hlk91321264"/>
      <w:r w:rsidRPr="00032DA6">
        <w:rPr>
          <w:rFonts w:cstheme="majorBidi"/>
          <w:color w:val="000000" w:themeColor="text1"/>
          <w:shd w:val="clear" w:color="auto" w:fill="FFFFFF"/>
          <w:lang w:val="en-GB"/>
        </w:rPr>
        <w:t xml:space="preserve">In addition to the </w:t>
      </w:r>
      <w:r w:rsidRPr="00032DA6">
        <w:rPr>
          <w:rFonts w:cstheme="majorBidi"/>
          <w:i/>
          <w:iCs/>
          <w:color w:val="000000" w:themeColor="text1"/>
          <w:shd w:val="clear" w:color="auto" w:fill="FFFFFF"/>
          <w:lang w:val="en-GB"/>
        </w:rPr>
        <w:t xml:space="preserve">life-cycle investment hypothesis, </w:t>
      </w:r>
      <w:r w:rsidRPr="00032DA6">
        <w:rPr>
          <w:rFonts w:cstheme="majorBidi"/>
          <w:color w:val="000000" w:themeColor="text1"/>
          <w:shd w:val="clear" w:color="auto" w:fill="FFFFFF"/>
          <w:lang w:val="en-GB"/>
        </w:rPr>
        <w:t xml:space="preserve">Bakshi &amp; Chen (1994) propose the </w:t>
      </w:r>
      <w:r w:rsidRPr="00032DA6">
        <w:rPr>
          <w:rFonts w:cstheme="majorBidi"/>
          <w:i/>
          <w:iCs/>
          <w:color w:val="000000" w:themeColor="text1"/>
          <w:shd w:val="clear" w:color="auto" w:fill="FFFFFF"/>
          <w:lang w:val="en-GB"/>
        </w:rPr>
        <w:t>life-cycle risk-aversion hypothesis</w:t>
      </w:r>
      <w:r w:rsidRPr="00032DA6">
        <w:rPr>
          <w:rFonts w:cstheme="majorBidi"/>
          <w:b/>
          <w:bCs/>
          <w:i/>
          <w:iCs/>
          <w:color w:val="000000" w:themeColor="text1"/>
          <w:shd w:val="clear" w:color="auto" w:fill="FFFFFF"/>
          <w:lang w:val="en-GB"/>
        </w:rPr>
        <w:t xml:space="preserve"> </w:t>
      </w:r>
      <w:r w:rsidRPr="00032DA6">
        <w:rPr>
          <w:rFonts w:cstheme="majorBidi"/>
          <w:color w:val="000000" w:themeColor="text1"/>
          <w:shd w:val="clear" w:color="auto" w:fill="FFFFFF"/>
          <w:lang w:val="en-GB"/>
        </w:rPr>
        <w:t xml:space="preserve">stating that as an individual ages, portfolio-selection behaviour tends to change with an increase in relative risk-aversion. With higher uncertainty associated with future earnings, an aging individual will likely be less willing to participate in a financially risky investment since it will be difficult to cover prospective losses and thus smooth consumption as suggested by </w:t>
      </w:r>
      <w:r w:rsidRPr="00032DA6">
        <w:rPr>
          <w:rFonts w:cstheme="majorBidi"/>
          <w:color w:val="000000" w:themeColor="text1"/>
          <w:lang w:val="en-GB"/>
        </w:rPr>
        <w:t>Modigliani and Brumber’s life-cycle hypothesis.</w:t>
      </w:r>
    </w:p>
    <w:bookmarkEnd w:id="12"/>
    <w:p w14:paraId="3379FCE6" w14:textId="18F198CB" w:rsidR="00DB00BE" w:rsidRPr="00032DA6" w:rsidRDefault="00DB00BE" w:rsidP="00DE108C">
      <w:pPr>
        <w:spacing w:line="276" w:lineRule="auto"/>
        <w:ind w:firstLine="360"/>
        <w:jc w:val="both"/>
        <w:rPr>
          <w:rFonts w:cstheme="majorBidi"/>
          <w:color w:val="000000" w:themeColor="text1"/>
          <w:lang w:val="en-GB"/>
        </w:rPr>
      </w:pPr>
      <w:r w:rsidRPr="00032DA6">
        <w:rPr>
          <w:rFonts w:cstheme="majorBidi"/>
          <w:color w:val="000000" w:themeColor="text1"/>
          <w:lang w:val="en-GB"/>
        </w:rPr>
        <w:t xml:space="preserve">Moreover, expectations of future prices are likely to cause inflated housing prices. The term </w:t>
      </w:r>
      <w:r w:rsidRPr="00032DA6">
        <w:rPr>
          <w:rFonts w:cstheme="majorBidi"/>
          <w:i/>
          <w:iCs/>
          <w:color w:val="000000" w:themeColor="text1"/>
          <w:lang w:val="en-GB"/>
        </w:rPr>
        <w:t xml:space="preserve">“animal spirits” </w:t>
      </w:r>
      <w:r w:rsidRPr="00032DA6">
        <w:rPr>
          <w:rFonts w:cstheme="majorBidi"/>
          <w:color w:val="000000" w:themeColor="text1"/>
          <w:lang w:val="en-GB"/>
        </w:rPr>
        <w:t xml:space="preserve">was used by Keynes to justify how individuals act as a </w:t>
      </w:r>
      <w:r w:rsidRPr="00032DA6">
        <w:rPr>
          <w:rFonts w:cstheme="majorBidi"/>
          <w:i/>
          <w:iCs/>
          <w:color w:val="000000" w:themeColor="text1"/>
          <w:lang w:val="en-GB"/>
        </w:rPr>
        <w:t xml:space="preserve">“herd” </w:t>
      </w:r>
      <w:r w:rsidRPr="00032DA6">
        <w:rPr>
          <w:rFonts w:cstheme="majorBidi"/>
          <w:color w:val="000000" w:themeColor="text1"/>
          <w:lang w:val="en-GB"/>
        </w:rPr>
        <w:t>leading to pessimism or irrational exuberance in an economy (</w:t>
      </w:r>
      <w:r w:rsidRPr="00032DA6">
        <w:rPr>
          <w:rFonts w:cstheme="majorBidi"/>
          <w:color w:val="000000" w:themeColor="text1"/>
          <w:shd w:val="clear" w:color="auto" w:fill="FFFFFF"/>
          <w:lang w:val="en-GB"/>
        </w:rPr>
        <w:t>Whittle et al., 2014).</w:t>
      </w:r>
      <w:r w:rsidRPr="00032DA6">
        <w:rPr>
          <w:rFonts w:cstheme="majorBidi"/>
          <w:color w:val="000000" w:themeColor="text1"/>
          <w:lang w:val="en-GB"/>
        </w:rPr>
        <w:t xml:space="preserve"> The resulting speculation can cause adverse repercussions on the housing market dynamics even if there are no changes in the macro-financial fundamentals</w:t>
      </w:r>
      <w:r w:rsidRPr="00032DA6">
        <w:rPr>
          <w:rStyle w:val="FootnoteReference"/>
          <w:rFonts w:cstheme="majorBidi"/>
          <w:color w:val="000000" w:themeColor="text1"/>
          <w:lang w:val="en-GB"/>
        </w:rPr>
        <w:footnoteReference w:id="9"/>
      </w:r>
      <w:r w:rsidRPr="00032DA6">
        <w:rPr>
          <w:rFonts w:cstheme="majorBidi"/>
          <w:color w:val="000000" w:themeColor="text1"/>
          <w:lang w:val="en-GB"/>
        </w:rPr>
        <w:t xml:space="preserve">. This leads to what </w:t>
      </w:r>
      <w:r w:rsidRPr="00032DA6">
        <w:rPr>
          <w:rFonts w:cstheme="majorBidi"/>
          <w:color w:val="000000" w:themeColor="text1"/>
          <w:shd w:val="clear" w:color="auto" w:fill="FFFFFF"/>
          <w:lang w:val="en-GB"/>
        </w:rPr>
        <w:t xml:space="preserve">Stiglitz (1990) refers to as a </w:t>
      </w:r>
      <w:r w:rsidRPr="00032DA6">
        <w:rPr>
          <w:rFonts w:cstheme="majorBidi"/>
          <w:i/>
          <w:iCs/>
          <w:color w:val="000000" w:themeColor="text1"/>
          <w:shd w:val="clear" w:color="auto" w:fill="FFFFFF"/>
          <w:lang w:val="en-GB"/>
        </w:rPr>
        <w:t xml:space="preserve">“bubble,” </w:t>
      </w:r>
      <w:r w:rsidRPr="00032DA6">
        <w:rPr>
          <w:rFonts w:cstheme="majorBidi"/>
          <w:color w:val="000000" w:themeColor="text1"/>
          <w:shd w:val="clear" w:color="auto" w:fill="FFFFFF"/>
          <w:lang w:val="en-GB"/>
        </w:rPr>
        <w:t xml:space="preserve">if macro-financial fundamentals are unable to explain the changes in the price and instead it can </w:t>
      </w:r>
      <w:r w:rsidRPr="00032DA6">
        <w:rPr>
          <w:rFonts w:cstheme="majorBidi"/>
          <w:i/>
          <w:iCs/>
          <w:color w:val="000000" w:themeColor="text1"/>
          <w:shd w:val="clear" w:color="auto" w:fill="FFFFFF"/>
          <w:lang w:val="en-GB"/>
        </w:rPr>
        <w:t>only</w:t>
      </w:r>
      <w:r w:rsidRPr="00032DA6">
        <w:rPr>
          <w:rFonts w:cstheme="majorBidi"/>
          <w:color w:val="000000" w:themeColor="text1"/>
          <w:shd w:val="clear" w:color="auto" w:fill="FFFFFF"/>
          <w:lang w:val="en-GB"/>
        </w:rPr>
        <w:t xml:space="preserve"> be explained by investors’ expectations of a future increase in prices. Shiller (2007) explains the bubble as a </w:t>
      </w:r>
      <w:r w:rsidRPr="00032DA6">
        <w:rPr>
          <w:rFonts w:cstheme="majorBidi"/>
          <w:i/>
          <w:iCs/>
          <w:color w:val="000000" w:themeColor="text1"/>
          <w:shd w:val="clear" w:color="auto" w:fill="FFFFFF"/>
          <w:lang w:val="en-GB"/>
        </w:rPr>
        <w:t>feedback mechanism</w:t>
      </w:r>
      <w:r w:rsidRPr="00032DA6">
        <w:rPr>
          <w:rFonts w:cstheme="majorBidi"/>
          <w:color w:val="000000" w:themeColor="text1"/>
          <w:shd w:val="clear" w:color="auto" w:fill="FFFFFF"/>
          <w:lang w:val="en-GB"/>
        </w:rPr>
        <w:t xml:space="preserve"> where observations of current price increases and the resulting expectations of future price spikes lead to a speculative increase in housing demand and prices, reinforcing public expectations and this vicious feedback loop</w:t>
      </w:r>
      <w:r w:rsidRPr="00032DA6">
        <w:rPr>
          <w:rStyle w:val="FootnoteReference"/>
          <w:rFonts w:cstheme="majorBidi"/>
          <w:color w:val="000000" w:themeColor="text1"/>
          <w:shd w:val="clear" w:color="auto" w:fill="FFFFFF"/>
          <w:lang w:val="en-GB"/>
        </w:rPr>
        <w:footnoteReference w:id="10"/>
      </w:r>
      <w:r w:rsidRPr="00032DA6">
        <w:rPr>
          <w:rFonts w:cstheme="majorBidi"/>
          <w:color w:val="000000" w:themeColor="text1"/>
          <w:shd w:val="clear" w:color="auto" w:fill="FFFFFF"/>
          <w:lang w:val="en-GB"/>
        </w:rPr>
        <w:t xml:space="preserve">. </w:t>
      </w:r>
    </w:p>
    <w:p w14:paraId="00616F24" w14:textId="77777777" w:rsidR="00DB00BE" w:rsidRPr="00032DA6" w:rsidRDefault="00DB00BE" w:rsidP="00DE108C">
      <w:pPr>
        <w:spacing w:line="276" w:lineRule="auto"/>
        <w:ind w:firstLine="227"/>
        <w:jc w:val="both"/>
        <w:rPr>
          <w:rFonts w:cstheme="majorBidi"/>
          <w:color w:val="000000" w:themeColor="text1"/>
          <w:shd w:val="clear" w:color="auto" w:fill="FFFFFF"/>
          <w:lang w:val="en-GB"/>
        </w:rPr>
      </w:pPr>
      <w:r w:rsidRPr="00032DA6">
        <w:rPr>
          <w:rFonts w:cstheme="majorBidi"/>
          <w:color w:val="000000" w:themeColor="text1"/>
          <w:shd w:val="clear" w:color="auto" w:fill="FFFFFF"/>
          <w:lang w:val="en-GB"/>
        </w:rPr>
        <w:t>Examining the U.S. housing market in boom and post-boom times in 1988, Case and Shiller (1988) emphasised that the market is chiefly driven by expectations stemming for past price patterns regardless of the macro-financial fundamentals. This behaviour is likely to reinforce booms in housing prices as buyers become “destabilising speculators” (Case and Shiller, 1988). During a housing price bubble, individuals believe that if they do not purchase the house now, they will not be able to afford it in the future and are thus willing to buy a house at a relatively expensive price with the perception that they will be recompensed with an even greater future increase in the price that will increase the value of the house and thus their wealth (Case and Shiller, 2003). W</w:t>
      </w:r>
      <w:r w:rsidRPr="00032DA6">
        <w:rPr>
          <w:rFonts w:cstheme="majorBidi"/>
          <w:color w:val="000000" w:themeColor="text1"/>
          <w:lang w:val="en-GB"/>
        </w:rPr>
        <w:t xml:space="preserve">hether such price rises are continuous or temporary play the most vital role in creating the housing bubble. </w:t>
      </w:r>
      <w:bookmarkStart w:id="13" w:name="_Hlk91321346"/>
      <w:r w:rsidRPr="00032DA6">
        <w:rPr>
          <w:rFonts w:cstheme="majorBidi"/>
          <w:color w:val="000000" w:themeColor="text1"/>
          <w:shd w:val="clear" w:color="auto" w:fill="FFFFFF"/>
          <w:lang w:val="en-GB"/>
        </w:rPr>
        <w:t xml:space="preserve">Expectations are likely to have a more substantial impact on housing demand if individuals believe that (i) the spike in prices is not temporary and is likely to continue and thus purchasing a house is perceived as a safe rather than risky investment; as well as (ii) the housing market is perceived to be inelastic (Case and Shiller, 2003). Furthermore, the housing bubble is likely to be exacerbated due to the “endowment bias” as individuals place higher value owner-occupied dwellings rather rental dwellings </w:t>
      </w:r>
      <w:r w:rsidRPr="00032DA6">
        <w:rPr>
          <w:rFonts w:cstheme="majorBidi"/>
          <w:color w:val="000000" w:themeColor="text1"/>
          <w:lang w:val="en-GB"/>
        </w:rPr>
        <w:t xml:space="preserve">(Kahneman, Knetsch, &amp; Thaler, 1990; </w:t>
      </w:r>
      <w:r w:rsidRPr="00032DA6">
        <w:rPr>
          <w:rFonts w:cstheme="majorBidi"/>
          <w:color w:val="000000" w:themeColor="text1"/>
          <w:shd w:val="clear" w:color="auto" w:fill="FFFFFF"/>
          <w:lang w:val="en-GB"/>
        </w:rPr>
        <w:t>Whittle et al., 2014).</w:t>
      </w:r>
    </w:p>
    <w:bookmarkEnd w:id="13"/>
    <w:p w14:paraId="34F17226" w14:textId="77777777" w:rsidR="00DB00BE" w:rsidRPr="00032DA6" w:rsidRDefault="00DB00BE" w:rsidP="00DE108C">
      <w:pPr>
        <w:spacing w:before="120" w:after="120" w:line="276" w:lineRule="auto"/>
        <w:ind w:firstLine="360"/>
        <w:jc w:val="both"/>
        <w:rPr>
          <w:rFonts w:cstheme="majorBidi"/>
          <w:color w:val="000000" w:themeColor="text1"/>
          <w:lang w:val="en-GB"/>
        </w:rPr>
      </w:pPr>
      <w:r w:rsidRPr="00032DA6">
        <w:rPr>
          <w:rFonts w:cstheme="majorBidi"/>
          <w:color w:val="000000" w:themeColor="text1"/>
          <w:lang w:val="en-GB"/>
        </w:rPr>
        <w:t>This bubble phenomenon usually gets reversed when expectations about the future are altered as a result of sudden uncertainty shocks, expected changes in monetary policy stance and/or reaching the fourth stage of Minsky’s cycle – known as Minsky’s moment. According to this theory, housing markets would suddenly collapse as a result of a fall in business sentiment and elevated debt following an era of persisting speculative behaviour that accompanied loose access to credit that gets quickly transmitted from the housing sector to other sectors in the economy (</w:t>
      </w:r>
      <w:r w:rsidRPr="00032DA6">
        <w:rPr>
          <w:rFonts w:cstheme="majorBidi"/>
          <w:color w:val="000000" w:themeColor="text1"/>
          <w:lang w:val="en-GB" w:bidi="ar-EG"/>
        </w:rPr>
        <w:t xml:space="preserve">Vercelli, 2009). </w:t>
      </w:r>
      <w:r w:rsidRPr="00032DA6">
        <w:rPr>
          <w:rFonts w:cstheme="majorBidi"/>
          <w:color w:val="000000" w:themeColor="text1"/>
          <w:lang w:val="en-GB"/>
        </w:rPr>
        <w:t xml:space="preserve">Both cyclical and bubble-bust behaviour of housing prices are worth investigation in emerging markets in general and in Egypt in specific. </w:t>
      </w:r>
    </w:p>
    <w:p w14:paraId="2DB4ECE1" w14:textId="77777777" w:rsidR="00DB00BE" w:rsidRPr="00032DA6" w:rsidRDefault="00DB00BE" w:rsidP="00DE108C">
      <w:pPr>
        <w:pStyle w:val="NormalWeb"/>
        <w:spacing w:line="276" w:lineRule="auto"/>
        <w:ind w:firstLine="227"/>
        <w:jc w:val="both"/>
        <w:rPr>
          <w:rFonts w:asciiTheme="majorBidi" w:hAnsiTheme="majorBidi" w:cstheme="majorBidi"/>
          <w:color w:val="000000" w:themeColor="text1"/>
          <w:sz w:val="22"/>
          <w:szCs w:val="22"/>
          <w:shd w:val="clear" w:color="auto" w:fill="FFFFFF"/>
          <w:lang w:val="en-GB"/>
        </w:rPr>
      </w:pPr>
      <w:bookmarkStart w:id="14" w:name="_Hlk91321523"/>
      <w:r w:rsidRPr="00032DA6">
        <w:rPr>
          <w:rFonts w:asciiTheme="majorBidi" w:hAnsiTheme="majorBidi" w:cstheme="majorBidi"/>
          <w:color w:val="000000" w:themeColor="text1"/>
          <w:sz w:val="22"/>
          <w:szCs w:val="22"/>
          <w:lang w:val="en-GB"/>
        </w:rPr>
        <w:t xml:space="preserve">Once the bubble bursts, </w:t>
      </w:r>
      <w:r w:rsidRPr="00032DA6">
        <w:rPr>
          <w:rFonts w:asciiTheme="majorBidi" w:hAnsiTheme="majorBidi" w:cstheme="majorBidi"/>
          <w:i/>
          <w:iCs/>
          <w:color w:val="000000" w:themeColor="text1"/>
          <w:sz w:val="22"/>
          <w:szCs w:val="22"/>
          <w:lang w:val="en-GB"/>
        </w:rPr>
        <w:t xml:space="preserve">loss-aversion </w:t>
      </w:r>
      <w:r w:rsidRPr="00032DA6">
        <w:rPr>
          <w:rFonts w:asciiTheme="majorBidi" w:hAnsiTheme="majorBidi" w:cstheme="majorBidi"/>
          <w:color w:val="000000" w:themeColor="text1"/>
          <w:sz w:val="22"/>
          <w:szCs w:val="22"/>
          <w:lang w:val="en-GB"/>
        </w:rPr>
        <w:t xml:space="preserve">serves as a chief factor that influences housing prices where owners, influenced by a reference point like the purchase price, find it difficult to sell their house at a loss </w:t>
      </w:r>
      <w:r w:rsidRPr="00032DA6">
        <w:rPr>
          <w:rFonts w:asciiTheme="majorBidi" w:hAnsiTheme="majorBidi" w:cstheme="majorBidi"/>
          <w:color w:val="000000" w:themeColor="text1"/>
          <w:sz w:val="22"/>
          <w:szCs w:val="22"/>
          <w:shd w:val="clear" w:color="auto" w:fill="FFFFFF"/>
          <w:lang w:val="en-GB"/>
        </w:rPr>
        <w:t xml:space="preserve">stemming from </w:t>
      </w:r>
      <w:r w:rsidRPr="00032DA6">
        <w:rPr>
          <w:rFonts w:asciiTheme="majorBidi" w:hAnsiTheme="majorBidi" w:cstheme="majorBidi"/>
          <w:color w:val="000000" w:themeColor="text1"/>
          <w:sz w:val="22"/>
          <w:szCs w:val="22"/>
          <w:lang w:val="en-GB"/>
        </w:rPr>
        <w:t xml:space="preserve">Kahneman’s &amp; Tversky’s (1979) </w:t>
      </w:r>
      <w:r w:rsidRPr="00032DA6">
        <w:rPr>
          <w:rFonts w:asciiTheme="majorBidi" w:hAnsiTheme="majorBidi" w:cstheme="majorBidi"/>
          <w:i/>
          <w:iCs/>
          <w:color w:val="000000" w:themeColor="text1"/>
          <w:sz w:val="22"/>
          <w:szCs w:val="22"/>
          <w:lang w:val="en-GB"/>
        </w:rPr>
        <w:t>“prospect theory”</w:t>
      </w:r>
      <w:r w:rsidRPr="00032DA6">
        <w:rPr>
          <w:rFonts w:asciiTheme="majorBidi" w:hAnsiTheme="majorBidi" w:cstheme="majorBidi"/>
          <w:color w:val="000000" w:themeColor="text1"/>
          <w:sz w:val="22"/>
          <w:szCs w:val="22"/>
          <w:lang w:val="en-GB"/>
        </w:rPr>
        <w:t xml:space="preserve"> (</w:t>
      </w:r>
      <w:r w:rsidRPr="00032DA6">
        <w:rPr>
          <w:rFonts w:asciiTheme="majorBidi" w:hAnsiTheme="majorBidi" w:cstheme="majorBidi"/>
          <w:color w:val="000000" w:themeColor="text1"/>
          <w:sz w:val="22"/>
          <w:szCs w:val="22"/>
          <w:shd w:val="clear" w:color="auto" w:fill="FFFFFF"/>
          <w:lang w:val="en-GB"/>
        </w:rPr>
        <w:t xml:space="preserve">Whittle et al., 2014). A similar explanation is offered by the </w:t>
      </w:r>
      <w:r w:rsidRPr="00032DA6">
        <w:rPr>
          <w:rFonts w:asciiTheme="majorBidi" w:hAnsiTheme="majorBidi" w:cstheme="majorBidi"/>
          <w:i/>
          <w:iCs/>
          <w:color w:val="000000" w:themeColor="text1"/>
          <w:sz w:val="22"/>
          <w:szCs w:val="22"/>
          <w:shd w:val="clear" w:color="auto" w:fill="FFFFFF"/>
          <w:lang w:val="en-GB"/>
        </w:rPr>
        <w:t xml:space="preserve">disposition effect </w:t>
      </w:r>
      <w:r w:rsidRPr="00032DA6">
        <w:rPr>
          <w:rFonts w:asciiTheme="majorBidi" w:hAnsiTheme="majorBidi" w:cstheme="majorBidi"/>
          <w:color w:val="000000" w:themeColor="text1"/>
          <w:sz w:val="22"/>
          <w:szCs w:val="22"/>
          <w:shd w:val="clear" w:color="auto" w:fill="FFFFFF"/>
          <w:lang w:val="en-GB"/>
        </w:rPr>
        <w:t xml:space="preserve">where individuals tend to be risk-averse if they are enjoying profit and risk-loving when they are at loss (DeWeaver &amp; Shannon, 2010). The loss-aversion and/or disposition effects lead to sticky housing prices. Furthermore, </w:t>
      </w:r>
      <w:r w:rsidRPr="00032DA6">
        <w:rPr>
          <w:rFonts w:asciiTheme="majorBidi" w:hAnsiTheme="majorBidi" w:cstheme="majorBidi"/>
          <w:color w:val="000000" w:themeColor="text1"/>
          <w:sz w:val="22"/>
          <w:szCs w:val="22"/>
          <w:lang w:val="en-GB"/>
        </w:rPr>
        <w:t xml:space="preserve">Akerlof &amp; Shiller (2009) and </w:t>
      </w:r>
      <w:r w:rsidRPr="00032DA6">
        <w:rPr>
          <w:rFonts w:asciiTheme="majorBidi" w:hAnsiTheme="majorBidi" w:cstheme="majorBidi"/>
          <w:color w:val="000000" w:themeColor="text1"/>
          <w:sz w:val="22"/>
          <w:szCs w:val="22"/>
          <w:shd w:val="clear" w:color="auto" w:fill="FFFFFF"/>
          <w:lang w:val="en-GB"/>
        </w:rPr>
        <w:t xml:space="preserve">Ackert et al. (2011) </w:t>
      </w:r>
      <w:r w:rsidRPr="00032DA6">
        <w:rPr>
          <w:rFonts w:asciiTheme="majorBidi" w:hAnsiTheme="majorBidi" w:cstheme="majorBidi"/>
          <w:color w:val="000000" w:themeColor="text1"/>
          <w:sz w:val="22"/>
          <w:szCs w:val="22"/>
          <w:lang w:val="en-GB"/>
        </w:rPr>
        <w:t xml:space="preserve">argue that </w:t>
      </w:r>
      <w:r w:rsidRPr="00032DA6">
        <w:rPr>
          <w:rFonts w:asciiTheme="majorBidi" w:hAnsiTheme="majorBidi" w:cstheme="majorBidi"/>
          <w:i/>
          <w:color w:val="000000" w:themeColor="text1"/>
          <w:sz w:val="22"/>
          <w:szCs w:val="22"/>
          <w:lang w:val="en-GB"/>
        </w:rPr>
        <w:t xml:space="preserve">money illusion </w:t>
      </w:r>
      <w:r w:rsidRPr="00032DA6">
        <w:rPr>
          <w:rFonts w:asciiTheme="majorBidi" w:hAnsiTheme="majorBidi" w:cstheme="majorBidi"/>
          <w:iCs/>
          <w:color w:val="000000" w:themeColor="text1"/>
          <w:sz w:val="22"/>
          <w:szCs w:val="22"/>
          <w:lang w:val="en-GB"/>
        </w:rPr>
        <w:t xml:space="preserve">will substantially affect housing prices since individuals might be unwilling to sell their house at a nominal loss yet are willing to sell it at </w:t>
      </w:r>
      <w:r w:rsidRPr="00032DA6">
        <w:rPr>
          <w:rFonts w:asciiTheme="majorBidi" w:hAnsiTheme="majorBidi" w:cstheme="majorBidi"/>
          <w:i/>
          <w:color w:val="000000" w:themeColor="text1"/>
          <w:sz w:val="22"/>
          <w:szCs w:val="22"/>
          <w:lang w:val="en-GB"/>
        </w:rPr>
        <w:t>only</w:t>
      </w:r>
      <w:r w:rsidRPr="00032DA6">
        <w:rPr>
          <w:rFonts w:asciiTheme="majorBidi" w:hAnsiTheme="majorBidi" w:cstheme="majorBidi"/>
          <w:iCs/>
          <w:color w:val="000000" w:themeColor="text1"/>
          <w:sz w:val="22"/>
          <w:szCs w:val="22"/>
          <w:lang w:val="en-GB"/>
        </w:rPr>
        <w:t xml:space="preserve"> nominal gain even if it means real losses. This behavioural bias often occurs because owning a house offers a sense of security </w:t>
      </w:r>
      <w:r w:rsidRPr="00032DA6">
        <w:rPr>
          <w:rFonts w:asciiTheme="majorBidi" w:hAnsiTheme="majorBidi" w:cstheme="majorBidi"/>
          <w:color w:val="000000" w:themeColor="text1"/>
          <w:sz w:val="22"/>
          <w:szCs w:val="22"/>
          <w:lang w:val="en-GB"/>
        </w:rPr>
        <w:t>(</w:t>
      </w:r>
      <w:r w:rsidRPr="00032DA6">
        <w:rPr>
          <w:rFonts w:asciiTheme="majorBidi" w:hAnsiTheme="majorBidi" w:cstheme="majorBidi"/>
          <w:color w:val="000000" w:themeColor="text1"/>
          <w:sz w:val="22"/>
          <w:szCs w:val="22"/>
          <w:shd w:val="clear" w:color="auto" w:fill="FFFFFF"/>
          <w:lang w:val="en-GB"/>
        </w:rPr>
        <w:t>Ackert et al., 2011).</w:t>
      </w:r>
    </w:p>
    <w:p w14:paraId="6D58BE62" w14:textId="3D0DE2B0" w:rsidR="00DB00BE" w:rsidRPr="00032DA6" w:rsidRDefault="00DB00BE" w:rsidP="00DE108C">
      <w:pPr>
        <w:pStyle w:val="NormalWeb"/>
        <w:spacing w:line="276" w:lineRule="auto"/>
        <w:ind w:firstLine="227"/>
        <w:jc w:val="both"/>
        <w:rPr>
          <w:rFonts w:asciiTheme="majorBidi" w:hAnsiTheme="majorBidi" w:cstheme="majorBidi"/>
          <w:color w:val="000000" w:themeColor="text1"/>
          <w:sz w:val="22"/>
          <w:szCs w:val="22"/>
          <w:shd w:val="clear" w:color="auto" w:fill="FFFFFF"/>
          <w:lang w:val="en-GB"/>
        </w:rPr>
      </w:pPr>
      <w:bookmarkStart w:id="15" w:name="_Hlk91321569"/>
      <w:bookmarkEnd w:id="14"/>
      <w:r w:rsidRPr="00032DA6">
        <w:rPr>
          <w:rFonts w:asciiTheme="majorBidi" w:hAnsiTheme="majorBidi" w:cstheme="majorBidi"/>
          <w:color w:val="000000" w:themeColor="text1"/>
          <w:sz w:val="22"/>
          <w:szCs w:val="22"/>
          <w:shd w:val="clear" w:color="auto" w:fill="FFFFFF"/>
          <w:lang w:val="en-GB"/>
        </w:rPr>
        <w:t>Moving on, the conventional neoclassical school also tends to neglect the key role that cultural forces play in determining housing prices (</w:t>
      </w:r>
      <w:r w:rsidRPr="00032DA6">
        <w:rPr>
          <w:rFonts w:asciiTheme="majorBidi" w:hAnsiTheme="majorBidi" w:cstheme="majorBidi"/>
          <w:color w:val="222222"/>
          <w:sz w:val="22"/>
          <w:szCs w:val="22"/>
          <w:shd w:val="clear" w:color="auto" w:fill="FFFFFF"/>
          <w:lang w:val="en-GB"/>
        </w:rPr>
        <w:t xml:space="preserve">Stoykova &amp; Chou, 2013). </w:t>
      </w:r>
      <w:r w:rsidRPr="00032DA6">
        <w:rPr>
          <w:rFonts w:asciiTheme="majorBidi" w:hAnsiTheme="majorBidi" w:cstheme="majorBidi"/>
          <w:color w:val="211E1E"/>
          <w:sz w:val="22"/>
          <w:szCs w:val="22"/>
          <w:lang w:val="en-GB"/>
        </w:rPr>
        <w:t>Elsinga &amp; Hoekstra (2004) refer to three core cultural values that influence housing prices: (i) effective systems of social security boost housing rentals, (ii) pressure associated with gaining economic independence leads to an increase in the price of owner-occupied dwellings, and (iii) extended households in need of more space. Survival and self-expression cultural values can also influence long-run housing prices where survival cultures focus on the crucialness of economic security and costs when making housing purchasing decisions; meanwhile, self-expression cultures stress on the quality of life and individual preferences (</w:t>
      </w:r>
      <w:r w:rsidRPr="00032DA6">
        <w:rPr>
          <w:rFonts w:asciiTheme="majorBidi" w:hAnsiTheme="majorBidi" w:cstheme="majorBidi"/>
          <w:color w:val="222222"/>
          <w:sz w:val="22"/>
          <w:szCs w:val="22"/>
          <w:shd w:val="clear" w:color="auto" w:fill="FFFFFF"/>
          <w:lang w:val="en-GB"/>
        </w:rPr>
        <w:t xml:space="preserve">Harris &amp; Young,1983). Stoykova &amp; Chou (2013) conclude that the more the country is driven by survival cultural values, the greater the growth in long-run property prices. </w:t>
      </w:r>
    </w:p>
    <w:p w14:paraId="0CA0E99C" w14:textId="43159624" w:rsidR="00DB00BE" w:rsidRPr="00032DA6" w:rsidRDefault="00DB00BE" w:rsidP="00DE108C">
      <w:pPr>
        <w:pStyle w:val="Heading2"/>
        <w:numPr>
          <w:ilvl w:val="1"/>
          <w:numId w:val="16"/>
        </w:numPr>
        <w:spacing w:line="276" w:lineRule="auto"/>
        <w:rPr>
          <w:lang w:val="en-GB"/>
        </w:rPr>
      </w:pPr>
      <w:bookmarkStart w:id="16" w:name="_Toc91107870"/>
      <w:bookmarkStart w:id="17" w:name="_Toc91438036"/>
      <w:bookmarkEnd w:id="15"/>
      <w:r w:rsidRPr="00032DA6">
        <w:rPr>
          <w:lang w:val="en-GB"/>
        </w:rPr>
        <w:t>Empirical Literature</w:t>
      </w:r>
      <w:bookmarkEnd w:id="16"/>
      <w:bookmarkEnd w:id="17"/>
    </w:p>
    <w:p w14:paraId="18225534" w14:textId="688BA412" w:rsidR="00104DB8" w:rsidRPr="00032DA6" w:rsidRDefault="000465C9" w:rsidP="00DE108C">
      <w:pPr>
        <w:spacing w:line="276" w:lineRule="auto"/>
        <w:jc w:val="both"/>
        <w:rPr>
          <w:i/>
          <w:lang w:val="en-GB"/>
        </w:rPr>
      </w:pPr>
      <w:r w:rsidRPr="00032DA6">
        <w:rPr>
          <w:lang w:val="en-GB"/>
        </w:rPr>
        <w:t>In this section we present some of the reviewed empirical studies investigating the interactions between housing prices and macro-financial fundamentals. Some employed time-series models, others were cross</w:t>
      </w:r>
      <w:r w:rsidR="009C75DB" w:rsidRPr="00032DA6">
        <w:rPr>
          <w:lang w:val="en-GB"/>
        </w:rPr>
        <w:t>-</w:t>
      </w:r>
      <w:r w:rsidRPr="00032DA6">
        <w:rPr>
          <w:lang w:val="en-GB"/>
        </w:rPr>
        <w:t>section</w:t>
      </w:r>
      <w:r w:rsidR="009C75DB" w:rsidRPr="00032DA6">
        <w:rPr>
          <w:lang w:val="en-GB"/>
        </w:rPr>
        <w:t>al</w:t>
      </w:r>
      <w:r w:rsidRPr="00032DA6">
        <w:rPr>
          <w:lang w:val="en-GB"/>
        </w:rPr>
        <w:t xml:space="preserve"> studies while some we</w:t>
      </w:r>
      <w:r w:rsidR="00DE108C" w:rsidRPr="00032DA6">
        <w:rPr>
          <w:lang w:val="en-GB"/>
        </w:rPr>
        <w:t>re</w:t>
      </w:r>
      <w:r w:rsidRPr="00032DA6">
        <w:rPr>
          <w:lang w:val="en-GB"/>
        </w:rPr>
        <w:t xml:space="preserve"> panel studies.</w:t>
      </w:r>
    </w:p>
    <w:p w14:paraId="3651E427" w14:textId="3FEC94C0" w:rsidR="00104DB8" w:rsidRPr="00032DA6" w:rsidRDefault="000465C9" w:rsidP="00DE108C">
      <w:pPr>
        <w:pStyle w:val="Heading3"/>
        <w:numPr>
          <w:ilvl w:val="0"/>
          <w:numId w:val="21"/>
        </w:numPr>
        <w:spacing w:line="276" w:lineRule="auto"/>
        <w:jc w:val="both"/>
        <w:rPr>
          <w:lang w:val="en-GB"/>
        </w:rPr>
      </w:pPr>
      <w:bookmarkStart w:id="18" w:name="_Toc91438037"/>
      <w:r w:rsidRPr="00032DA6">
        <w:rPr>
          <w:lang w:val="en-GB"/>
        </w:rPr>
        <w:t xml:space="preserve">Time Series </w:t>
      </w:r>
      <w:r w:rsidR="009C75DB" w:rsidRPr="00032DA6">
        <w:rPr>
          <w:lang w:val="en-GB"/>
        </w:rPr>
        <w:t>M</w:t>
      </w:r>
      <w:r w:rsidRPr="00032DA6">
        <w:rPr>
          <w:lang w:val="en-GB"/>
        </w:rPr>
        <w:t>odels</w:t>
      </w:r>
      <w:bookmarkEnd w:id="18"/>
    </w:p>
    <w:p w14:paraId="5E8D6378" w14:textId="77777777" w:rsidR="00DB00BE" w:rsidRPr="00032DA6" w:rsidRDefault="00DB00BE" w:rsidP="00DE108C">
      <w:pPr>
        <w:spacing w:line="276" w:lineRule="auto"/>
        <w:ind w:firstLine="360"/>
        <w:jc w:val="both"/>
        <w:rPr>
          <w:rFonts w:cstheme="majorBidi"/>
          <w:color w:val="000000" w:themeColor="text1"/>
          <w:lang w:val="en-GB"/>
        </w:rPr>
      </w:pPr>
      <w:r w:rsidRPr="00032DA6">
        <w:rPr>
          <w:rFonts w:cstheme="majorBidi"/>
          <w:color w:val="000000" w:themeColor="text1"/>
          <w:lang w:val="en-GB"/>
        </w:rPr>
        <w:t xml:space="preserve">Applying a Vector Error Correction Model (VECM) on quarterly data from 1981 to 1999, </w:t>
      </w:r>
      <w:r w:rsidRPr="00032DA6">
        <w:rPr>
          <w:rFonts w:cstheme="majorBidi"/>
          <w:color w:val="000000" w:themeColor="text1"/>
          <w:shd w:val="clear" w:color="auto" w:fill="FFFFFF"/>
          <w:lang w:val="en-GB"/>
        </w:rPr>
        <w:t xml:space="preserve">Apergis &amp; Rezitis (2003) found that the variation of housing prices in Greece is mostly explained by the alterations in the housing loan rate followed by employment and inflation. However, alterations in the money supply had no significant impact on prices (Apergis &amp; Rezitis, 2003).  Likewise, Toome (2018) utilised an Error Correction Model (ECM) for the period </w:t>
      </w:r>
      <w:r w:rsidRPr="00032DA6">
        <w:rPr>
          <w:rFonts w:cstheme="majorBidi"/>
          <w:color w:val="000000" w:themeColor="text1"/>
          <w:lang w:val="en-GB"/>
        </w:rPr>
        <w:t xml:space="preserve">1989Q4 to 2017Q4 in Germany and found similar insignificant effects of money supply on housing prices. Nevertheless, </w:t>
      </w:r>
      <w:r w:rsidRPr="00032DA6">
        <w:rPr>
          <w:rFonts w:cstheme="majorBidi"/>
          <w:color w:val="000000" w:themeColor="text1"/>
          <w:shd w:val="clear" w:color="auto" w:fill="FFFFFF"/>
          <w:lang w:val="en-GB"/>
        </w:rPr>
        <w:t xml:space="preserve">Toome (2018) found that long-run housing prices in Germany are adversely affected by construction costs, disposable income, unemployment rate, interest rate yet positively affected by housing permits and population growth. To add, Mallick (2011) applied an Autoregressive Distributed Lag Model (ARDL) for the period </w:t>
      </w:r>
      <w:r w:rsidRPr="00032DA6">
        <w:rPr>
          <w:rFonts w:cstheme="majorBidi"/>
          <w:color w:val="000000" w:themeColor="text1"/>
          <w:lang w:val="en-GB"/>
        </w:rPr>
        <w:t>1999Q2 – 2008Q1 and found that inflation exerts upward pressures on Indian housing prices while money supply exerts downward pressures.</w:t>
      </w:r>
    </w:p>
    <w:p w14:paraId="0C02DA64" w14:textId="5D2286CD" w:rsidR="00F42C54" w:rsidRPr="00032DA6" w:rsidRDefault="00DB00BE" w:rsidP="00DE108C">
      <w:pPr>
        <w:pStyle w:val="ListParagraph"/>
        <w:spacing w:line="276" w:lineRule="auto"/>
        <w:ind w:left="0" w:firstLine="360"/>
        <w:jc w:val="both"/>
        <w:rPr>
          <w:rFonts w:cstheme="majorBidi"/>
          <w:color w:val="000000" w:themeColor="text1"/>
          <w:shd w:val="clear" w:color="auto" w:fill="FFFFFF"/>
          <w:lang w:val="en-GB"/>
        </w:rPr>
      </w:pPr>
      <w:r w:rsidRPr="00032DA6">
        <w:rPr>
          <w:rFonts w:cstheme="majorBidi"/>
          <w:color w:val="000000" w:themeColor="text1"/>
          <w:shd w:val="clear" w:color="auto" w:fill="FFFFFF"/>
          <w:lang w:val="en-GB"/>
        </w:rPr>
        <w:t xml:space="preserve">Zhang et al. (2012) also employed a VECM accompanied by a Nonlinear Auto Regressive Moving Average with Exogenous inputs (NARMAX) for monthly data during the period 1999 – 2010 in China. Unlike </w:t>
      </w:r>
      <w:r w:rsidRPr="00032DA6">
        <w:rPr>
          <w:rFonts w:eastAsia="Times New Roman" w:cstheme="majorBidi"/>
          <w:color w:val="000000" w:themeColor="text1"/>
          <w:shd w:val="clear" w:color="auto" w:fill="FFFFFF"/>
          <w:lang w:val="en-GB" w:eastAsia="en-GB"/>
        </w:rPr>
        <w:t>Apergis &amp; Rezitis (2003),</w:t>
      </w:r>
      <w:r w:rsidRPr="00032DA6">
        <w:rPr>
          <w:rFonts w:cstheme="majorBidi"/>
          <w:color w:val="000000" w:themeColor="text1"/>
          <w:shd w:val="clear" w:color="auto" w:fill="FFFFFF"/>
          <w:lang w:val="en-GB"/>
        </w:rPr>
        <w:t xml:space="preserve"> Zhang et al. (2012) concluded that money supply has a significant impact on housing prices. Zhang et al. (2012) maintained that monetary and price variables including the mortgage rate, real effective exchange rate, and producer prices have a substantial impact on housing prices; meanwhile, real economic variables including income do not have a significant effect. Simo-Kengne et al. (2014) utilised a Structural Vector Autoregressive model (SVAR) for the period 1974Q1 – 2011Q4 and reached similar conclusions of the substantial impacts of portfolio and monetary policy shocks on housing prices in South Africa while aggregate supply and aggregate demand shocks tend to have a lesser impact.</w:t>
      </w:r>
    </w:p>
    <w:p w14:paraId="7B503E6E" w14:textId="49646729" w:rsidR="00DB00BE" w:rsidRPr="00032DA6" w:rsidRDefault="00DB00BE" w:rsidP="00DE108C">
      <w:pPr>
        <w:pStyle w:val="Heading3"/>
        <w:numPr>
          <w:ilvl w:val="0"/>
          <w:numId w:val="21"/>
        </w:numPr>
        <w:spacing w:line="276" w:lineRule="auto"/>
        <w:jc w:val="both"/>
        <w:rPr>
          <w:lang w:val="en-GB"/>
        </w:rPr>
      </w:pPr>
      <w:bookmarkStart w:id="19" w:name="_Toc91107872"/>
      <w:bookmarkStart w:id="20" w:name="_Toc91438038"/>
      <w:r w:rsidRPr="00032DA6">
        <w:rPr>
          <w:lang w:val="en-GB"/>
        </w:rPr>
        <w:t>Cross-Sectional Studies</w:t>
      </w:r>
      <w:bookmarkEnd w:id="19"/>
      <w:bookmarkEnd w:id="20"/>
    </w:p>
    <w:p w14:paraId="5077EE02" w14:textId="77777777" w:rsidR="00DB00BE" w:rsidRPr="00032DA6" w:rsidRDefault="00DB00BE" w:rsidP="00DE108C">
      <w:pPr>
        <w:spacing w:line="276" w:lineRule="auto"/>
        <w:ind w:firstLine="360"/>
        <w:jc w:val="both"/>
        <w:rPr>
          <w:rFonts w:cstheme="majorBidi"/>
          <w:color w:val="000000" w:themeColor="text1"/>
          <w:shd w:val="clear" w:color="auto" w:fill="FFFFFF"/>
          <w:lang w:val="en-GB"/>
        </w:rPr>
      </w:pPr>
      <w:r w:rsidRPr="00032DA6">
        <w:rPr>
          <w:rFonts w:cstheme="majorBidi"/>
          <w:color w:val="000000" w:themeColor="text1"/>
          <w:shd w:val="clear" w:color="auto" w:fill="FFFFFF"/>
          <w:lang w:val="en-GB"/>
        </w:rPr>
        <w:t>Investigating tenure choice</w:t>
      </w:r>
      <w:r w:rsidRPr="00032DA6">
        <w:rPr>
          <w:rStyle w:val="FootnoteReference"/>
          <w:rFonts w:cstheme="majorBidi"/>
          <w:color w:val="000000" w:themeColor="text1"/>
          <w:shd w:val="clear" w:color="auto" w:fill="FFFFFF"/>
          <w:lang w:val="en-GB"/>
        </w:rPr>
        <w:footnoteReference w:id="11"/>
      </w:r>
      <w:r w:rsidRPr="00032DA6">
        <w:rPr>
          <w:rFonts w:cstheme="majorBidi"/>
          <w:color w:val="000000" w:themeColor="text1"/>
          <w:shd w:val="clear" w:color="auto" w:fill="FFFFFF"/>
          <w:lang w:val="en-GB"/>
        </w:rPr>
        <w:t xml:space="preserve"> in the Washington D.C. in 1987 using a logit model, Iwarere (1991) found that key factors influencing the decision to purchase owner-occupied dwellings are employment-related and spatial factors. Relying on a household survey collected during 1987 and 1988, Arimah (1997) also used a logit model to examine tenure choice in Ibadan, Nigeria and concluded that income, investment motive, the head of the family’s gender, life-cycle stage, and access to land positively contribute to the probability of homeownership; however, access to institutional housing finance failed to contribute to home-ownership.</w:t>
      </w:r>
    </w:p>
    <w:p w14:paraId="2D05BD01" w14:textId="428D55E6" w:rsidR="00DB00BE" w:rsidRPr="00032DA6" w:rsidRDefault="00DB00BE" w:rsidP="00DE108C">
      <w:pPr>
        <w:spacing w:line="276" w:lineRule="auto"/>
        <w:ind w:firstLine="360"/>
        <w:jc w:val="both"/>
        <w:rPr>
          <w:rFonts w:cstheme="majorBidi"/>
          <w:color w:val="000000" w:themeColor="text1"/>
          <w:shd w:val="clear" w:color="auto" w:fill="FFFFFF"/>
          <w:lang w:val="en-GB"/>
        </w:rPr>
      </w:pPr>
      <w:r w:rsidRPr="00032DA6">
        <w:rPr>
          <w:rFonts w:cstheme="majorBidi"/>
          <w:color w:val="000000" w:themeColor="text1"/>
          <w:shd w:val="clear" w:color="auto" w:fill="FFFFFF"/>
          <w:lang w:val="en-GB"/>
        </w:rPr>
        <w:t xml:space="preserve">Xhignesse et al. (2014) also applied a logit model using data in 2010 and revealed that housing tenure in Belgium is determined by household’s income and housing prices followed by life-cycle variables and location. Examining housing demand, Oktay et al. (2014) employed a logit model on a questionnaire-based cross-sectional survey carried out in the province </w:t>
      </w:r>
      <w:r w:rsidRPr="00032DA6">
        <w:rPr>
          <w:rFonts w:cstheme="majorBidi"/>
          <w:color w:val="000000" w:themeColor="text1"/>
          <w:lang w:val="en-GB"/>
        </w:rPr>
        <w:t xml:space="preserve">Erzurum, Turkey in 2019 and discovered that household </w:t>
      </w:r>
      <w:r w:rsidR="7D286BD0" w:rsidRPr="199FF000">
        <w:rPr>
          <w:rFonts w:cstheme="majorBidi"/>
          <w:color w:val="000000" w:themeColor="text1"/>
          <w:lang w:val="en-GB"/>
        </w:rPr>
        <w:t>head</w:t>
      </w:r>
      <w:r w:rsidRPr="00032DA6">
        <w:rPr>
          <w:rFonts w:cstheme="majorBidi"/>
          <w:color w:val="000000" w:themeColor="text1"/>
          <w:lang w:val="en-GB"/>
        </w:rPr>
        <w:t xml:space="preserve"> and spouse’s job, monthly salary, number of family members, and ownership of a car are the key determinants of housing demand.</w:t>
      </w:r>
      <w:r w:rsidRPr="00032DA6">
        <w:rPr>
          <w:rFonts w:cstheme="majorBidi"/>
          <w:color w:val="000000" w:themeColor="text1"/>
          <w:shd w:val="clear" w:color="auto" w:fill="FFFFFF"/>
          <w:lang w:val="en-GB"/>
        </w:rPr>
        <w:t xml:space="preserve"> Furthermore, Głuszak (2015) modelled tenure choice in Poland using a multinomial logit model for each selected year (2007 – 2010) and concluded that older age and greater disposable income increase the individuals’ tendency to purchase owner-occupied dwellings. </w:t>
      </w:r>
    </w:p>
    <w:p w14:paraId="75034B21" w14:textId="2D6479ED" w:rsidR="00DB00BE" w:rsidRPr="00032DA6" w:rsidRDefault="00DB00BE" w:rsidP="00DE108C">
      <w:pPr>
        <w:pStyle w:val="Heading3"/>
        <w:numPr>
          <w:ilvl w:val="0"/>
          <w:numId w:val="21"/>
        </w:numPr>
        <w:spacing w:line="276" w:lineRule="auto"/>
        <w:jc w:val="both"/>
        <w:rPr>
          <w:lang w:val="en-GB"/>
        </w:rPr>
      </w:pPr>
      <w:bookmarkStart w:id="21" w:name="_Toc91107873"/>
      <w:bookmarkStart w:id="22" w:name="_Toc91438039"/>
      <w:r w:rsidRPr="00032DA6">
        <w:rPr>
          <w:lang w:val="en-GB"/>
        </w:rPr>
        <w:t>Panel Studies</w:t>
      </w:r>
      <w:bookmarkEnd w:id="21"/>
      <w:bookmarkEnd w:id="22"/>
    </w:p>
    <w:p w14:paraId="1A662ECC" w14:textId="174F5606" w:rsidR="00DB00BE" w:rsidRPr="00032DA6" w:rsidRDefault="00DB00BE" w:rsidP="00DE108C">
      <w:pPr>
        <w:pStyle w:val="ListParagraph"/>
        <w:spacing w:line="276" w:lineRule="auto"/>
        <w:ind w:left="0" w:firstLine="360"/>
        <w:jc w:val="both"/>
        <w:rPr>
          <w:rFonts w:cstheme="majorBidi"/>
          <w:color w:val="000000" w:themeColor="text1"/>
          <w:lang w:val="en-GB"/>
        </w:rPr>
      </w:pPr>
      <w:r w:rsidRPr="00032DA6">
        <w:rPr>
          <w:rFonts w:cstheme="majorBidi"/>
          <w:color w:val="000000" w:themeColor="text1"/>
          <w:lang w:val="en-GB"/>
        </w:rPr>
        <w:t xml:space="preserve">Utilising a linear and log-linear reduced-form regressions over the period 1985Q1 to 2002Q3 in 8 states in the United States, Case and Shiller (2003) revealed that income had a positive and significant effect on housing prices while unemployment had an adverse effect.  Similarly, </w:t>
      </w:r>
      <w:r w:rsidRPr="00032DA6">
        <w:rPr>
          <w:rFonts w:cstheme="majorBidi"/>
          <w:color w:val="000000" w:themeColor="text1"/>
          <w:shd w:val="clear" w:color="auto" w:fill="FFFFFF"/>
          <w:lang w:val="en-GB"/>
        </w:rPr>
        <w:t xml:space="preserve">Adams &amp; Füss (2010) applied a panel cointegration analysis for 15 countries during </w:t>
      </w:r>
      <w:r w:rsidRPr="00032DA6">
        <w:rPr>
          <w:rFonts w:cstheme="majorBidi"/>
          <w:color w:val="000000" w:themeColor="text1"/>
          <w:lang w:val="en-GB"/>
        </w:rPr>
        <w:t>1975Q1 to 2007Q2 and concluded that long</w:t>
      </w:r>
      <w:r w:rsidR="00377B8D" w:rsidRPr="00032DA6">
        <w:rPr>
          <w:rFonts w:cstheme="majorBidi"/>
          <w:color w:val="000000" w:themeColor="text1"/>
          <w:lang w:val="en-GB"/>
        </w:rPr>
        <w:t>-</w:t>
      </w:r>
      <w:r w:rsidRPr="00032DA6">
        <w:rPr>
          <w:rFonts w:cstheme="majorBidi"/>
          <w:color w:val="000000" w:themeColor="text1"/>
          <w:lang w:val="en-GB"/>
        </w:rPr>
        <w:t>run housing price</w:t>
      </w:r>
      <w:r w:rsidR="00377B8D" w:rsidRPr="00032DA6">
        <w:rPr>
          <w:rFonts w:cstheme="majorBidi"/>
          <w:color w:val="000000" w:themeColor="text1"/>
          <w:lang w:val="en-GB"/>
        </w:rPr>
        <w:t xml:space="preserve">s </w:t>
      </w:r>
      <w:r w:rsidRPr="00032DA6">
        <w:rPr>
          <w:rFonts w:cstheme="majorBidi"/>
          <w:color w:val="000000" w:themeColor="text1"/>
          <w:lang w:val="en-GB"/>
        </w:rPr>
        <w:t>increase in response to higher economic activity and construction costs. Meanwhile, a rise in long-run interest rates reduces long-run housing prices</w:t>
      </w:r>
      <w:r w:rsidRPr="00032DA6">
        <w:rPr>
          <w:rFonts w:cstheme="majorBidi"/>
          <w:color w:val="000000" w:themeColor="text1"/>
          <w:shd w:val="clear" w:color="auto" w:fill="FFFFFF"/>
          <w:lang w:val="en-GB"/>
        </w:rPr>
        <w:t xml:space="preserve"> (Adams &amp; Füss, 2010).</w:t>
      </w:r>
      <w:r w:rsidRPr="00032DA6">
        <w:rPr>
          <w:rFonts w:cstheme="majorBidi"/>
          <w:color w:val="000000" w:themeColor="text1"/>
          <w:lang w:val="en-GB"/>
        </w:rPr>
        <w:t xml:space="preserve"> </w:t>
      </w:r>
    </w:p>
    <w:p w14:paraId="63DD1BD3" w14:textId="77777777" w:rsidR="00377B8D" w:rsidRPr="00032DA6" w:rsidRDefault="00377B8D" w:rsidP="00DE108C">
      <w:pPr>
        <w:pStyle w:val="ListParagraph"/>
        <w:spacing w:line="276" w:lineRule="auto"/>
        <w:ind w:left="0" w:firstLine="360"/>
        <w:jc w:val="both"/>
        <w:rPr>
          <w:rFonts w:cstheme="majorBidi"/>
          <w:color w:val="000000" w:themeColor="text1"/>
          <w:lang w:val="en-GB"/>
        </w:rPr>
      </w:pPr>
    </w:p>
    <w:p w14:paraId="6226FCB7" w14:textId="2D01B41B" w:rsidR="00DB00BE" w:rsidRDefault="00DB00BE" w:rsidP="00DE108C">
      <w:pPr>
        <w:pStyle w:val="ListParagraph"/>
        <w:spacing w:line="276" w:lineRule="auto"/>
        <w:ind w:left="0" w:firstLine="360"/>
        <w:jc w:val="both"/>
        <w:rPr>
          <w:rFonts w:cstheme="majorBidi"/>
          <w:color w:val="000000" w:themeColor="text1"/>
          <w:shd w:val="clear" w:color="auto" w:fill="FFFFFF"/>
          <w:lang w:val="en-GB"/>
        </w:rPr>
      </w:pPr>
      <w:r w:rsidRPr="00032DA6">
        <w:rPr>
          <w:rFonts w:cstheme="majorBidi"/>
          <w:color w:val="000000" w:themeColor="text1"/>
          <w:lang w:val="en-GB"/>
        </w:rPr>
        <w:t xml:space="preserve">Investigating a panel of 18 industrialised economies during 1980 – 2007, </w:t>
      </w:r>
      <w:r w:rsidRPr="00032DA6">
        <w:rPr>
          <w:rFonts w:cstheme="majorBidi"/>
          <w:color w:val="000000" w:themeColor="text1"/>
          <w:shd w:val="clear" w:color="auto" w:fill="FFFFFF"/>
          <w:lang w:val="en-GB"/>
        </w:rPr>
        <w:t xml:space="preserve">Agnello &amp; Schuknecht (2011) employed a multinomial probit model and revealed that house prices surge in response to a rise in personal income and private credit and a fall in interest rates. </w:t>
      </w:r>
      <w:r w:rsidRPr="00032DA6">
        <w:rPr>
          <w:rFonts w:cstheme="majorBidi"/>
          <w:color w:val="000000" w:themeColor="text1"/>
          <w:lang w:val="en-GB"/>
        </w:rPr>
        <w:t xml:space="preserve">Utilising a VAR for 17 industrialised economies during 1970 – 2003, Tsatsaronis &amp; Zhu (2004) emphasised that inflation and a decline in policy rates will boost housing prices. Tsatsaronis &amp; Zhu (2004) also highlighted the strength of the bank credit channel that leads to affirmative feedback between credit and real-estate cycles. </w:t>
      </w:r>
      <w:r w:rsidRPr="00032DA6">
        <w:rPr>
          <w:rFonts w:cstheme="majorBidi"/>
          <w:color w:val="000000" w:themeColor="text1"/>
          <w:shd w:val="clear" w:color="auto" w:fill="FFFFFF"/>
          <w:lang w:val="en-GB"/>
        </w:rPr>
        <w:t xml:space="preserve">Furthermore, Iacoviello (2000) used a SVAR for 6 countries over a 25-year period concluding that negative monetary and demand shocks tend to reduce housing prices. Iacoviello (2000) revealed that the magnitude of the response can be explained – to a certain extent – by the distinct housing and financial market institutional setups. </w:t>
      </w:r>
    </w:p>
    <w:p w14:paraId="28E13D92" w14:textId="77777777" w:rsidR="00474EE9" w:rsidRDefault="00474EE9" w:rsidP="00DE108C">
      <w:pPr>
        <w:pStyle w:val="ListParagraph"/>
        <w:spacing w:line="276" w:lineRule="auto"/>
        <w:ind w:left="0" w:firstLine="360"/>
        <w:jc w:val="both"/>
        <w:rPr>
          <w:rFonts w:cstheme="majorBidi"/>
          <w:color w:val="000000" w:themeColor="text1"/>
          <w:shd w:val="clear" w:color="auto" w:fill="FFFFFF"/>
          <w:lang w:val="en-GB"/>
        </w:rPr>
      </w:pPr>
    </w:p>
    <w:p w14:paraId="2DB9B7BC" w14:textId="5102051C" w:rsidR="00474EE9" w:rsidRPr="00854F65" w:rsidRDefault="00474EE9" w:rsidP="00DE108C">
      <w:pPr>
        <w:pStyle w:val="ListParagraph"/>
        <w:spacing w:line="276" w:lineRule="auto"/>
        <w:ind w:left="0" w:firstLine="360"/>
        <w:jc w:val="both"/>
        <w:rPr>
          <w:rFonts w:cstheme="majorBidi"/>
          <w:color w:val="FF0000"/>
          <w:lang w:val="en-GB"/>
        </w:rPr>
      </w:pPr>
      <w:r w:rsidRPr="00854F65">
        <w:rPr>
          <w:rFonts w:cstheme="majorBidi"/>
          <w:color w:val="FF0000"/>
          <w:shd w:val="clear" w:color="auto" w:fill="FFFFFF"/>
          <w:lang w:val="en-GB"/>
        </w:rPr>
        <w:t xml:space="preserve">A summary of theory and literature findings will be </w:t>
      </w:r>
      <w:r w:rsidR="00854F65" w:rsidRPr="00854F65">
        <w:rPr>
          <w:rFonts w:cstheme="majorBidi"/>
          <w:color w:val="FF0000"/>
          <w:shd w:val="clear" w:color="auto" w:fill="FFFFFF"/>
          <w:lang w:val="en-GB"/>
        </w:rPr>
        <w:t>written here</w:t>
      </w:r>
      <w:r w:rsidR="00854F65">
        <w:rPr>
          <w:rFonts w:cstheme="majorBidi"/>
          <w:color w:val="FF0000"/>
          <w:shd w:val="clear" w:color="auto" w:fill="FFFFFF"/>
          <w:lang w:val="en-GB"/>
        </w:rPr>
        <w:t xml:space="preserve"> to link to the following analysis</w:t>
      </w:r>
    </w:p>
    <w:p w14:paraId="60C14E14" w14:textId="3E550254" w:rsidR="00D65CA5" w:rsidRPr="00032DA6" w:rsidRDefault="00C250C7" w:rsidP="00DE108C">
      <w:pPr>
        <w:pStyle w:val="Heading1"/>
        <w:numPr>
          <w:ilvl w:val="0"/>
          <w:numId w:val="16"/>
        </w:numPr>
        <w:spacing w:line="276" w:lineRule="auto"/>
        <w:ind w:left="270" w:hanging="90"/>
        <w:rPr>
          <w:lang w:val="en-GB"/>
        </w:rPr>
      </w:pPr>
      <w:bookmarkStart w:id="23" w:name="_Toc91107874"/>
      <w:bookmarkStart w:id="24" w:name="_Toc91438040"/>
      <w:r w:rsidRPr="00032DA6">
        <w:rPr>
          <w:lang w:val="en-GB"/>
        </w:rPr>
        <w:t>Methodology</w:t>
      </w:r>
      <w:bookmarkEnd w:id="23"/>
      <w:bookmarkEnd w:id="24"/>
    </w:p>
    <w:p w14:paraId="3CD3401D" w14:textId="3EBC099A" w:rsidR="00EE64B4" w:rsidRDefault="00EF0B0F" w:rsidP="000446B4">
      <w:pPr>
        <w:spacing w:line="276" w:lineRule="auto"/>
        <w:ind w:firstLine="180"/>
        <w:jc w:val="both"/>
        <w:rPr>
          <w:rFonts w:cstheme="majorBidi"/>
          <w:color w:val="000000" w:themeColor="text1"/>
          <w:lang w:val="en-GB"/>
        </w:rPr>
      </w:pPr>
      <w:bookmarkStart w:id="25" w:name="_Toc91107876"/>
      <w:r w:rsidRPr="00032DA6">
        <w:rPr>
          <w:rFonts w:cstheme="majorBidi"/>
          <w:color w:val="000000" w:themeColor="text1"/>
          <w:lang w:val="en-GB"/>
        </w:rPr>
        <w:t xml:space="preserve">To investigate the relation between housing prices and the variables identified in the literature, </w:t>
      </w:r>
      <w:r w:rsidR="00DB05BC">
        <w:rPr>
          <w:rFonts w:cstheme="majorBidi"/>
          <w:color w:val="000000" w:themeColor="text1"/>
          <w:lang w:val="en-GB"/>
        </w:rPr>
        <w:t xml:space="preserve">primary </w:t>
      </w:r>
      <w:r w:rsidRPr="00032DA6">
        <w:rPr>
          <w:rFonts w:cstheme="majorBidi"/>
          <w:color w:val="000000" w:themeColor="text1"/>
          <w:lang w:val="en-GB"/>
        </w:rPr>
        <w:t xml:space="preserve">data on housing prices is essential. In the reviewed </w:t>
      </w:r>
      <w:r w:rsidRPr="00544735">
        <w:rPr>
          <w:rFonts w:cstheme="majorBidi"/>
          <w:lang w:val="en-GB"/>
        </w:rPr>
        <w:t>works</w:t>
      </w:r>
      <w:r w:rsidR="00DB05BC" w:rsidRPr="00544735">
        <w:rPr>
          <w:rFonts w:cstheme="majorBidi"/>
          <w:lang w:val="en-GB"/>
        </w:rPr>
        <w:t>, such as Case and Shiller (2003)</w:t>
      </w:r>
      <w:r w:rsidR="273BB1FD" w:rsidRPr="00544735">
        <w:rPr>
          <w:rFonts w:cstheme="majorBidi"/>
          <w:lang w:val="en-GB"/>
        </w:rPr>
        <w:t>,</w:t>
      </w:r>
      <w:r w:rsidR="00544735">
        <w:rPr>
          <w:rFonts w:cstheme="majorBidi"/>
          <w:lang w:val="en-GB"/>
        </w:rPr>
        <w:t xml:space="preserve"> </w:t>
      </w:r>
      <w:r w:rsidRPr="00544735">
        <w:rPr>
          <w:rFonts w:cstheme="majorBidi"/>
          <w:lang w:val="en-GB"/>
        </w:rPr>
        <w:t xml:space="preserve">data on housing </w:t>
      </w:r>
      <w:r w:rsidRPr="00032DA6">
        <w:rPr>
          <w:rFonts w:cstheme="majorBidi"/>
          <w:color w:val="000000" w:themeColor="text1"/>
          <w:lang w:val="en-GB"/>
        </w:rPr>
        <w:t xml:space="preserve">prices were generally obtained from </w:t>
      </w:r>
      <w:r w:rsidR="00DB05BC">
        <w:rPr>
          <w:rFonts w:cstheme="majorBidi"/>
          <w:color w:val="000000" w:themeColor="text1"/>
          <w:lang w:val="en-GB"/>
        </w:rPr>
        <w:t xml:space="preserve">countries official </w:t>
      </w:r>
      <w:r w:rsidRPr="00032DA6">
        <w:rPr>
          <w:rFonts w:cstheme="majorBidi"/>
          <w:color w:val="000000" w:themeColor="text1"/>
          <w:lang w:val="en-GB"/>
        </w:rPr>
        <w:t>census</w:t>
      </w:r>
      <w:r w:rsidR="00DB05BC">
        <w:rPr>
          <w:rFonts w:cstheme="majorBidi"/>
          <w:color w:val="000000" w:themeColor="text1"/>
          <w:lang w:val="en-GB"/>
        </w:rPr>
        <w:t>es</w:t>
      </w:r>
      <w:r w:rsidRPr="00032DA6">
        <w:rPr>
          <w:rFonts w:cstheme="majorBidi"/>
          <w:color w:val="000000" w:themeColor="text1"/>
          <w:lang w:val="en-GB"/>
        </w:rPr>
        <w:t>, stati</w:t>
      </w:r>
      <w:r w:rsidR="00EE64B4">
        <w:rPr>
          <w:rFonts w:cstheme="majorBidi"/>
          <w:color w:val="000000" w:themeColor="text1"/>
          <w:lang w:val="en-GB"/>
        </w:rPr>
        <w:t>sti</w:t>
      </w:r>
      <w:r w:rsidRPr="00032DA6">
        <w:rPr>
          <w:rFonts w:cstheme="majorBidi"/>
          <w:color w:val="000000" w:themeColor="text1"/>
          <w:lang w:val="en-GB"/>
        </w:rPr>
        <w:t xml:space="preserve">cal bureaus and/or other </w:t>
      </w:r>
      <w:r w:rsidRPr="00544735">
        <w:rPr>
          <w:rFonts w:cstheme="majorBidi"/>
          <w:lang w:val="en-GB"/>
        </w:rPr>
        <w:t>sources of primary data. Hence, the construction of housing prices indices was doable. However, some research</w:t>
      </w:r>
      <w:r w:rsidR="00EE64B4" w:rsidRPr="00544735">
        <w:rPr>
          <w:rFonts w:cstheme="majorBidi"/>
          <w:lang w:val="en-GB"/>
        </w:rPr>
        <w:t>, such as</w:t>
      </w:r>
      <w:r w:rsidR="00544735" w:rsidRPr="00544735">
        <w:rPr>
          <w:rFonts w:ascii="Times New Roman" w:eastAsia="Times New Roman" w:hAnsi="Times New Roman" w:cs="Times New Roman"/>
          <w:lang w:val="en-GB"/>
        </w:rPr>
        <w:t xml:space="preserve"> Bricongne et al. (2019)</w:t>
      </w:r>
      <w:r w:rsidR="00EE64B4" w:rsidRPr="649EFE42">
        <w:rPr>
          <w:rFonts w:ascii="Times New Roman" w:eastAsia="Times New Roman" w:hAnsi="Times New Roman" w:cs="Times New Roman"/>
          <w:lang w:val="en-GB"/>
        </w:rPr>
        <w:t xml:space="preserve"> highlighted</w:t>
      </w:r>
      <w:r w:rsidRPr="00544735">
        <w:rPr>
          <w:rFonts w:cstheme="majorBidi"/>
          <w:lang w:val="en-GB"/>
        </w:rPr>
        <w:t xml:space="preserve"> the unavailability of such primary data, where they resorted to ot</w:t>
      </w:r>
      <w:r w:rsidRPr="00032DA6">
        <w:rPr>
          <w:rFonts w:cstheme="majorBidi"/>
          <w:color w:val="000000" w:themeColor="text1"/>
          <w:lang w:val="en-GB"/>
        </w:rPr>
        <w:t>her sources such as websites, social media</w:t>
      </w:r>
      <w:r w:rsidR="00FC57FD" w:rsidRPr="00032DA6">
        <w:rPr>
          <w:rFonts w:cstheme="majorBidi"/>
          <w:color w:val="000000" w:themeColor="text1"/>
          <w:lang w:val="en-GB"/>
        </w:rPr>
        <w:t>,</w:t>
      </w:r>
      <w:r w:rsidRPr="00032DA6">
        <w:rPr>
          <w:rFonts w:cstheme="majorBidi"/>
          <w:color w:val="000000" w:themeColor="text1"/>
          <w:lang w:val="en-GB"/>
        </w:rPr>
        <w:t xml:space="preserve"> and housing advertisement to construct</w:t>
      </w:r>
      <w:r w:rsidR="00FC57FD" w:rsidRPr="00032DA6">
        <w:rPr>
          <w:rFonts w:cstheme="majorBidi"/>
          <w:color w:val="000000" w:themeColor="text1"/>
          <w:lang w:val="en-GB"/>
        </w:rPr>
        <w:t xml:space="preserve"> </w:t>
      </w:r>
      <w:r w:rsidRPr="00032DA6">
        <w:rPr>
          <w:rFonts w:cstheme="majorBidi"/>
          <w:color w:val="000000" w:themeColor="text1"/>
          <w:lang w:val="en-GB"/>
        </w:rPr>
        <w:t xml:space="preserve">primary datasets on housing prices. In our research, we </w:t>
      </w:r>
      <w:r w:rsidR="00EE64B4">
        <w:rPr>
          <w:rFonts w:cstheme="majorBidi"/>
          <w:color w:val="000000" w:themeColor="text1"/>
          <w:lang w:val="en-GB"/>
        </w:rPr>
        <w:t xml:space="preserve">do face a problem </w:t>
      </w:r>
      <w:r w:rsidRPr="00032DA6">
        <w:rPr>
          <w:rFonts w:cstheme="majorBidi"/>
          <w:color w:val="000000" w:themeColor="text1"/>
          <w:lang w:val="en-GB"/>
        </w:rPr>
        <w:t>of</w:t>
      </w:r>
      <w:r w:rsidR="00EE64B4">
        <w:rPr>
          <w:rFonts w:cstheme="majorBidi"/>
          <w:color w:val="000000" w:themeColor="text1"/>
          <w:lang w:val="en-GB"/>
        </w:rPr>
        <w:t xml:space="preserve"> the</w:t>
      </w:r>
      <w:r w:rsidRPr="00032DA6">
        <w:rPr>
          <w:rFonts w:cstheme="majorBidi"/>
          <w:color w:val="000000" w:themeColor="text1"/>
          <w:lang w:val="en-GB"/>
        </w:rPr>
        <w:t xml:space="preserve"> unavailability of housing prices data in Egypt</w:t>
      </w:r>
      <w:r w:rsidR="00EE64B4">
        <w:rPr>
          <w:rFonts w:cstheme="majorBidi"/>
          <w:color w:val="000000" w:themeColor="text1"/>
          <w:lang w:val="en-GB"/>
        </w:rPr>
        <w:t>, which constructs</w:t>
      </w:r>
      <w:r w:rsidRPr="00032DA6">
        <w:rPr>
          <w:rFonts w:cstheme="majorBidi"/>
          <w:color w:val="000000" w:themeColor="text1"/>
          <w:lang w:val="en-GB"/>
        </w:rPr>
        <w:t xml:space="preserve"> a main obstacle towards investigating the aforementioned research questions. </w:t>
      </w:r>
      <w:bookmarkStart w:id="26" w:name="_Hlk91394586"/>
      <w:r w:rsidR="00EE64B4">
        <w:rPr>
          <w:rFonts w:cstheme="majorBidi"/>
          <w:color w:val="000000" w:themeColor="text1"/>
          <w:lang w:val="en-GB"/>
        </w:rPr>
        <w:t xml:space="preserve">We also believe that providing primary data for the housing market in Egypt is not only essential for research reasons, but it will also support the operation of the sector </w:t>
      </w:r>
      <w:r w:rsidR="00C42D7C">
        <w:rPr>
          <w:rFonts w:cstheme="majorBidi"/>
          <w:color w:val="000000" w:themeColor="text1"/>
          <w:lang w:val="en-GB"/>
        </w:rPr>
        <w:t xml:space="preserve">with proper information, decrease malpractices and principal-agent problems </w:t>
      </w:r>
      <w:r w:rsidR="00EE64B4">
        <w:rPr>
          <w:rFonts w:cstheme="majorBidi"/>
          <w:color w:val="000000" w:themeColor="text1"/>
          <w:lang w:val="en-GB"/>
        </w:rPr>
        <w:t xml:space="preserve">and most importantly will support the design of proper housing-related financial, institutional and social policies. </w:t>
      </w:r>
    </w:p>
    <w:bookmarkEnd w:id="26"/>
    <w:p w14:paraId="77A7B6EE" w14:textId="27A33FCC" w:rsidR="00EF0B0F" w:rsidRPr="00032DA6" w:rsidRDefault="00EF0B0F" w:rsidP="000446B4">
      <w:pPr>
        <w:spacing w:line="276" w:lineRule="auto"/>
        <w:ind w:firstLine="180"/>
        <w:jc w:val="both"/>
        <w:rPr>
          <w:rFonts w:cstheme="majorBidi"/>
          <w:color w:val="000000" w:themeColor="text1"/>
          <w:lang w:val="en-GB"/>
        </w:rPr>
      </w:pPr>
      <w:r w:rsidRPr="00032DA6">
        <w:rPr>
          <w:rFonts w:cstheme="majorBidi"/>
          <w:color w:val="000000" w:themeColor="text1"/>
          <w:lang w:val="en-GB"/>
        </w:rPr>
        <w:t xml:space="preserve">Accordingly, we start our analysis by designing a method to construct a dataset on housing prices in the Egyptian market upon which we can start investigating the interactions between housing prices and the </w:t>
      </w:r>
      <w:r w:rsidRPr="00C42D7C">
        <w:rPr>
          <w:rFonts w:cstheme="majorBidi"/>
          <w:color w:val="000000" w:themeColor="text1"/>
          <w:lang w:val="en-GB"/>
        </w:rPr>
        <w:t xml:space="preserve">previously identified </w:t>
      </w:r>
      <w:r w:rsidR="00DE32FA" w:rsidRPr="00C42D7C">
        <w:rPr>
          <w:rFonts w:cstheme="majorBidi"/>
          <w:lang w:val="en-GB"/>
        </w:rPr>
        <w:t>determinants</w:t>
      </w:r>
      <w:r w:rsidRPr="00C42D7C">
        <w:rPr>
          <w:rFonts w:cstheme="majorBidi"/>
          <w:lang w:val="en-GB"/>
        </w:rPr>
        <w:t xml:space="preserve">. Our analysis </w:t>
      </w:r>
      <w:r w:rsidRPr="00C42D7C">
        <w:rPr>
          <w:rFonts w:cstheme="majorBidi"/>
          <w:color w:val="000000" w:themeColor="text1"/>
          <w:lang w:val="en-GB"/>
        </w:rPr>
        <w:t>is three-fold. We construct a</w:t>
      </w:r>
      <w:r w:rsidR="00A84F51" w:rsidRPr="00C42D7C">
        <w:rPr>
          <w:rFonts w:cstheme="majorBidi"/>
          <w:color w:val="000000" w:themeColor="text1"/>
          <w:lang w:val="en-GB"/>
        </w:rPr>
        <w:t>n Egyptian</w:t>
      </w:r>
      <w:r w:rsidRPr="00C42D7C">
        <w:rPr>
          <w:rFonts w:cstheme="majorBidi"/>
          <w:color w:val="000000" w:themeColor="text1"/>
          <w:lang w:val="en-GB"/>
        </w:rPr>
        <w:t xml:space="preserve"> </w:t>
      </w:r>
      <w:r w:rsidR="00A84F51" w:rsidRPr="00C42D7C">
        <w:rPr>
          <w:rFonts w:cstheme="majorBidi"/>
          <w:color w:val="000000" w:themeColor="text1"/>
          <w:lang w:val="en-GB"/>
        </w:rPr>
        <w:t>H</w:t>
      </w:r>
      <w:r w:rsidRPr="00C42D7C">
        <w:rPr>
          <w:rFonts w:cstheme="majorBidi"/>
          <w:color w:val="000000" w:themeColor="text1"/>
          <w:lang w:val="en-GB"/>
        </w:rPr>
        <w:t xml:space="preserve">ousing </w:t>
      </w:r>
      <w:r w:rsidR="00A84F51" w:rsidRPr="00C42D7C">
        <w:rPr>
          <w:rFonts w:cstheme="majorBidi"/>
          <w:color w:val="000000" w:themeColor="text1"/>
          <w:lang w:val="en-GB"/>
        </w:rPr>
        <w:t>P</w:t>
      </w:r>
      <w:r w:rsidRPr="00C42D7C">
        <w:rPr>
          <w:rFonts w:cstheme="majorBidi"/>
          <w:color w:val="000000" w:themeColor="text1"/>
          <w:lang w:val="en-GB"/>
        </w:rPr>
        <w:t xml:space="preserve">rice </w:t>
      </w:r>
      <w:r w:rsidR="00A84F51" w:rsidRPr="00C42D7C">
        <w:rPr>
          <w:rFonts w:cstheme="majorBidi"/>
          <w:color w:val="000000" w:themeColor="text1"/>
          <w:lang w:val="en-GB"/>
        </w:rPr>
        <w:t xml:space="preserve">Index (EHPI) </w:t>
      </w:r>
      <w:r w:rsidRPr="00C42D7C">
        <w:rPr>
          <w:rFonts w:cstheme="majorBidi"/>
          <w:color w:val="000000" w:themeColor="text1"/>
          <w:lang w:val="en-GB"/>
        </w:rPr>
        <w:t>that calculates prices of different housing units according to a set of predetermined characteristics</w:t>
      </w:r>
      <w:r w:rsidRPr="00032DA6">
        <w:rPr>
          <w:rFonts w:cstheme="majorBidi"/>
          <w:color w:val="000000" w:themeColor="text1"/>
          <w:lang w:val="en-GB"/>
        </w:rPr>
        <w:t xml:space="preserve">. Housing characteristics are obtained from a primary field survey that will be explained more thoroughly in the next section. Finally, </w:t>
      </w:r>
      <w:r w:rsidRPr="00C42D7C">
        <w:rPr>
          <w:rFonts w:cstheme="majorBidi"/>
          <w:color w:val="000000" w:themeColor="text1"/>
          <w:lang w:val="en-GB"/>
        </w:rPr>
        <w:t>we interact the</w:t>
      </w:r>
      <w:r w:rsidR="00D3391D" w:rsidRPr="00C42D7C">
        <w:rPr>
          <w:rFonts w:cstheme="majorBidi"/>
          <w:color w:val="000000" w:themeColor="text1"/>
          <w:lang w:val="en-GB"/>
        </w:rPr>
        <w:t xml:space="preserve"> Egyptian Housing Price Index</w:t>
      </w:r>
      <w:r w:rsidRPr="00C42D7C">
        <w:rPr>
          <w:rFonts w:cstheme="majorBidi"/>
          <w:color w:val="000000" w:themeColor="text1"/>
          <w:lang w:val="en-GB"/>
        </w:rPr>
        <w:t xml:space="preserve"> </w:t>
      </w:r>
      <w:r w:rsidR="00A84F51" w:rsidRPr="00C42D7C">
        <w:rPr>
          <w:rFonts w:cstheme="majorBidi"/>
          <w:color w:val="000000" w:themeColor="text1"/>
          <w:lang w:val="en-GB"/>
        </w:rPr>
        <w:t xml:space="preserve">(EHPI) </w:t>
      </w:r>
      <w:r w:rsidRPr="00C42D7C">
        <w:rPr>
          <w:rFonts w:cstheme="majorBidi"/>
          <w:color w:val="000000" w:themeColor="text1"/>
          <w:lang w:val="en-GB"/>
        </w:rPr>
        <w:t>with the hypothesized housing determinants in an empirical model that will be illustrated in section IV.</w:t>
      </w:r>
      <w:r w:rsidRPr="00032DA6">
        <w:rPr>
          <w:rFonts w:cstheme="majorBidi"/>
          <w:color w:val="000000" w:themeColor="text1"/>
          <w:lang w:val="en-GB"/>
        </w:rPr>
        <w:t xml:space="preserve"> </w:t>
      </w:r>
      <w:bookmarkStart w:id="27" w:name="_Toc90666584"/>
    </w:p>
    <w:p w14:paraId="24D990CA" w14:textId="79D8553F" w:rsidR="00DE32FA" w:rsidRPr="00DE32FA" w:rsidRDefault="00EF0B0F" w:rsidP="000446B4">
      <w:pPr>
        <w:pStyle w:val="Heading2"/>
        <w:numPr>
          <w:ilvl w:val="0"/>
          <w:numId w:val="41"/>
        </w:numPr>
        <w:spacing w:line="276" w:lineRule="auto"/>
        <w:rPr>
          <w:lang w:val="en-GB"/>
        </w:rPr>
      </w:pPr>
      <w:bookmarkStart w:id="28" w:name="_Toc90666585"/>
      <w:bookmarkStart w:id="29" w:name="_Toc91438041"/>
      <w:r w:rsidRPr="00032DA6">
        <w:rPr>
          <w:lang w:val="en-GB"/>
        </w:rPr>
        <w:t xml:space="preserve">Field </w:t>
      </w:r>
      <w:r w:rsidR="00A84F51" w:rsidRPr="00032DA6">
        <w:rPr>
          <w:lang w:val="en-GB"/>
        </w:rPr>
        <w:t>S</w:t>
      </w:r>
      <w:r w:rsidRPr="00032DA6">
        <w:rPr>
          <w:lang w:val="en-GB"/>
        </w:rPr>
        <w:t xml:space="preserve">urvey on the </w:t>
      </w:r>
      <w:r w:rsidR="00A84F51" w:rsidRPr="00032DA6">
        <w:rPr>
          <w:lang w:val="en-GB"/>
        </w:rPr>
        <w:t>D</w:t>
      </w:r>
      <w:r w:rsidRPr="00032DA6">
        <w:rPr>
          <w:lang w:val="en-GB"/>
        </w:rPr>
        <w:t xml:space="preserve">eterminants of </w:t>
      </w:r>
      <w:r w:rsidR="00A84F51" w:rsidRPr="00032DA6">
        <w:rPr>
          <w:lang w:val="en-GB"/>
        </w:rPr>
        <w:t>H</w:t>
      </w:r>
      <w:r w:rsidRPr="00032DA6">
        <w:rPr>
          <w:lang w:val="en-GB"/>
        </w:rPr>
        <w:t xml:space="preserve">ousing </w:t>
      </w:r>
      <w:r w:rsidR="00A84F51" w:rsidRPr="00032DA6">
        <w:rPr>
          <w:lang w:val="en-GB"/>
        </w:rPr>
        <w:t>P</w:t>
      </w:r>
      <w:r w:rsidRPr="00032DA6">
        <w:rPr>
          <w:lang w:val="en-GB"/>
        </w:rPr>
        <w:t>rices in Egypt</w:t>
      </w:r>
      <w:bookmarkEnd w:id="28"/>
      <w:bookmarkEnd w:id="29"/>
      <w:r w:rsidRPr="00032DA6">
        <w:rPr>
          <w:lang w:val="en-GB"/>
        </w:rPr>
        <w:t xml:space="preserve"> </w:t>
      </w:r>
    </w:p>
    <w:p w14:paraId="3FBABA82" w14:textId="42C918B6" w:rsidR="00EF0B0F" w:rsidRPr="00032DA6" w:rsidRDefault="00EF0B0F" w:rsidP="000446B4">
      <w:pPr>
        <w:autoSpaceDE w:val="0"/>
        <w:autoSpaceDN w:val="0"/>
        <w:adjustRightInd w:val="0"/>
        <w:spacing w:after="120" w:line="276" w:lineRule="auto"/>
        <w:ind w:right="216" w:firstLine="274"/>
        <w:jc w:val="both"/>
        <w:rPr>
          <w:rStyle w:val="normaltextrun"/>
          <w:rFonts w:cstheme="majorBidi"/>
          <w:lang w:val="en-GB"/>
        </w:rPr>
      </w:pPr>
      <w:r w:rsidRPr="00392349">
        <w:rPr>
          <w:rFonts w:cstheme="majorBidi"/>
          <w:lang w:val="en-GB"/>
        </w:rPr>
        <w:t xml:space="preserve">Based on Dillman et al. </w:t>
      </w:r>
      <w:r w:rsidR="00032DA6" w:rsidRPr="00392349">
        <w:rPr>
          <w:rFonts w:cstheme="majorBidi"/>
          <w:lang w:val="en-GB"/>
        </w:rPr>
        <w:t>(</w:t>
      </w:r>
      <w:r w:rsidRPr="00392349">
        <w:rPr>
          <w:rFonts w:cstheme="majorBidi"/>
          <w:lang w:val="en-GB"/>
        </w:rPr>
        <w:t>2009</w:t>
      </w:r>
      <w:r w:rsidR="00032DA6" w:rsidRPr="00392349">
        <w:rPr>
          <w:rFonts w:cstheme="majorBidi"/>
          <w:lang w:val="en-GB"/>
        </w:rPr>
        <w:t xml:space="preserve">), </w:t>
      </w:r>
      <w:r w:rsidRPr="00392349">
        <w:rPr>
          <w:rFonts w:cstheme="majorBidi"/>
          <w:lang w:val="en-GB"/>
        </w:rPr>
        <w:t>Gentry</w:t>
      </w:r>
      <w:r w:rsidR="00032DA6" w:rsidRPr="00392349">
        <w:rPr>
          <w:rFonts w:cstheme="majorBidi"/>
          <w:lang w:val="en-GB"/>
        </w:rPr>
        <w:t xml:space="preserve"> &amp; </w:t>
      </w:r>
      <w:r w:rsidRPr="00392349">
        <w:rPr>
          <w:rFonts w:cstheme="majorBidi"/>
          <w:lang w:val="en-GB"/>
        </w:rPr>
        <w:t xml:space="preserve">Good </w:t>
      </w:r>
      <w:r w:rsidR="00032DA6" w:rsidRPr="00392349">
        <w:rPr>
          <w:rFonts w:cstheme="majorBidi"/>
          <w:lang w:val="en-GB"/>
        </w:rPr>
        <w:t>(</w:t>
      </w:r>
      <w:r w:rsidRPr="00392349">
        <w:rPr>
          <w:rFonts w:cstheme="majorBidi"/>
          <w:lang w:val="en-GB"/>
        </w:rPr>
        <w:t>2008)</w:t>
      </w:r>
      <w:r w:rsidR="00032DA6" w:rsidRPr="00392349">
        <w:rPr>
          <w:rFonts w:cstheme="majorBidi"/>
          <w:lang w:val="en-GB"/>
        </w:rPr>
        <w:t>,</w:t>
      </w:r>
      <w:r w:rsidRPr="00392349">
        <w:rPr>
          <w:rFonts w:cstheme="majorBidi"/>
          <w:lang w:val="en-GB"/>
        </w:rPr>
        <w:t xml:space="preserve"> and other literature, we implement self-administered mixed-mode surveys. </w:t>
      </w:r>
      <w:r w:rsidRPr="00392349">
        <w:rPr>
          <w:rStyle w:val="normaltextrun"/>
          <w:rFonts w:cstheme="majorBidi"/>
          <w:color w:val="000000" w:themeColor="text1"/>
          <w:lang w:val="en-GB"/>
        </w:rPr>
        <w:t xml:space="preserve">The </w:t>
      </w:r>
      <w:r w:rsidRPr="00392349">
        <w:rPr>
          <w:rStyle w:val="normaltextrun"/>
          <w:rFonts w:cstheme="majorBidi"/>
          <w:i/>
          <w:iCs/>
          <w:color w:val="000000" w:themeColor="text1"/>
          <w:lang w:val="en-GB"/>
        </w:rPr>
        <w:t>population</w:t>
      </w:r>
      <w:r w:rsidRPr="00392349">
        <w:rPr>
          <w:rStyle w:val="normaltextrun"/>
          <w:rFonts w:cstheme="majorBidi"/>
          <w:color w:val="000000" w:themeColor="text1"/>
          <w:lang w:val="en-GB"/>
        </w:rPr>
        <w:t xml:space="preserve"> of the study will be divided into target groups: (1) Households/homebuyers (estimated around 25</w:t>
      </w:r>
      <w:r w:rsidRPr="00032DA6">
        <w:rPr>
          <w:rStyle w:val="normaltextrun"/>
          <w:rFonts w:cstheme="majorBidi"/>
          <w:color w:val="000000" w:themeColor="text1"/>
          <w:lang w:val="en-GB"/>
        </w:rPr>
        <w:t xml:space="preserve"> million)</w:t>
      </w:r>
      <w:r w:rsidRPr="00032DA6">
        <w:rPr>
          <w:rStyle w:val="FootnoteReference"/>
          <w:rFonts w:cstheme="majorBidi"/>
          <w:color w:val="000000" w:themeColor="text1"/>
          <w:lang w:val="en-GB"/>
        </w:rPr>
        <w:footnoteReference w:id="12"/>
      </w:r>
      <w:r w:rsidRPr="00032DA6">
        <w:rPr>
          <w:rStyle w:val="normaltextrun"/>
          <w:rFonts w:cstheme="majorBidi"/>
          <w:color w:val="000000" w:themeColor="text1"/>
          <w:lang w:val="en-GB"/>
        </w:rPr>
        <w:t xml:space="preserve"> and (2) Real Estate Developers and Brokers (estimated around 36,000)</w:t>
      </w:r>
      <w:r w:rsidRPr="00032DA6">
        <w:rPr>
          <w:rStyle w:val="FootnoteReference"/>
          <w:rFonts w:cstheme="majorBidi"/>
          <w:lang w:val="en-GB"/>
        </w:rPr>
        <w:footnoteReference w:id="13"/>
      </w:r>
      <w:r w:rsidRPr="00032DA6">
        <w:rPr>
          <w:rStyle w:val="normaltextrun"/>
          <w:rFonts w:cstheme="majorBidi"/>
          <w:lang w:val="en-GB"/>
        </w:rPr>
        <w:t xml:space="preserve">. </w:t>
      </w:r>
      <w:r w:rsidRPr="00032DA6">
        <w:rPr>
          <w:rStyle w:val="normaltextrun"/>
          <w:rFonts w:cstheme="majorBidi"/>
          <w:color w:val="000000" w:themeColor="text1"/>
          <w:lang w:val="en-GB"/>
        </w:rPr>
        <w:t xml:space="preserve">We applied a </w:t>
      </w:r>
      <w:r w:rsidRPr="00032DA6">
        <w:rPr>
          <w:rStyle w:val="normaltextrun"/>
          <w:rFonts w:cstheme="majorBidi"/>
          <w:i/>
          <w:iCs/>
          <w:color w:val="000000" w:themeColor="text1"/>
          <w:lang w:val="en-GB"/>
        </w:rPr>
        <w:t xml:space="preserve">simple stratified random sample </w:t>
      </w:r>
      <w:r w:rsidRPr="00032DA6">
        <w:rPr>
          <w:rStyle w:val="normaltextrun"/>
          <w:rFonts w:cstheme="majorBidi"/>
          <w:color w:val="000000" w:themeColor="text1"/>
          <w:lang w:val="en-GB"/>
        </w:rPr>
        <w:t>where the population will be categori</w:t>
      </w:r>
      <w:r w:rsidR="00032DA6" w:rsidRPr="00032DA6">
        <w:rPr>
          <w:rStyle w:val="normaltextrun"/>
          <w:rFonts w:cstheme="majorBidi"/>
          <w:color w:val="000000" w:themeColor="text1"/>
          <w:lang w:val="en-GB"/>
        </w:rPr>
        <w:t>s</w:t>
      </w:r>
      <w:r w:rsidRPr="00032DA6">
        <w:rPr>
          <w:rStyle w:val="normaltextrun"/>
          <w:rFonts w:cstheme="majorBidi"/>
          <w:color w:val="000000" w:themeColor="text1"/>
          <w:lang w:val="en-GB"/>
        </w:rPr>
        <w:t>ed according to socioeconomic status. A simple random sample were selected from each category. Results are then </w:t>
      </w:r>
      <w:hyperlink r:id="rId8" w:history="1">
        <w:r w:rsidRPr="00032DA6">
          <w:rPr>
            <w:rStyle w:val="normaltextrun"/>
            <w:rFonts w:cstheme="majorBidi"/>
            <w:color w:val="000000" w:themeColor="text1"/>
            <w:lang w:val="en-GB"/>
          </w:rPr>
          <w:t>aggregated</w:t>
        </w:r>
      </w:hyperlink>
      <w:r w:rsidRPr="00032DA6">
        <w:rPr>
          <w:rStyle w:val="normaltextrun"/>
          <w:rFonts w:cstheme="majorBidi"/>
          <w:color w:val="000000" w:themeColor="text1"/>
          <w:lang w:val="en-GB"/>
        </w:rPr>
        <w:t> to make inferences about the population and hence inferences about the subpopulation of each category.</w:t>
      </w:r>
    </w:p>
    <w:p w14:paraId="5A3673BD" w14:textId="180672FB" w:rsidR="00DE32FA" w:rsidRPr="00C84578" w:rsidRDefault="00EF0B0F" w:rsidP="000446B4">
      <w:pPr>
        <w:spacing w:after="120" w:line="276" w:lineRule="auto"/>
        <w:ind w:right="216" w:firstLine="274"/>
        <w:jc w:val="both"/>
        <w:rPr>
          <w:rStyle w:val="normaltextrun"/>
          <w:rFonts w:cstheme="majorBidi"/>
          <w:color w:val="000000" w:themeColor="text1"/>
          <w:lang w:val="en-GB"/>
        </w:rPr>
      </w:pPr>
      <w:r w:rsidRPr="00C84578">
        <w:rPr>
          <w:rStyle w:val="normaltextrun"/>
          <w:rFonts w:cstheme="majorBidi"/>
          <w:color w:val="000000" w:themeColor="text1"/>
          <w:lang w:val="en-GB"/>
        </w:rPr>
        <w:t xml:space="preserve">In addition to the socioeconomic characteristics of the sample, the survey collected primary data on the previously identified factors </w:t>
      </w:r>
      <w:r w:rsidR="00DE32FA" w:rsidRPr="00C84578">
        <w:rPr>
          <w:rStyle w:val="normaltextrun"/>
          <w:rFonts w:cstheme="majorBidi"/>
          <w:color w:val="000000" w:themeColor="text1"/>
          <w:lang w:val="en-GB"/>
        </w:rPr>
        <w:t xml:space="preserve">that are </w:t>
      </w:r>
      <w:r w:rsidRPr="00C84578">
        <w:rPr>
          <w:rStyle w:val="normaltextrun"/>
          <w:rFonts w:cstheme="majorBidi"/>
          <w:color w:val="000000" w:themeColor="text1"/>
          <w:lang w:val="en-GB"/>
        </w:rPr>
        <w:t xml:space="preserve">argued in the literature </w:t>
      </w:r>
      <w:r w:rsidR="00DE32FA" w:rsidRPr="00C84578">
        <w:rPr>
          <w:rStyle w:val="normaltextrun"/>
          <w:rFonts w:cstheme="majorBidi"/>
          <w:color w:val="000000" w:themeColor="text1"/>
          <w:lang w:val="en-GB"/>
        </w:rPr>
        <w:t>to influence housing prices from the households’ perspectives as well as the real-estate developers’ and brokers’ perspectives.</w:t>
      </w:r>
    </w:p>
    <w:p w14:paraId="4FA757DD" w14:textId="4CDE7D05" w:rsidR="00EF0B0F" w:rsidRPr="00B40C2E" w:rsidRDefault="00EF0B0F" w:rsidP="003A09ED">
      <w:pPr>
        <w:spacing w:line="276" w:lineRule="auto"/>
        <w:ind w:right="220" w:firstLine="274"/>
        <w:jc w:val="both"/>
        <w:rPr>
          <w:rStyle w:val="normaltextrun"/>
          <w:rFonts w:cstheme="majorBidi"/>
          <w:color w:val="000000" w:themeColor="text1"/>
          <w:lang w:val="en-GB"/>
        </w:rPr>
      </w:pPr>
      <w:r w:rsidRPr="00C84578">
        <w:rPr>
          <w:rStyle w:val="normaltextrun"/>
          <w:rFonts w:cstheme="majorBidi"/>
          <w:color w:val="000000" w:themeColor="text1"/>
          <w:lang w:val="en-GB"/>
        </w:rPr>
        <w:t xml:space="preserve">The survey </w:t>
      </w:r>
      <w:r w:rsidR="00A15C99" w:rsidRPr="00C84578">
        <w:rPr>
          <w:rStyle w:val="normaltextrun"/>
          <w:rFonts w:cstheme="majorBidi"/>
          <w:color w:val="000000" w:themeColor="text1"/>
          <w:lang w:val="en-GB"/>
        </w:rPr>
        <w:t>is conducted</w:t>
      </w:r>
      <w:r w:rsidRPr="00C84578">
        <w:rPr>
          <w:rStyle w:val="normaltextrun"/>
          <w:rFonts w:cstheme="majorBidi"/>
          <w:color w:val="000000" w:themeColor="text1"/>
          <w:lang w:val="en-GB"/>
        </w:rPr>
        <w:t xml:space="preserve"> in four geographical areas (cities): Cairo, </w:t>
      </w:r>
      <w:r w:rsidRPr="00C84578">
        <w:rPr>
          <w:rStyle w:val="normaltextrun"/>
          <w:color w:val="000000" w:themeColor="text1"/>
          <w:lang w:val="en-GB"/>
        </w:rPr>
        <w:t>Damietta</w:t>
      </w:r>
      <w:r w:rsidRPr="00C84578">
        <w:rPr>
          <w:rStyle w:val="normaltextrun"/>
          <w:rFonts w:cstheme="majorBidi"/>
          <w:color w:val="000000" w:themeColor="text1"/>
          <w:lang w:val="en-GB"/>
        </w:rPr>
        <w:t xml:space="preserve">, Alexandria, and Suhag since they are characterized by having new urban development zones as well as mega housing projects. This will be helpful in obtaining data and information about recent price trends. A pilot study </w:t>
      </w:r>
      <w:r w:rsidR="00A15C99" w:rsidRPr="00C84578">
        <w:rPr>
          <w:rStyle w:val="normaltextrun"/>
          <w:rFonts w:cstheme="majorBidi"/>
          <w:color w:val="000000" w:themeColor="text1"/>
          <w:lang w:val="en-GB"/>
        </w:rPr>
        <w:t xml:space="preserve">was </w:t>
      </w:r>
      <w:r w:rsidRPr="00C84578">
        <w:rPr>
          <w:rStyle w:val="normaltextrun"/>
          <w:rFonts w:cstheme="majorBidi"/>
          <w:color w:val="000000" w:themeColor="text1"/>
          <w:lang w:val="en-GB"/>
        </w:rPr>
        <w:t xml:space="preserve">conducted to test the </w:t>
      </w:r>
      <w:r w:rsidR="00A15C99" w:rsidRPr="00C84578">
        <w:rPr>
          <w:rStyle w:val="normaltextrun"/>
          <w:rFonts w:cstheme="majorBidi"/>
          <w:color w:val="000000" w:themeColor="text1"/>
          <w:lang w:val="en-GB"/>
        </w:rPr>
        <w:t xml:space="preserve">reliability of the </w:t>
      </w:r>
      <w:r w:rsidRPr="00C84578">
        <w:rPr>
          <w:rStyle w:val="normaltextrun"/>
          <w:rFonts w:cstheme="majorBidi"/>
          <w:color w:val="000000" w:themeColor="text1"/>
          <w:lang w:val="en-GB"/>
        </w:rPr>
        <w:t>survey</w:t>
      </w:r>
      <w:r w:rsidR="00A15C99" w:rsidRPr="00C84578">
        <w:rPr>
          <w:rStyle w:val="normaltextrun"/>
          <w:rFonts w:cstheme="majorBidi"/>
          <w:color w:val="000000" w:themeColor="text1"/>
          <w:lang w:val="en-GB"/>
        </w:rPr>
        <w:t xml:space="preserve">; furthermore, </w:t>
      </w:r>
      <w:r w:rsidRPr="00C84578">
        <w:rPr>
          <w:rStyle w:val="normaltextrun"/>
          <w:rFonts w:cstheme="majorBidi"/>
          <w:color w:val="000000" w:themeColor="text1"/>
          <w:lang w:val="en-GB"/>
        </w:rPr>
        <w:t xml:space="preserve">different stakeholders were interviewed before and after </w:t>
      </w:r>
      <w:r w:rsidR="00A15C99" w:rsidRPr="00C84578">
        <w:rPr>
          <w:rStyle w:val="normaltextrun"/>
          <w:rFonts w:cstheme="majorBidi"/>
          <w:color w:val="000000" w:themeColor="text1"/>
          <w:lang w:val="en-GB"/>
        </w:rPr>
        <w:t>the</w:t>
      </w:r>
      <w:r w:rsidRPr="00C84578">
        <w:rPr>
          <w:rStyle w:val="normaltextrun"/>
          <w:rFonts w:cstheme="majorBidi"/>
          <w:color w:val="000000" w:themeColor="text1"/>
          <w:lang w:val="en-GB"/>
        </w:rPr>
        <w:t xml:space="preserve"> survey</w:t>
      </w:r>
      <w:r w:rsidR="00A15C99" w:rsidRPr="00C84578">
        <w:rPr>
          <w:rStyle w:val="normaltextrun"/>
          <w:rFonts w:cstheme="majorBidi"/>
          <w:color w:val="000000" w:themeColor="text1"/>
          <w:lang w:val="en-GB"/>
        </w:rPr>
        <w:t>’s</w:t>
      </w:r>
      <w:r w:rsidRPr="00C84578">
        <w:rPr>
          <w:rStyle w:val="normaltextrun"/>
          <w:rFonts w:cstheme="majorBidi"/>
          <w:color w:val="000000" w:themeColor="text1"/>
          <w:lang w:val="en-GB"/>
        </w:rPr>
        <w:t xml:space="preserve"> implementation to complement the survey with more specific data and information. The results of the survey were incorporated to design the price index and the empirical model.</w:t>
      </w:r>
      <w:r w:rsidR="00B40C2E">
        <w:rPr>
          <w:rStyle w:val="normaltextrun"/>
          <w:rFonts w:cstheme="majorBidi"/>
          <w:color w:val="000000" w:themeColor="text1"/>
          <w:lang w:val="en-GB"/>
        </w:rPr>
        <w:t xml:space="preserve"> </w:t>
      </w:r>
      <w:r w:rsidR="00A75BF3" w:rsidRPr="0064355E">
        <w:rPr>
          <w:rStyle w:val="normaltextrun"/>
          <w:rFonts w:cstheme="majorBidi"/>
          <w:lang w:val="en-GB"/>
        </w:rPr>
        <w:t xml:space="preserve">We </w:t>
      </w:r>
      <w:r w:rsidR="0063631D" w:rsidRPr="0064355E">
        <w:rPr>
          <w:rStyle w:val="normaltextrun"/>
          <w:rFonts w:cstheme="majorBidi"/>
          <w:lang w:val="en-GB"/>
        </w:rPr>
        <w:t>employ</w:t>
      </w:r>
      <w:r w:rsidR="00A75BF3" w:rsidRPr="0064355E">
        <w:rPr>
          <w:rStyle w:val="normaltextrun"/>
          <w:rFonts w:cstheme="majorBidi"/>
          <w:lang w:val="en-GB"/>
        </w:rPr>
        <w:t xml:space="preserve"> two surveys; one targets </w:t>
      </w:r>
      <w:r w:rsidR="00557660" w:rsidRPr="0064355E">
        <w:rPr>
          <w:rStyle w:val="normaltextrun"/>
          <w:rFonts w:cstheme="majorBidi"/>
          <w:lang w:val="en-GB"/>
        </w:rPr>
        <w:t xml:space="preserve">a sample of household homebuyers and home-sellers in Egypt, while </w:t>
      </w:r>
      <w:r w:rsidR="0063631D" w:rsidRPr="0064355E">
        <w:rPr>
          <w:rStyle w:val="normaltextrun"/>
          <w:rFonts w:cstheme="majorBidi"/>
          <w:lang w:val="en-GB"/>
        </w:rPr>
        <w:t xml:space="preserve">the other survey </w:t>
      </w:r>
      <w:r w:rsidR="00462F50">
        <w:rPr>
          <w:rStyle w:val="normaltextrun"/>
          <w:rFonts w:cstheme="majorBidi"/>
          <w:lang w:val="en-GB"/>
        </w:rPr>
        <w:t>developers and brokers</w:t>
      </w:r>
      <w:r w:rsidR="00A35996">
        <w:rPr>
          <w:rStyle w:val="normaltextrun"/>
          <w:rFonts w:cstheme="majorBidi"/>
          <w:lang w:val="en-GB"/>
        </w:rPr>
        <w:t xml:space="preserve"> sample. </w:t>
      </w:r>
    </w:p>
    <w:p w14:paraId="523B4F22" w14:textId="2C41189B" w:rsidR="00EF0B0F" w:rsidRPr="00032DA6" w:rsidRDefault="00EF0B0F" w:rsidP="0061687E">
      <w:pPr>
        <w:spacing w:after="120" w:line="276" w:lineRule="auto"/>
        <w:ind w:left="86" w:right="216" w:firstLine="274"/>
        <w:jc w:val="both"/>
        <w:rPr>
          <w:rStyle w:val="normaltextrun"/>
          <w:rFonts w:cstheme="majorBidi"/>
          <w:lang w:val="en-GB"/>
        </w:rPr>
      </w:pPr>
      <w:r w:rsidRPr="00032DA6">
        <w:rPr>
          <w:rStyle w:val="normaltextrun"/>
          <w:rFonts w:cstheme="majorBidi"/>
          <w:lang w:val="en-GB"/>
        </w:rPr>
        <w:t xml:space="preserve">Based on the surveyed population and using </w:t>
      </w:r>
      <w:r w:rsidR="00102E4A">
        <w:rPr>
          <w:rStyle w:val="normaltextrun"/>
          <w:rFonts w:cstheme="majorBidi"/>
          <w:lang w:val="en-GB"/>
        </w:rPr>
        <w:t xml:space="preserve">the </w:t>
      </w:r>
      <w:r w:rsidRPr="00032DA6">
        <w:rPr>
          <w:rStyle w:val="normaltextrun"/>
          <w:rFonts w:cstheme="majorBidi"/>
          <w:lang w:val="en-GB"/>
        </w:rPr>
        <w:t xml:space="preserve">sample size (ss) </w:t>
      </w:r>
      <w:r w:rsidR="00282D94">
        <w:rPr>
          <w:rStyle w:val="normaltextrun"/>
          <w:rFonts w:cstheme="majorBidi"/>
          <w:lang w:val="en-GB"/>
        </w:rPr>
        <w:t xml:space="preserve">in </w:t>
      </w:r>
      <w:r w:rsidRPr="00032DA6">
        <w:rPr>
          <w:rStyle w:val="normaltextrun"/>
          <w:rFonts w:cstheme="majorBidi"/>
          <w:lang w:val="en-GB"/>
        </w:rPr>
        <w:t>equation (1), the selected random sample is 398 for the Household survey and 380 for the Developers and Brokers survey.</w:t>
      </w:r>
    </w:p>
    <w:p w14:paraId="4857AA49" w14:textId="77777777" w:rsidR="00EF0B0F" w:rsidRPr="00032DA6" w:rsidRDefault="00EF0B0F" w:rsidP="0061687E">
      <w:pPr>
        <w:spacing w:after="120" w:line="276" w:lineRule="auto"/>
        <w:ind w:left="86" w:right="216" w:firstLine="274"/>
        <w:jc w:val="center"/>
        <w:rPr>
          <w:rStyle w:val="normaltextrun"/>
          <w:rFonts w:eastAsiaTheme="minorEastAsia" w:cstheme="majorBidi"/>
          <w:lang w:val="en-GB"/>
        </w:rPr>
      </w:pPr>
      <m:oMath>
        <m:r>
          <w:rPr>
            <w:rStyle w:val="normaltextrun"/>
            <w:rFonts w:ascii="Cambria Math" w:hAnsi="Cambria Math" w:cstheme="majorBidi"/>
            <w:lang w:val="en-GB"/>
          </w:rPr>
          <m:t>ss=</m:t>
        </m:r>
        <m:f>
          <m:fPr>
            <m:ctrlPr>
              <w:rPr>
                <w:rStyle w:val="normaltextrun"/>
                <w:rFonts w:ascii="Cambria Math" w:hAnsi="Cambria Math" w:cstheme="majorBidi"/>
                <w:i/>
                <w:lang w:val="en-GB"/>
              </w:rPr>
            </m:ctrlPr>
          </m:fPr>
          <m:num>
            <m:f>
              <m:fPr>
                <m:ctrlPr>
                  <w:rPr>
                    <w:rStyle w:val="normaltextrun"/>
                    <w:rFonts w:ascii="Cambria Math" w:hAnsi="Cambria Math" w:cstheme="majorBidi"/>
                    <w:i/>
                    <w:lang w:val="en-GB"/>
                  </w:rPr>
                </m:ctrlPr>
              </m:fPr>
              <m:num>
                <m:sSup>
                  <m:sSupPr>
                    <m:ctrlPr>
                      <w:rPr>
                        <w:rStyle w:val="normaltextrun"/>
                        <w:rFonts w:ascii="Cambria Math" w:hAnsi="Cambria Math" w:cstheme="majorBidi"/>
                        <w:i/>
                        <w:lang w:val="en-GB"/>
                      </w:rPr>
                    </m:ctrlPr>
                  </m:sSupPr>
                  <m:e>
                    <m:r>
                      <w:rPr>
                        <w:rStyle w:val="normaltextrun"/>
                        <w:rFonts w:ascii="Cambria Math" w:hAnsi="Cambria Math" w:cstheme="majorBidi"/>
                        <w:lang w:val="en-GB"/>
                      </w:rPr>
                      <m:t>z</m:t>
                    </m:r>
                  </m:e>
                  <m:sup>
                    <m:r>
                      <w:rPr>
                        <w:rStyle w:val="normaltextrun"/>
                        <w:rFonts w:ascii="Cambria Math" w:hAnsi="Cambria Math" w:cstheme="majorBidi"/>
                        <w:lang w:val="en-GB"/>
                      </w:rPr>
                      <m:t>2</m:t>
                    </m:r>
                  </m:sup>
                </m:sSup>
                <m:r>
                  <w:rPr>
                    <w:rStyle w:val="normaltextrun"/>
                    <w:rFonts w:ascii="Cambria Math" w:hAnsi="Cambria Math" w:cstheme="majorBidi"/>
                    <w:lang w:val="en-GB"/>
                  </w:rPr>
                  <m:t>⋅p</m:t>
                </m:r>
                <m:d>
                  <m:dPr>
                    <m:ctrlPr>
                      <w:rPr>
                        <w:rStyle w:val="normaltextrun"/>
                        <w:rFonts w:ascii="Cambria Math" w:hAnsi="Cambria Math" w:cstheme="majorBidi"/>
                        <w:i/>
                        <w:lang w:val="en-GB"/>
                      </w:rPr>
                    </m:ctrlPr>
                  </m:dPr>
                  <m:e>
                    <m:r>
                      <w:rPr>
                        <w:rStyle w:val="normaltextrun"/>
                        <w:rFonts w:ascii="Cambria Math" w:hAnsi="Cambria Math" w:cstheme="majorBidi"/>
                        <w:lang w:val="en-GB"/>
                      </w:rPr>
                      <m:t>1-p</m:t>
                    </m:r>
                  </m:e>
                </m:d>
              </m:num>
              <m:den>
                <m:sSup>
                  <m:sSupPr>
                    <m:ctrlPr>
                      <w:rPr>
                        <w:rStyle w:val="normaltextrun"/>
                        <w:rFonts w:ascii="Cambria Math" w:hAnsi="Cambria Math" w:cstheme="majorBidi"/>
                        <w:i/>
                        <w:lang w:val="en-GB"/>
                      </w:rPr>
                    </m:ctrlPr>
                  </m:sSupPr>
                  <m:e>
                    <m:r>
                      <w:rPr>
                        <w:rStyle w:val="normaltextrun"/>
                        <w:rFonts w:ascii="Cambria Math" w:hAnsi="Cambria Math" w:cstheme="majorBidi"/>
                        <w:lang w:val="en-GB"/>
                      </w:rPr>
                      <m:t>ⅇ</m:t>
                    </m:r>
                  </m:e>
                  <m:sup>
                    <m:r>
                      <w:rPr>
                        <w:rStyle w:val="normaltextrun"/>
                        <w:rFonts w:ascii="Cambria Math" w:hAnsi="Cambria Math" w:cstheme="majorBidi"/>
                        <w:lang w:val="en-GB"/>
                      </w:rPr>
                      <m:t>2</m:t>
                    </m:r>
                  </m:sup>
                </m:sSup>
              </m:den>
            </m:f>
          </m:num>
          <m:den>
            <m:r>
              <w:rPr>
                <w:rStyle w:val="normaltextrun"/>
                <w:rFonts w:ascii="Cambria Math" w:hAnsi="Cambria Math" w:cstheme="majorBidi"/>
                <w:lang w:val="en-GB"/>
              </w:rPr>
              <m:t>1+</m:t>
            </m:r>
            <m:f>
              <m:fPr>
                <m:ctrlPr>
                  <w:rPr>
                    <w:rStyle w:val="normaltextrun"/>
                    <w:rFonts w:ascii="Cambria Math" w:hAnsi="Cambria Math" w:cstheme="majorBidi"/>
                    <w:i/>
                    <w:lang w:val="en-GB"/>
                  </w:rPr>
                </m:ctrlPr>
              </m:fPr>
              <m:num>
                <m:sSup>
                  <m:sSupPr>
                    <m:ctrlPr>
                      <w:rPr>
                        <w:rStyle w:val="normaltextrun"/>
                        <w:rFonts w:ascii="Cambria Math" w:hAnsi="Cambria Math" w:cstheme="majorBidi"/>
                        <w:i/>
                        <w:lang w:val="en-GB"/>
                      </w:rPr>
                    </m:ctrlPr>
                  </m:sSupPr>
                  <m:e>
                    <m:r>
                      <w:rPr>
                        <w:rStyle w:val="normaltextrun"/>
                        <w:rFonts w:ascii="Cambria Math" w:hAnsi="Cambria Math" w:cstheme="majorBidi"/>
                        <w:lang w:val="en-GB"/>
                      </w:rPr>
                      <m:t>z</m:t>
                    </m:r>
                  </m:e>
                  <m:sup>
                    <m:r>
                      <w:rPr>
                        <w:rStyle w:val="normaltextrun"/>
                        <w:rFonts w:ascii="Cambria Math" w:hAnsi="Cambria Math" w:cstheme="majorBidi"/>
                        <w:lang w:val="en-GB"/>
                      </w:rPr>
                      <m:t>2</m:t>
                    </m:r>
                  </m:sup>
                </m:sSup>
                <m:r>
                  <w:rPr>
                    <w:rStyle w:val="normaltextrun"/>
                    <w:rFonts w:ascii="Cambria Math" w:hAnsi="Cambria Math" w:cstheme="majorBidi"/>
                    <w:lang w:val="en-GB"/>
                  </w:rPr>
                  <m:t>⋅p</m:t>
                </m:r>
                <m:d>
                  <m:dPr>
                    <m:ctrlPr>
                      <w:rPr>
                        <w:rStyle w:val="normaltextrun"/>
                        <w:rFonts w:ascii="Cambria Math" w:hAnsi="Cambria Math" w:cstheme="majorBidi"/>
                        <w:i/>
                        <w:lang w:val="en-GB"/>
                      </w:rPr>
                    </m:ctrlPr>
                  </m:dPr>
                  <m:e>
                    <m:r>
                      <w:rPr>
                        <w:rStyle w:val="normaltextrun"/>
                        <w:rFonts w:ascii="Cambria Math" w:hAnsi="Cambria Math" w:cstheme="majorBidi"/>
                        <w:lang w:val="en-GB"/>
                      </w:rPr>
                      <m:t>1-p</m:t>
                    </m:r>
                  </m:e>
                </m:d>
              </m:num>
              <m:den>
                <m:sSup>
                  <m:sSupPr>
                    <m:ctrlPr>
                      <w:rPr>
                        <w:rStyle w:val="normaltextrun"/>
                        <w:rFonts w:ascii="Cambria Math" w:hAnsi="Cambria Math" w:cstheme="majorBidi"/>
                        <w:i/>
                        <w:lang w:val="en-GB"/>
                      </w:rPr>
                    </m:ctrlPr>
                  </m:sSupPr>
                  <m:e>
                    <m:r>
                      <w:rPr>
                        <w:rStyle w:val="normaltextrun"/>
                        <w:rFonts w:ascii="Cambria Math" w:hAnsi="Cambria Math" w:cstheme="majorBidi"/>
                        <w:lang w:val="en-GB"/>
                      </w:rPr>
                      <m:t>ⅇ</m:t>
                    </m:r>
                  </m:e>
                  <m:sup>
                    <m:r>
                      <w:rPr>
                        <w:rStyle w:val="normaltextrun"/>
                        <w:rFonts w:ascii="Cambria Math" w:hAnsi="Cambria Math" w:cstheme="majorBidi"/>
                        <w:lang w:val="en-GB"/>
                      </w:rPr>
                      <m:t>2</m:t>
                    </m:r>
                  </m:sup>
                </m:sSup>
                <m:r>
                  <w:rPr>
                    <w:rStyle w:val="normaltextrun"/>
                    <w:rFonts w:ascii="Cambria Math" w:hAnsi="Cambria Math" w:cstheme="majorBidi"/>
                    <w:lang w:val="en-GB"/>
                  </w:rPr>
                  <m:t>N</m:t>
                </m:r>
              </m:den>
            </m:f>
          </m:den>
        </m:f>
      </m:oMath>
      <w:r w:rsidRPr="00032DA6">
        <w:rPr>
          <w:rStyle w:val="normaltextrun"/>
          <w:rFonts w:eastAsiaTheme="minorEastAsia" w:cstheme="majorBidi"/>
          <w:lang w:val="en-GB"/>
        </w:rPr>
        <w:t xml:space="preserve">           (1)</w:t>
      </w:r>
    </w:p>
    <w:p w14:paraId="662C91AD" w14:textId="0ECCB672" w:rsidR="00EF0B0F" w:rsidRPr="003A09ED" w:rsidRDefault="00EF0B0F" w:rsidP="0061687E">
      <w:pPr>
        <w:pStyle w:val="NormalWeb"/>
        <w:shd w:val="clear" w:color="auto" w:fill="FFFFFF"/>
        <w:spacing w:line="276" w:lineRule="auto"/>
        <w:jc w:val="both"/>
        <w:rPr>
          <w:rStyle w:val="normaltextrun"/>
          <w:rFonts w:asciiTheme="majorBidi" w:hAnsiTheme="majorBidi" w:cstheme="majorBidi"/>
          <w:sz w:val="22"/>
          <w:szCs w:val="22"/>
          <w:lang w:val="en-GB"/>
        </w:rPr>
      </w:pPr>
      <w:r w:rsidRPr="003A09ED">
        <w:rPr>
          <w:rStyle w:val="normaltextrun"/>
          <w:rFonts w:asciiTheme="majorBidi" w:hAnsiTheme="majorBidi" w:cstheme="majorBidi"/>
          <w:sz w:val="22"/>
          <w:szCs w:val="22"/>
          <w:lang w:val="en-GB"/>
        </w:rPr>
        <w:t xml:space="preserve">Where, </w:t>
      </w:r>
      <w:r w:rsidRPr="003A09ED">
        <w:rPr>
          <w:rStyle w:val="normaltextrun"/>
          <w:rFonts w:asciiTheme="majorBidi" w:hAnsiTheme="majorBidi" w:cstheme="majorBidi"/>
          <w:b/>
          <w:bCs/>
          <w:i/>
          <w:iCs/>
          <w:sz w:val="22"/>
          <w:szCs w:val="22"/>
          <w:lang w:val="en-GB"/>
        </w:rPr>
        <w:t>z</w:t>
      </w:r>
      <w:r w:rsidRPr="003A09ED">
        <w:rPr>
          <w:rStyle w:val="normaltextrun"/>
          <w:rFonts w:asciiTheme="majorBidi" w:hAnsiTheme="majorBidi" w:cstheme="majorBidi"/>
          <w:sz w:val="22"/>
          <w:szCs w:val="22"/>
          <w:lang w:val="en-GB"/>
        </w:rPr>
        <w:t xml:space="preserve">: z-score, </w:t>
      </w:r>
      <w:r w:rsidR="0061687E" w:rsidRPr="003A09ED">
        <w:rPr>
          <w:rStyle w:val="normaltextrun"/>
          <w:rFonts w:asciiTheme="majorBidi" w:hAnsiTheme="majorBidi" w:cstheme="majorBidi"/>
          <w:b/>
          <w:bCs/>
          <w:i/>
          <w:iCs/>
          <w:sz w:val="22"/>
          <w:szCs w:val="22"/>
          <w:lang w:val="en-GB"/>
        </w:rPr>
        <w:t>p</w:t>
      </w:r>
      <w:r w:rsidR="0061687E" w:rsidRPr="003A09ED">
        <w:rPr>
          <w:rStyle w:val="normaltextrun"/>
          <w:rFonts w:asciiTheme="majorBidi" w:hAnsiTheme="majorBidi" w:cstheme="majorBidi"/>
          <w:sz w:val="22"/>
          <w:szCs w:val="22"/>
          <w:lang w:val="en-GB"/>
        </w:rPr>
        <w:t>:</w:t>
      </w:r>
      <w:r w:rsidRPr="003A09ED">
        <w:rPr>
          <w:rStyle w:val="normaltextrun"/>
          <w:rFonts w:asciiTheme="majorBidi" w:hAnsiTheme="majorBidi" w:cstheme="majorBidi"/>
          <w:sz w:val="22"/>
          <w:szCs w:val="22"/>
          <w:lang w:val="en-GB"/>
        </w:rPr>
        <w:t xml:space="preserve"> Population </w:t>
      </w:r>
      <w:r w:rsidR="0061687E" w:rsidRPr="003A09ED">
        <w:rPr>
          <w:rStyle w:val="normaltextrun"/>
          <w:rFonts w:asciiTheme="majorBidi" w:hAnsiTheme="majorBidi" w:cstheme="majorBidi"/>
          <w:sz w:val="22"/>
          <w:szCs w:val="22"/>
          <w:lang w:val="en-GB"/>
        </w:rPr>
        <w:t>proportion,</w:t>
      </w:r>
      <w:r w:rsidRPr="003A09ED">
        <w:rPr>
          <w:rStyle w:val="normaltextrun"/>
          <w:rFonts w:asciiTheme="majorBidi" w:hAnsiTheme="majorBidi" w:cstheme="majorBidi"/>
          <w:sz w:val="22"/>
          <w:szCs w:val="22"/>
          <w:lang w:val="en-GB"/>
        </w:rPr>
        <w:t xml:space="preserve"> </w:t>
      </w:r>
      <w:r w:rsidR="0061687E" w:rsidRPr="003A09ED">
        <w:rPr>
          <w:rStyle w:val="normaltextrun"/>
          <w:rFonts w:asciiTheme="majorBidi" w:hAnsiTheme="majorBidi" w:cstheme="majorBidi"/>
          <w:b/>
          <w:bCs/>
          <w:i/>
          <w:iCs/>
          <w:sz w:val="22"/>
          <w:szCs w:val="22"/>
          <w:lang w:val="en-GB"/>
        </w:rPr>
        <w:t>e</w:t>
      </w:r>
      <w:r w:rsidR="0061687E" w:rsidRPr="003A09ED">
        <w:rPr>
          <w:rStyle w:val="normaltextrun"/>
          <w:rFonts w:asciiTheme="majorBidi" w:hAnsiTheme="majorBidi" w:cstheme="majorBidi"/>
          <w:sz w:val="22"/>
          <w:szCs w:val="22"/>
          <w:lang w:val="en-GB"/>
        </w:rPr>
        <w:t>:</w:t>
      </w:r>
      <w:r w:rsidRPr="003A09ED">
        <w:rPr>
          <w:rStyle w:val="normaltextrun"/>
          <w:rFonts w:asciiTheme="majorBidi" w:hAnsiTheme="majorBidi" w:cstheme="majorBidi"/>
          <w:sz w:val="22"/>
          <w:szCs w:val="22"/>
          <w:lang w:val="en-GB"/>
        </w:rPr>
        <w:t xml:space="preserve"> Margin of Error (5%)</w:t>
      </w:r>
      <w:r w:rsidR="0061687E" w:rsidRPr="003A09ED">
        <w:rPr>
          <w:rStyle w:val="normaltextrun"/>
          <w:rFonts w:asciiTheme="majorBidi" w:hAnsiTheme="majorBidi" w:cstheme="majorBidi"/>
          <w:sz w:val="22"/>
          <w:szCs w:val="22"/>
          <w:lang w:val="en-GB"/>
        </w:rPr>
        <w:t xml:space="preserve">, and </w:t>
      </w:r>
      <w:r w:rsidR="0061687E" w:rsidRPr="003A09ED">
        <w:rPr>
          <w:rStyle w:val="normaltextrun"/>
          <w:rFonts w:asciiTheme="majorBidi" w:hAnsiTheme="majorBidi" w:cstheme="majorBidi"/>
          <w:b/>
          <w:bCs/>
          <w:i/>
          <w:iCs/>
          <w:sz w:val="22"/>
          <w:szCs w:val="22"/>
          <w:lang w:val="en-GB"/>
        </w:rPr>
        <w:t>N</w:t>
      </w:r>
      <w:r w:rsidRPr="003A09ED">
        <w:rPr>
          <w:rStyle w:val="normaltextrun"/>
          <w:rFonts w:asciiTheme="majorBidi" w:hAnsiTheme="majorBidi" w:cstheme="majorBidi"/>
          <w:sz w:val="22"/>
          <w:szCs w:val="22"/>
          <w:lang w:val="en-GB"/>
        </w:rPr>
        <w:t>:</w:t>
      </w:r>
      <w:r w:rsidR="0061687E" w:rsidRPr="003A09ED">
        <w:rPr>
          <w:rStyle w:val="normaltextrun"/>
          <w:rFonts w:asciiTheme="majorBidi" w:hAnsiTheme="majorBidi" w:cstheme="majorBidi"/>
          <w:sz w:val="22"/>
          <w:szCs w:val="22"/>
          <w:lang w:val="en-GB"/>
        </w:rPr>
        <w:t xml:space="preserve"> </w:t>
      </w:r>
      <w:r w:rsidRPr="003A09ED">
        <w:rPr>
          <w:rStyle w:val="normaltextrun"/>
          <w:rFonts w:asciiTheme="majorBidi" w:hAnsiTheme="majorBidi" w:cstheme="majorBidi"/>
          <w:sz w:val="22"/>
          <w:szCs w:val="22"/>
          <w:lang w:val="en-GB"/>
        </w:rPr>
        <w:t xml:space="preserve">Population size. </w:t>
      </w:r>
    </w:p>
    <w:p w14:paraId="1E5A6547" w14:textId="05DA20C0" w:rsidR="0092142E" w:rsidRPr="003A09ED" w:rsidRDefault="00181B52" w:rsidP="003A09ED">
      <w:pPr>
        <w:spacing w:line="276" w:lineRule="auto"/>
        <w:ind w:right="220" w:firstLine="274"/>
        <w:jc w:val="both"/>
        <w:rPr>
          <w:rFonts w:cstheme="majorBidi"/>
          <w:color w:val="000000" w:themeColor="text1"/>
          <w:lang w:val="en-GB"/>
        </w:rPr>
      </w:pPr>
      <w:r w:rsidRPr="003A09ED">
        <w:rPr>
          <w:rStyle w:val="normaltextrun"/>
          <w:rFonts w:cstheme="majorBidi"/>
          <w:lang w:val="en-GB"/>
        </w:rPr>
        <w:t xml:space="preserve">We </w:t>
      </w:r>
      <w:r w:rsidR="003A09ED" w:rsidRPr="003A09ED">
        <w:rPr>
          <w:rStyle w:val="normaltextrun"/>
          <w:rFonts w:cstheme="majorBidi"/>
          <w:lang w:val="en-GB"/>
        </w:rPr>
        <w:t>approached</w:t>
      </w:r>
      <w:r w:rsidR="00EF0B0F" w:rsidRPr="003A09ED">
        <w:rPr>
          <w:rStyle w:val="normaltextrun"/>
          <w:rFonts w:cstheme="majorBidi"/>
          <w:lang w:val="en-GB"/>
        </w:rPr>
        <w:t xml:space="preserve"> 800 respondents </w:t>
      </w:r>
      <w:r w:rsidR="003A09ED" w:rsidRPr="003A09ED">
        <w:rPr>
          <w:rStyle w:val="normaltextrun"/>
          <w:rFonts w:cstheme="majorBidi"/>
          <w:lang w:val="en-GB"/>
        </w:rPr>
        <w:t>since</w:t>
      </w:r>
      <w:r w:rsidR="00EF0B0F" w:rsidRPr="003A09ED">
        <w:rPr>
          <w:rStyle w:val="normaltextrun"/>
          <w:rFonts w:cstheme="majorBidi"/>
          <w:lang w:val="en-GB"/>
        </w:rPr>
        <w:t xml:space="preserve"> the non-response rate </w:t>
      </w:r>
      <w:r w:rsidR="003A09ED" w:rsidRPr="003A09ED">
        <w:rPr>
          <w:rStyle w:val="normaltextrun"/>
          <w:rFonts w:cstheme="majorBidi"/>
          <w:lang w:val="en-GB"/>
        </w:rPr>
        <w:t xml:space="preserve">was found to be around </w:t>
      </w:r>
      <w:r w:rsidR="00EF0B0F" w:rsidRPr="003A09ED">
        <w:rPr>
          <w:rStyle w:val="normaltextrun"/>
          <w:rFonts w:cstheme="majorBidi"/>
          <w:lang w:val="en-GB"/>
        </w:rPr>
        <w:t>50%. The final respondents were 401 households and 421 developers and brokers.</w:t>
      </w:r>
      <w:r w:rsidR="209022C8" w:rsidRPr="74FBA520">
        <w:rPr>
          <w:rStyle w:val="normaltextrun"/>
          <w:rFonts w:cstheme="majorBidi"/>
          <w:lang w:val="en-GB"/>
        </w:rPr>
        <w:t xml:space="preserve"> </w:t>
      </w:r>
      <w:r w:rsidR="0092142E" w:rsidRPr="74FBA520">
        <w:rPr>
          <w:rStyle w:val="normaltextrun"/>
          <w:rFonts w:cstheme="majorBidi"/>
          <w:lang w:val="en-GB"/>
        </w:rPr>
        <w:t>Accordingly</w:t>
      </w:r>
      <w:r w:rsidR="0092142E" w:rsidRPr="003A09ED">
        <w:rPr>
          <w:rFonts w:cstheme="majorBidi"/>
          <w:lang w:val="en-GB"/>
        </w:rPr>
        <w:t xml:space="preserve">, the targeted group were around 400 real-estate developers and brokers and 400 household buyers and sellers. The study tried to reach 750 real-estate developers and brokers; however, only 412 responded. With regards to household buyers and sellers, 401 </w:t>
      </w:r>
      <w:r w:rsidR="003E063B" w:rsidRPr="003A09ED">
        <w:rPr>
          <w:rFonts w:cstheme="majorBidi"/>
          <w:lang w:val="en-GB"/>
        </w:rPr>
        <w:t xml:space="preserve">out of 850 households </w:t>
      </w:r>
      <w:r w:rsidR="0092142E" w:rsidRPr="003A09ED">
        <w:rPr>
          <w:rFonts w:cstheme="majorBidi"/>
          <w:lang w:val="en-GB"/>
        </w:rPr>
        <w:t>responded</w:t>
      </w:r>
      <w:r w:rsidR="003E063B" w:rsidRPr="003A09ED">
        <w:rPr>
          <w:rFonts w:cstheme="majorBidi"/>
          <w:lang w:val="en-GB"/>
        </w:rPr>
        <w:t xml:space="preserve">. Thus, the non-response rate was around 50% on average. </w:t>
      </w:r>
      <w:r w:rsidR="003E063B" w:rsidRPr="003A09ED">
        <w:rPr>
          <w:rStyle w:val="normaltextrun"/>
          <w:rFonts w:cstheme="majorBidi"/>
          <w:lang w:val="en-GB"/>
        </w:rPr>
        <w:t>The final sample of respondents were 401 households and 41</w:t>
      </w:r>
      <w:r w:rsidR="006E69C6" w:rsidRPr="003A09ED">
        <w:rPr>
          <w:rStyle w:val="normaltextrun"/>
          <w:rFonts w:cstheme="majorBidi"/>
          <w:lang w:val="en-GB"/>
        </w:rPr>
        <w:t>2</w:t>
      </w:r>
      <w:r w:rsidR="003E063B" w:rsidRPr="003A09ED">
        <w:rPr>
          <w:rStyle w:val="normaltextrun"/>
          <w:rFonts w:cstheme="majorBidi"/>
          <w:lang w:val="en-GB"/>
        </w:rPr>
        <w:t xml:space="preserve"> </w:t>
      </w:r>
      <w:r w:rsidR="00AA58D7" w:rsidRPr="003A09ED">
        <w:rPr>
          <w:rStyle w:val="normaltextrun"/>
          <w:rFonts w:cstheme="majorBidi"/>
          <w:lang w:val="en-GB"/>
        </w:rPr>
        <w:t xml:space="preserve">real-estate </w:t>
      </w:r>
      <w:r w:rsidR="003E063B" w:rsidRPr="003A09ED">
        <w:rPr>
          <w:rStyle w:val="normaltextrun"/>
          <w:rFonts w:cstheme="majorBidi"/>
          <w:lang w:val="en-GB"/>
        </w:rPr>
        <w:t>developers and brokers.</w:t>
      </w:r>
      <w:r w:rsidR="003A09ED">
        <w:rPr>
          <w:rStyle w:val="normaltextrun"/>
          <w:rFonts w:cstheme="majorBidi"/>
          <w:lang w:val="en-GB"/>
        </w:rPr>
        <w:t xml:space="preserve"> More on the survey design is presented in Annex (1). </w:t>
      </w:r>
    </w:p>
    <w:p w14:paraId="0C9A0B59" w14:textId="5B67ADE8" w:rsidR="00EF0B0F" w:rsidRPr="00032DA6" w:rsidRDefault="00EF0B0F" w:rsidP="00DE108C">
      <w:pPr>
        <w:pStyle w:val="Heading2"/>
        <w:numPr>
          <w:ilvl w:val="0"/>
          <w:numId w:val="40"/>
        </w:numPr>
        <w:spacing w:line="276" w:lineRule="auto"/>
        <w:rPr>
          <w:b/>
          <w:lang w:val="en-GB"/>
        </w:rPr>
      </w:pPr>
      <w:bookmarkStart w:id="30" w:name="_Toc91438042"/>
      <w:r w:rsidRPr="00032DA6">
        <w:rPr>
          <w:lang w:val="en-GB"/>
        </w:rPr>
        <w:t xml:space="preserve">Constructing a </w:t>
      </w:r>
      <w:r w:rsidR="00E73240">
        <w:rPr>
          <w:lang w:val="en-GB"/>
        </w:rPr>
        <w:t>H</w:t>
      </w:r>
      <w:r w:rsidRPr="00032DA6">
        <w:rPr>
          <w:lang w:val="en-GB"/>
        </w:rPr>
        <w:t>ousing</w:t>
      </w:r>
      <w:r w:rsidR="00E73240">
        <w:rPr>
          <w:lang w:val="en-GB"/>
        </w:rPr>
        <w:t xml:space="preserve"> P</w:t>
      </w:r>
      <w:r w:rsidRPr="00032DA6">
        <w:rPr>
          <w:lang w:val="en-GB"/>
        </w:rPr>
        <w:t xml:space="preserve">rice </w:t>
      </w:r>
      <w:r w:rsidR="00E73240">
        <w:rPr>
          <w:lang w:val="en-GB"/>
        </w:rPr>
        <w:t>I</w:t>
      </w:r>
      <w:r w:rsidRPr="00032DA6">
        <w:rPr>
          <w:lang w:val="en-GB"/>
        </w:rPr>
        <w:t>ndex for Egypt (</w:t>
      </w:r>
      <w:r w:rsidR="00E73240">
        <w:rPr>
          <w:lang w:val="en-GB"/>
        </w:rPr>
        <w:t>C</w:t>
      </w:r>
      <w:r w:rsidRPr="00032DA6">
        <w:rPr>
          <w:lang w:val="en-GB"/>
        </w:rPr>
        <w:t xml:space="preserve">onstructing the </w:t>
      </w:r>
      <w:r w:rsidR="00E73240">
        <w:rPr>
          <w:lang w:val="en-GB"/>
        </w:rPr>
        <w:t>B</w:t>
      </w:r>
      <w:r w:rsidRPr="00032DA6">
        <w:rPr>
          <w:lang w:val="en-GB"/>
        </w:rPr>
        <w:t xml:space="preserve">ase </w:t>
      </w:r>
      <w:r w:rsidR="00E73240">
        <w:rPr>
          <w:lang w:val="en-GB"/>
        </w:rPr>
        <w:t>Y</w:t>
      </w:r>
      <w:r w:rsidRPr="00032DA6">
        <w:rPr>
          <w:lang w:val="en-GB"/>
        </w:rPr>
        <w:t>ear)</w:t>
      </w:r>
      <w:bookmarkEnd w:id="27"/>
      <w:bookmarkEnd w:id="30"/>
    </w:p>
    <w:p w14:paraId="0CB217CC" w14:textId="2129255F" w:rsidR="00EF0B0F" w:rsidRPr="00AD38E3" w:rsidRDefault="00EF0B0F" w:rsidP="00E73240">
      <w:pPr>
        <w:spacing w:after="120" w:line="276" w:lineRule="auto"/>
        <w:ind w:firstLine="360"/>
        <w:jc w:val="both"/>
        <w:rPr>
          <w:rFonts w:ascii="Times New Roman" w:eastAsia="Times New Roman" w:hAnsi="Times New Roman" w:cs="Times New Roman"/>
          <w:lang w:val="en-GB"/>
        </w:rPr>
      </w:pPr>
      <w:r w:rsidRPr="00AD38E3">
        <w:rPr>
          <w:rFonts w:ascii="Times New Roman" w:eastAsia="Times New Roman" w:hAnsi="Times New Roman" w:cs="Times New Roman"/>
          <w:lang w:val="en-GB"/>
        </w:rPr>
        <w:t>Literature identified different methods of constructing housing prices indices, such as changes in median sales, hedonic methods</w:t>
      </w:r>
      <w:r w:rsidR="00CB73E3" w:rsidRPr="00AD38E3">
        <w:rPr>
          <w:rFonts w:ascii="Times New Roman" w:eastAsia="Times New Roman" w:hAnsi="Times New Roman" w:cs="Times New Roman"/>
          <w:lang w:val="en-GB"/>
        </w:rPr>
        <w:t>,</w:t>
      </w:r>
      <w:r w:rsidRPr="00AD38E3">
        <w:rPr>
          <w:rFonts w:ascii="Times New Roman" w:eastAsia="Times New Roman" w:hAnsi="Times New Roman" w:cs="Times New Roman"/>
          <w:lang w:val="en-GB"/>
        </w:rPr>
        <w:t xml:space="preserve"> as well as weighted repeat sales methods (Case and Shiller, 1987). Each method has its </w:t>
      </w:r>
      <w:r w:rsidR="00E73240" w:rsidRPr="00AD38E3">
        <w:rPr>
          <w:rFonts w:ascii="Times New Roman" w:eastAsia="Times New Roman" w:hAnsi="Times New Roman" w:cs="Times New Roman"/>
          <w:lang w:val="en-GB"/>
        </w:rPr>
        <w:t xml:space="preserve">advantages and disadvantages. </w:t>
      </w:r>
      <w:r w:rsidR="00471E50" w:rsidRPr="00AD38E3">
        <w:rPr>
          <w:rFonts w:ascii="Times New Roman" w:eastAsia="Times New Roman" w:hAnsi="Times New Roman" w:cs="Times New Roman"/>
          <w:lang w:val="en-GB"/>
        </w:rPr>
        <w:t>D</w:t>
      </w:r>
      <w:r w:rsidR="00E73240" w:rsidRPr="00AD38E3">
        <w:rPr>
          <w:rFonts w:ascii="Times New Roman" w:eastAsia="Times New Roman" w:hAnsi="Times New Roman" w:cs="Times New Roman"/>
          <w:lang w:val="en-GB"/>
        </w:rPr>
        <w:t xml:space="preserve">espite </w:t>
      </w:r>
      <w:r w:rsidRPr="00AD38E3">
        <w:rPr>
          <w:rFonts w:ascii="Times New Roman" w:eastAsia="Times New Roman" w:hAnsi="Times New Roman" w:cs="Times New Roman"/>
          <w:lang w:val="en-GB"/>
        </w:rPr>
        <w:t xml:space="preserve">the advantages of these methods, they generally depend on the availability of primary data on housing sales obtained from census bureaus and other databases. However, in the Egyptian context, accurate data on the housing market sales and resales are not available. </w:t>
      </w:r>
    </w:p>
    <w:p w14:paraId="2747A502" w14:textId="51D66DD6" w:rsidR="00EF0B0F" w:rsidRPr="00AD38E3" w:rsidRDefault="00EF0B0F" w:rsidP="00E73240">
      <w:pPr>
        <w:spacing w:line="276" w:lineRule="auto"/>
        <w:jc w:val="both"/>
        <w:rPr>
          <w:rFonts w:ascii="Times New Roman" w:eastAsia="Times New Roman" w:hAnsi="Times New Roman" w:cs="Times New Roman"/>
          <w:lang w:val="en-GB"/>
        </w:rPr>
      </w:pPr>
      <w:r w:rsidRPr="00AD38E3">
        <w:rPr>
          <w:rFonts w:ascii="Times New Roman" w:eastAsia="Times New Roman" w:hAnsi="Times New Roman" w:cs="Times New Roman"/>
          <w:lang w:val="en-GB"/>
        </w:rPr>
        <w:t xml:space="preserve">Some literature tried to overcome this problem through using other ways such as the </w:t>
      </w:r>
      <w:r w:rsidRPr="00AD38E3">
        <w:rPr>
          <w:rFonts w:ascii="Times New Roman" w:eastAsia="Times New Roman" w:hAnsi="Times New Roman" w:cs="Times New Roman"/>
          <w:i/>
          <w:iCs/>
          <w:lang w:val="en-GB"/>
        </w:rPr>
        <w:t xml:space="preserve">Fall-Back Method </w:t>
      </w:r>
      <w:r w:rsidRPr="00AD38E3">
        <w:rPr>
          <w:rFonts w:ascii="Times New Roman" w:eastAsia="Times New Roman" w:hAnsi="Times New Roman" w:cs="Times New Roman"/>
          <w:lang w:val="en-GB"/>
        </w:rPr>
        <w:t>identified in</w:t>
      </w:r>
      <w:r w:rsidRPr="00AD38E3">
        <w:rPr>
          <w:rFonts w:ascii="Times New Roman" w:eastAsia="Times New Roman" w:hAnsi="Times New Roman" w:cs="Times New Roman"/>
          <w:b/>
          <w:bCs/>
          <w:lang w:val="en-GB"/>
        </w:rPr>
        <w:t xml:space="preserve"> </w:t>
      </w:r>
      <w:r w:rsidRPr="00AD38E3">
        <w:rPr>
          <w:rFonts w:ascii="Times New Roman" w:eastAsia="Times New Roman" w:hAnsi="Times New Roman" w:cs="Times New Roman"/>
          <w:lang w:val="en-GB"/>
        </w:rPr>
        <w:t>Bricongne et al</w:t>
      </w:r>
      <w:r w:rsidR="00CB73E3" w:rsidRPr="00AD38E3">
        <w:rPr>
          <w:rFonts w:ascii="Times New Roman" w:eastAsia="Times New Roman" w:hAnsi="Times New Roman" w:cs="Times New Roman"/>
          <w:lang w:val="en-GB"/>
        </w:rPr>
        <w:t>. (</w:t>
      </w:r>
      <w:r w:rsidRPr="00AD38E3">
        <w:rPr>
          <w:rFonts w:ascii="Times New Roman" w:eastAsia="Times New Roman" w:hAnsi="Times New Roman" w:cs="Times New Roman"/>
          <w:lang w:val="en-GB"/>
        </w:rPr>
        <w:t xml:space="preserve">2019) which mainly depends on gathering primary data and information from </w:t>
      </w:r>
      <w:r w:rsidR="00CB73E3" w:rsidRPr="00AD38E3">
        <w:rPr>
          <w:rFonts w:ascii="Times New Roman" w:eastAsia="Times New Roman" w:hAnsi="Times New Roman" w:cs="Times New Roman"/>
          <w:lang w:val="en-GB"/>
        </w:rPr>
        <w:t xml:space="preserve">the </w:t>
      </w:r>
      <w:r w:rsidRPr="00AD38E3">
        <w:rPr>
          <w:rFonts w:ascii="Times New Roman" w:eastAsia="Times New Roman" w:hAnsi="Times New Roman" w:cs="Times New Roman"/>
          <w:lang w:val="en-GB"/>
        </w:rPr>
        <w:t>field market in the absence of national accounts. In this method</w:t>
      </w:r>
      <w:r w:rsidR="00CB73E3" w:rsidRPr="00AD38E3">
        <w:rPr>
          <w:rFonts w:ascii="Times New Roman" w:eastAsia="Times New Roman" w:hAnsi="Times New Roman" w:cs="Times New Roman"/>
          <w:lang w:val="en-GB"/>
        </w:rPr>
        <w:t>,</w:t>
      </w:r>
      <w:r w:rsidRPr="00AD38E3">
        <w:rPr>
          <w:rFonts w:ascii="Times New Roman" w:eastAsia="Times New Roman" w:hAnsi="Times New Roman" w:cs="Times New Roman"/>
          <w:lang w:val="en-GB"/>
        </w:rPr>
        <w:t xml:space="preserve"> data can be collected from property advertisements, real estate agents’ websites</w:t>
      </w:r>
      <w:r w:rsidR="00471E50" w:rsidRPr="00AD38E3">
        <w:rPr>
          <w:rFonts w:ascii="Times New Roman" w:eastAsia="Times New Roman" w:hAnsi="Times New Roman" w:cs="Times New Roman"/>
          <w:lang w:val="en-GB"/>
        </w:rPr>
        <w:t>,</w:t>
      </w:r>
      <w:r w:rsidRPr="00AD38E3">
        <w:rPr>
          <w:rFonts w:ascii="Times New Roman" w:eastAsia="Times New Roman" w:hAnsi="Times New Roman" w:cs="Times New Roman"/>
          <w:lang w:val="en-GB"/>
        </w:rPr>
        <w:t xml:space="preserve"> </w:t>
      </w:r>
      <w:r w:rsidR="00471E50" w:rsidRPr="00AD38E3">
        <w:rPr>
          <w:rFonts w:ascii="Times New Roman" w:eastAsia="Times New Roman" w:hAnsi="Times New Roman" w:cs="Times New Roman"/>
          <w:lang w:val="en-GB"/>
        </w:rPr>
        <w:t>and</w:t>
      </w:r>
      <w:r w:rsidRPr="00AD38E3">
        <w:rPr>
          <w:rFonts w:ascii="Times New Roman" w:eastAsia="Times New Roman" w:hAnsi="Times New Roman" w:cs="Times New Roman"/>
          <w:lang w:val="en-GB"/>
        </w:rPr>
        <w:t xml:space="preserve"> surveys applied to a baseline approach of indexing housing prices. </w:t>
      </w:r>
    </w:p>
    <w:p w14:paraId="31A413C3" w14:textId="34EFCBDB" w:rsidR="001A682D" w:rsidRDefault="00CB73E3" w:rsidP="00CD4D79">
      <w:pPr>
        <w:spacing w:line="276" w:lineRule="auto"/>
        <w:jc w:val="both"/>
        <w:rPr>
          <w:rFonts w:ascii="Times New Roman" w:eastAsia="Times New Roman" w:hAnsi="Times New Roman" w:cs="Times New Roman"/>
          <w:lang w:val="en-GB"/>
        </w:rPr>
      </w:pPr>
      <w:r w:rsidRPr="00AD38E3">
        <w:rPr>
          <w:rFonts w:ascii="Times New Roman" w:eastAsia="Times New Roman" w:hAnsi="Times New Roman" w:cs="Times New Roman"/>
          <w:lang w:val="en-GB"/>
        </w:rPr>
        <w:t xml:space="preserve">Calculating a house price index using the Fall-Back Method is a two-stepped </w:t>
      </w:r>
      <w:r w:rsidR="00471E50" w:rsidRPr="00AD38E3">
        <w:rPr>
          <w:rFonts w:ascii="Times New Roman" w:eastAsia="Times New Roman" w:hAnsi="Times New Roman" w:cs="Times New Roman"/>
          <w:lang w:val="en-GB"/>
        </w:rPr>
        <w:t>approach. First</w:t>
      </w:r>
      <w:r w:rsidR="00EF0B0F" w:rsidRPr="00AD38E3">
        <w:rPr>
          <w:rFonts w:ascii="Times New Roman" w:eastAsia="Times New Roman" w:hAnsi="Times New Roman" w:cs="Times New Roman"/>
          <w:lang w:val="en-GB"/>
        </w:rPr>
        <w:t>, the average price per square metre</w:t>
      </w:r>
      <w:r w:rsidR="00EF0B0F" w:rsidRPr="00AD38E3">
        <w:rPr>
          <w:rFonts w:ascii="Calibri" w:eastAsia="Calibri" w:hAnsi="Calibri" w:cs="Calibri"/>
          <w:lang w:val="en-GB"/>
        </w:rPr>
        <w:t xml:space="preserve"> </w:t>
      </w:r>
      <w:r w:rsidR="00EF0B0F" w:rsidRPr="00AD38E3">
        <w:rPr>
          <w:rFonts w:ascii="Times New Roman" w:eastAsia="Times New Roman" w:hAnsi="Times New Roman" w:cs="Times New Roman"/>
          <w:lang w:val="en-GB"/>
        </w:rPr>
        <w:t>across several housing units is computed for a given geographical location. Second, an aggregate national-level price is calculated from the average price of housing units in each geographical location. As per Bricongne et al</w:t>
      </w:r>
      <w:r w:rsidRPr="00AD38E3">
        <w:rPr>
          <w:rFonts w:ascii="Times New Roman" w:eastAsia="Times New Roman" w:hAnsi="Times New Roman" w:cs="Times New Roman"/>
          <w:lang w:val="en-GB"/>
        </w:rPr>
        <w:t>.</w:t>
      </w:r>
      <w:r w:rsidR="00EF0B0F" w:rsidRPr="00AD38E3">
        <w:rPr>
          <w:rFonts w:ascii="Times New Roman" w:eastAsia="Times New Roman" w:hAnsi="Times New Roman" w:cs="Times New Roman"/>
          <w:lang w:val="en-GB"/>
        </w:rPr>
        <w:t xml:space="preserve"> </w:t>
      </w:r>
      <w:r w:rsidRPr="00AD38E3">
        <w:rPr>
          <w:rFonts w:ascii="Times New Roman" w:eastAsia="Times New Roman" w:hAnsi="Times New Roman" w:cs="Times New Roman"/>
          <w:lang w:val="en-GB"/>
        </w:rPr>
        <w:t>(</w:t>
      </w:r>
      <w:r w:rsidR="00EF0B0F" w:rsidRPr="00AD38E3">
        <w:rPr>
          <w:rFonts w:ascii="Times New Roman" w:eastAsia="Times New Roman" w:hAnsi="Times New Roman" w:cs="Times New Roman"/>
          <w:lang w:val="en-GB"/>
        </w:rPr>
        <w:t xml:space="preserve">2019), the </w:t>
      </w:r>
      <w:r w:rsidR="00EF0B0F" w:rsidRPr="00AD38E3">
        <w:rPr>
          <w:rFonts w:ascii="Times New Roman" w:eastAsia="Times New Roman" w:hAnsi="Times New Roman" w:cs="Times New Roman"/>
          <w:i/>
          <w:iCs/>
          <w:lang w:val="en-GB"/>
        </w:rPr>
        <w:t xml:space="preserve">Fall-Back Method </w:t>
      </w:r>
      <w:r w:rsidR="00EF0B0F" w:rsidRPr="00AD38E3">
        <w:rPr>
          <w:rFonts w:ascii="Times New Roman" w:eastAsia="Times New Roman" w:hAnsi="Times New Roman" w:cs="Times New Roman"/>
          <w:lang w:val="en-GB"/>
        </w:rPr>
        <w:t>depend</w:t>
      </w:r>
      <w:r w:rsidRPr="00AD38E3">
        <w:rPr>
          <w:rFonts w:ascii="Times New Roman" w:eastAsia="Times New Roman" w:hAnsi="Times New Roman" w:cs="Times New Roman"/>
          <w:lang w:val="en-GB"/>
        </w:rPr>
        <w:t>s</w:t>
      </w:r>
      <w:r w:rsidR="00EF0B0F" w:rsidRPr="00AD38E3">
        <w:rPr>
          <w:rFonts w:ascii="Times New Roman" w:eastAsia="Times New Roman" w:hAnsi="Times New Roman" w:cs="Times New Roman"/>
          <w:lang w:val="en-GB"/>
        </w:rPr>
        <w:t xml:space="preserve"> on the area of the housing units and their price </w:t>
      </w:r>
      <w:r w:rsidRPr="00AD38E3">
        <w:rPr>
          <w:rFonts w:ascii="Times New Roman" w:eastAsia="Times New Roman" w:hAnsi="Times New Roman" w:cs="Times New Roman"/>
          <w:lang w:val="en-GB"/>
        </w:rPr>
        <w:t>retrieved from property agents’ websites.</w:t>
      </w:r>
      <w:r w:rsidR="00EF0B0F" w:rsidRPr="00AD38E3">
        <w:rPr>
          <w:rFonts w:ascii="Times New Roman" w:eastAsia="Times New Roman" w:hAnsi="Times New Roman" w:cs="Times New Roman"/>
          <w:lang w:val="en-GB"/>
        </w:rPr>
        <w:t xml:space="preserve"> Nevertheless, this method </w:t>
      </w:r>
      <w:r w:rsidRPr="00AD38E3">
        <w:rPr>
          <w:rFonts w:ascii="Times New Roman" w:eastAsia="Times New Roman" w:hAnsi="Times New Roman" w:cs="Times New Roman"/>
          <w:lang w:val="en-GB"/>
        </w:rPr>
        <w:t>cannot</w:t>
      </w:r>
      <w:r w:rsidR="00EF0B0F" w:rsidRPr="00AD38E3">
        <w:rPr>
          <w:rFonts w:ascii="Times New Roman" w:eastAsia="Times New Roman" w:hAnsi="Times New Roman" w:cs="Times New Roman"/>
          <w:lang w:val="en-GB"/>
        </w:rPr>
        <w:t xml:space="preserve"> be applied in our research for several reasons</w:t>
      </w:r>
      <w:r w:rsidR="001A682D" w:rsidRPr="00AD38E3">
        <w:rPr>
          <w:rFonts w:ascii="Times New Roman" w:eastAsia="Times New Roman" w:hAnsi="Times New Roman" w:cs="Times New Roman"/>
          <w:lang w:val="en-GB"/>
        </w:rPr>
        <w:t>.</w:t>
      </w:r>
      <w:r w:rsidR="00EF0B0F" w:rsidRPr="00AD38E3">
        <w:rPr>
          <w:rFonts w:ascii="Times New Roman" w:eastAsia="Times New Roman" w:hAnsi="Times New Roman" w:cs="Times New Roman"/>
          <w:lang w:val="en-GB"/>
        </w:rPr>
        <w:t xml:space="preserve"> </w:t>
      </w:r>
      <w:r w:rsidR="001A682D" w:rsidRPr="00AD38E3">
        <w:rPr>
          <w:rFonts w:ascii="Times New Roman" w:eastAsia="Times New Roman" w:hAnsi="Times New Roman" w:cs="Times New Roman"/>
          <w:lang w:val="en-GB"/>
        </w:rPr>
        <w:t>F</w:t>
      </w:r>
      <w:r w:rsidR="00EF0B0F" w:rsidRPr="00AD38E3">
        <w:rPr>
          <w:rFonts w:ascii="Times New Roman" w:eastAsia="Times New Roman" w:hAnsi="Times New Roman" w:cs="Times New Roman"/>
          <w:lang w:val="en-GB"/>
        </w:rPr>
        <w:t xml:space="preserve">irstly, prices </w:t>
      </w:r>
      <w:r w:rsidR="00471E50" w:rsidRPr="00AD38E3">
        <w:rPr>
          <w:rFonts w:ascii="Times New Roman" w:eastAsia="Times New Roman" w:hAnsi="Times New Roman" w:cs="Times New Roman"/>
          <w:lang w:val="en-GB"/>
        </w:rPr>
        <w:t xml:space="preserve">published </w:t>
      </w:r>
      <w:r w:rsidR="00EF0B0F" w:rsidRPr="00AD38E3">
        <w:rPr>
          <w:rFonts w:ascii="Times New Roman" w:eastAsia="Times New Roman" w:hAnsi="Times New Roman" w:cs="Times New Roman"/>
          <w:lang w:val="en-GB"/>
        </w:rPr>
        <w:t xml:space="preserve">on </w:t>
      </w:r>
      <w:r w:rsidR="001A682D" w:rsidRPr="00AD38E3">
        <w:rPr>
          <w:rFonts w:ascii="Times New Roman" w:eastAsia="Times New Roman" w:hAnsi="Times New Roman" w:cs="Times New Roman"/>
          <w:lang w:val="en-GB"/>
        </w:rPr>
        <w:t xml:space="preserve">distinct </w:t>
      </w:r>
      <w:r w:rsidR="00EF0B0F" w:rsidRPr="00AD38E3">
        <w:rPr>
          <w:rFonts w:ascii="Times New Roman" w:eastAsia="Times New Roman" w:hAnsi="Times New Roman" w:cs="Times New Roman"/>
          <w:lang w:val="en-GB"/>
        </w:rPr>
        <w:t>real</w:t>
      </w:r>
      <w:r w:rsidR="001A682D" w:rsidRPr="00AD38E3">
        <w:rPr>
          <w:rFonts w:ascii="Times New Roman" w:eastAsia="Times New Roman" w:hAnsi="Times New Roman" w:cs="Times New Roman"/>
          <w:lang w:val="en-GB"/>
        </w:rPr>
        <w:t>-e</w:t>
      </w:r>
      <w:r w:rsidR="00EF0B0F" w:rsidRPr="00AD38E3">
        <w:rPr>
          <w:rFonts w:ascii="Times New Roman" w:eastAsia="Times New Roman" w:hAnsi="Times New Roman" w:cs="Times New Roman"/>
          <w:lang w:val="en-GB"/>
        </w:rPr>
        <w:t>state websites are considerably different and full of outliers. Although some websites</w:t>
      </w:r>
      <w:r w:rsidR="001A682D" w:rsidRPr="00AD38E3">
        <w:rPr>
          <w:rFonts w:ascii="Times New Roman" w:eastAsia="Times New Roman" w:hAnsi="Times New Roman" w:cs="Times New Roman"/>
          <w:lang w:val="en-GB"/>
        </w:rPr>
        <w:t xml:space="preserve"> –</w:t>
      </w:r>
      <w:r w:rsidR="00EF0B0F" w:rsidRPr="00AD38E3">
        <w:rPr>
          <w:rFonts w:ascii="Times New Roman" w:eastAsia="Times New Roman" w:hAnsi="Times New Roman" w:cs="Times New Roman"/>
          <w:lang w:val="en-GB"/>
        </w:rPr>
        <w:t xml:space="preserve"> such as Aqarmap</w:t>
      </w:r>
      <w:r w:rsidR="001A682D" w:rsidRPr="00AD38E3">
        <w:rPr>
          <w:rFonts w:ascii="Times New Roman" w:eastAsia="Times New Roman" w:hAnsi="Times New Roman" w:cs="Times New Roman"/>
          <w:lang w:val="en-GB"/>
        </w:rPr>
        <w:t xml:space="preserve"> – </w:t>
      </w:r>
      <w:r w:rsidR="00EF0B0F" w:rsidRPr="00AD38E3">
        <w:rPr>
          <w:rFonts w:ascii="Times New Roman" w:eastAsia="Times New Roman" w:hAnsi="Times New Roman" w:cs="Times New Roman"/>
          <w:lang w:val="en-GB"/>
        </w:rPr>
        <w:t xml:space="preserve">provide some price information and data, </w:t>
      </w:r>
      <w:r w:rsidR="001A682D" w:rsidRPr="00AD38E3">
        <w:rPr>
          <w:rFonts w:ascii="Times New Roman" w:eastAsia="Times New Roman" w:hAnsi="Times New Roman" w:cs="Times New Roman"/>
          <w:lang w:val="en-GB"/>
        </w:rPr>
        <w:t xml:space="preserve">they cannot be </w:t>
      </w:r>
      <w:r w:rsidR="00EF0B0F" w:rsidRPr="00AD38E3">
        <w:rPr>
          <w:rFonts w:ascii="Times New Roman" w:eastAsia="Times New Roman" w:hAnsi="Times New Roman" w:cs="Times New Roman"/>
          <w:lang w:val="en-GB"/>
        </w:rPr>
        <w:t>consider</w:t>
      </w:r>
      <w:r w:rsidR="001A682D" w:rsidRPr="00AD38E3">
        <w:rPr>
          <w:rFonts w:ascii="Times New Roman" w:eastAsia="Times New Roman" w:hAnsi="Times New Roman" w:cs="Times New Roman"/>
          <w:lang w:val="en-GB"/>
        </w:rPr>
        <w:t>ed</w:t>
      </w:r>
      <w:r w:rsidR="00EF0B0F" w:rsidRPr="00AD38E3">
        <w:rPr>
          <w:rFonts w:ascii="Times New Roman" w:eastAsia="Times New Roman" w:hAnsi="Times New Roman" w:cs="Times New Roman"/>
          <w:lang w:val="en-GB"/>
        </w:rPr>
        <w:t xml:space="preserve"> as reliable source</w:t>
      </w:r>
      <w:r w:rsidR="001A682D" w:rsidRPr="00AD38E3">
        <w:rPr>
          <w:rFonts w:ascii="Times New Roman" w:eastAsia="Times New Roman" w:hAnsi="Times New Roman" w:cs="Times New Roman"/>
          <w:lang w:val="en-GB"/>
        </w:rPr>
        <w:t>s</w:t>
      </w:r>
      <w:r w:rsidR="00EF0B0F" w:rsidRPr="00AD38E3">
        <w:rPr>
          <w:rFonts w:ascii="Times New Roman" w:eastAsia="Times New Roman" w:hAnsi="Times New Roman" w:cs="Times New Roman"/>
          <w:lang w:val="en-GB"/>
        </w:rPr>
        <w:t xml:space="preserve"> of information. Secondly, precise disaggregated data are not available on these websites or any other sources.</w:t>
      </w:r>
      <w:r w:rsidR="00CD4D79">
        <w:rPr>
          <w:rFonts w:ascii="Times New Roman" w:eastAsia="Times New Roman" w:hAnsi="Times New Roman" w:cs="Times New Roman"/>
          <w:lang w:val="en-GB"/>
        </w:rPr>
        <w:t xml:space="preserve"> Based on all the above and</w:t>
      </w:r>
      <w:r w:rsidR="00EF0B0F" w:rsidRPr="00CD4D79">
        <w:rPr>
          <w:rFonts w:ascii="Times New Roman" w:eastAsia="Times New Roman" w:hAnsi="Times New Roman" w:cs="Times New Roman"/>
          <w:lang w:val="en-GB"/>
        </w:rPr>
        <w:t xml:space="preserve">, after reviewing </w:t>
      </w:r>
      <w:r w:rsidR="001A682D" w:rsidRPr="00CD4D79">
        <w:rPr>
          <w:rFonts w:ascii="Times New Roman" w:eastAsia="Times New Roman" w:hAnsi="Times New Roman" w:cs="Times New Roman"/>
          <w:lang w:val="en-GB"/>
        </w:rPr>
        <w:t xml:space="preserve">the </w:t>
      </w:r>
      <w:r w:rsidR="00EF0B0F" w:rsidRPr="00CD4D79">
        <w:rPr>
          <w:rFonts w:ascii="Times New Roman" w:eastAsia="Times New Roman" w:hAnsi="Times New Roman" w:cs="Times New Roman"/>
          <w:lang w:val="en-GB"/>
        </w:rPr>
        <w:t xml:space="preserve">available methods in the </w:t>
      </w:r>
      <w:r w:rsidR="00A94713" w:rsidRPr="00CD4D79">
        <w:rPr>
          <w:rFonts w:ascii="Times New Roman" w:eastAsia="Times New Roman" w:hAnsi="Times New Roman" w:cs="Times New Roman"/>
          <w:lang w:val="en-GB"/>
        </w:rPr>
        <w:t>related</w:t>
      </w:r>
      <w:r w:rsidR="00EF0B0F" w:rsidRPr="00CD4D79">
        <w:rPr>
          <w:rFonts w:ascii="Times New Roman" w:eastAsia="Times New Roman" w:hAnsi="Times New Roman" w:cs="Times New Roman"/>
          <w:lang w:val="en-GB"/>
        </w:rPr>
        <w:t xml:space="preserve"> literature</w:t>
      </w:r>
      <w:r w:rsidR="001A682D" w:rsidRPr="00CD4D79">
        <w:rPr>
          <w:rFonts w:ascii="Times New Roman" w:eastAsia="Times New Roman" w:hAnsi="Times New Roman" w:cs="Times New Roman"/>
          <w:lang w:val="en-GB"/>
        </w:rPr>
        <w:t>,</w:t>
      </w:r>
      <w:r w:rsidR="00EF0B0F" w:rsidRPr="00CD4D79">
        <w:rPr>
          <w:rFonts w:ascii="Times New Roman" w:eastAsia="Times New Roman" w:hAnsi="Times New Roman" w:cs="Times New Roman"/>
          <w:lang w:val="en-GB"/>
        </w:rPr>
        <w:t xml:space="preserve"> </w:t>
      </w:r>
      <w:r w:rsidR="00CD4D79">
        <w:rPr>
          <w:rFonts w:ascii="Times New Roman" w:eastAsia="Times New Roman" w:hAnsi="Times New Roman" w:cs="Times New Roman"/>
          <w:lang w:val="en-GB"/>
        </w:rPr>
        <w:t>we conduct</w:t>
      </w:r>
      <w:r w:rsidR="00EF0B0F" w:rsidRPr="00CD4D79">
        <w:rPr>
          <w:rFonts w:ascii="Times New Roman" w:eastAsia="Times New Roman" w:hAnsi="Times New Roman" w:cs="Times New Roman"/>
          <w:lang w:val="en-GB"/>
        </w:rPr>
        <w:t xml:space="preserve"> a survey to collect all the needed data </w:t>
      </w:r>
      <w:r w:rsidR="001A682D" w:rsidRPr="00CD4D79">
        <w:rPr>
          <w:rFonts w:ascii="Times New Roman" w:eastAsia="Times New Roman" w:hAnsi="Times New Roman" w:cs="Times New Roman"/>
          <w:lang w:val="en-GB"/>
        </w:rPr>
        <w:t xml:space="preserve">and information </w:t>
      </w:r>
      <w:r w:rsidR="00EF0B0F" w:rsidRPr="00CD4D79">
        <w:rPr>
          <w:rFonts w:ascii="Times New Roman" w:eastAsia="Times New Roman" w:hAnsi="Times New Roman" w:cs="Times New Roman"/>
          <w:lang w:val="en-GB"/>
        </w:rPr>
        <w:t xml:space="preserve">from </w:t>
      </w:r>
      <w:r w:rsidR="001A682D" w:rsidRPr="00CD4D79">
        <w:rPr>
          <w:rFonts w:ascii="Times New Roman" w:eastAsia="Times New Roman" w:hAnsi="Times New Roman" w:cs="Times New Roman"/>
          <w:lang w:val="en-GB"/>
        </w:rPr>
        <w:t>their</w:t>
      </w:r>
      <w:r w:rsidR="00EF0B0F" w:rsidRPr="00CD4D79">
        <w:rPr>
          <w:rFonts w:ascii="Times New Roman" w:eastAsia="Times New Roman" w:hAnsi="Times New Roman" w:cs="Times New Roman"/>
          <w:lang w:val="en-GB"/>
        </w:rPr>
        <w:t xml:space="preserve"> primary sources</w:t>
      </w:r>
      <w:r w:rsidR="001A682D" w:rsidRPr="00CD4D79">
        <w:rPr>
          <w:rFonts w:ascii="Times New Roman" w:eastAsia="Times New Roman" w:hAnsi="Times New Roman" w:cs="Times New Roman"/>
          <w:lang w:val="en-GB"/>
        </w:rPr>
        <w:t>. These survey results are then used to construct an Egyptian Housing Price Index (EHPI) as explained in the following section.</w:t>
      </w:r>
    </w:p>
    <w:p w14:paraId="44D98288" w14:textId="758FFDAE" w:rsidR="00F41EDC" w:rsidRPr="00032DA6" w:rsidRDefault="00224497" w:rsidP="00DE108C">
      <w:pPr>
        <w:pStyle w:val="ListParagraph"/>
        <w:widowControl w:val="0"/>
        <w:numPr>
          <w:ilvl w:val="0"/>
          <w:numId w:val="42"/>
        </w:numPr>
        <w:tabs>
          <w:tab w:val="left" w:pos="1140"/>
          <w:tab w:val="left" w:pos="8800"/>
        </w:tabs>
        <w:spacing w:before="120" w:after="0" w:line="276" w:lineRule="auto"/>
        <w:ind w:right="216"/>
        <w:jc w:val="both"/>
        <w:rPr>
          <w:rFonts w:eastAsiaTheme="majorEastAsia" w:cstheme="majorBidi"/>
          <w:color w:val="2F5496" w:themeColor="accent1" w:themeShade="BF"/>
          <w:lang w:val="en-GB"/>
        </w:rPr>
      </w:pPr>
      <w:bookmarkStart w:id="31" w:name="_Toc91107877"/>
      <w:bookmarkStart w:id="32" w:name="_Toc91438043"/>
      <w:bookmarkEnd w:id="25"/>
      <w:r w:rsidRPr="00032DA6">
        <w:rPr>
          <w:rStyle w:val="Heading2Char"/>
          <w:lang w:val="en-GB"/>
        </w:rPr>
        <w:t xml:space="preserve">Empirical </w:t>
      </w:r>
      <w:r w:rsidR="001B3976" w:rsidRPr="00032DA6">
        <w:rPr>
          <w:rStyle w:val="Heading2Char"/>
          <w:lang w:val="en-GB"/>
        </w:rPr>
        <w:t>M</w:t>
      </w:r>
      <w:r w:rsidRPr="00032DA6">
        <w:rPr>
          <w:rStyle w:val="Heading2Char"/>
          <w:lang w:val="en-GB"/>
        </w:rPr>
        <w:t xml:space="preserve">odel to </w:t>
      </w:r>
      <w:r w:rsidR="001B3976" w:rsidRPr="00032DA6">
        <w:rPr>
          <w:rStyle w:val="Heading2Char"/>
          <w:lang w:val="en-GB"/>
        </w:rPr>
        <w:t>E</w:t>
      </w:r>
      <w:r w:rsidRPr="00032DA6">
        <w:rPr>
          <w:rStyle w:val="Heading2Char"/>
          <w:lang w:val="en-GB"/>
        </w:rPr>
        <w:t xml:space="preserve">xamine </w:t>
      </w:r>
      <w:r w:rsidR="00832166" w:rsidRPr="00032DA6">
        <w:rPr>
          <w:rStyle w:val="Heading2Char"/>
          <w:lang w:val="en-GB"/>
        </w:rPr>
        <w:t xml:space="preserve">the </w:t>
      </w:r>
      <w:r w:rsidR="001B3976" w:rsidRPr="00032DA6">
        <w:rPr>
          <w:rStyle w:val="Heading2Char"/>
          <w:lang w:val="en-GB"/>
        </w:rPr>
        <w:t>M</w:t>
      </w:r>
      <w:r w:rsidR="00832166" w:rsidRPr="00032DA6">
        <w:rPr>
          <w:rStyle w:val="Heading2Char"/>
          <w:lang w:val="en-GB"/>
        </w:rPr>
        <w:t>icro</w:t>
      </w:r>
      <w:r w:rsidR="00F41EDC" w:rsidRPr="00032DA6">
        <w:rPr>
          <w:rStyle w:val="Heading2Char"/>
          <w:lang w:val="en-GB"/>
        </w:rPr>
        <w:t xml:space="preserve"> </w:t>
      </w:r>
      <w:r w:rsidR="001B3976" w:rsidRPr="00032DA6">
        <w:rPr>
          <w:rStyle w:val="Heading2Char"/>
          <w:lang w:val="en-GB"/>
        </w:rPr>
        <w:t>D</w:t>
      </w:r>
      <w:r w:rsidR="00F41EDC" w:rsidRPr="00032DA6">
        <w:rPr>
          <w:rStyle w:val="Heading2Char"/>
          <w:lang w:val="en-GB"/>
        </w:rPr>
        <w:t>eterminants of</w:t>
      </w:r>
      <w:r w:rsidR="001B3976" w:rsidRPr="00032DA6">
        <w:rPr>
          <w:rStyle w:val="Heading2Char"/>
          <w:lang w:val="en-GB"/>
        </w:rPr>
        <w:t xml:space="preserve"> H</w:t>
      </w:r>
      <w:r w:rsidR="00F41EDC" w:rsidRPr="00032DA6">
        <w:rPr>
          <w:rStyle w:val="Heading2Char"/>
          <w:lang w:val="en-GB"/>
        </w:rPr>
        <w:t xml:space="preserve">ousing </w:t>
      </w:r>
      <w:r w:rsidR="001B3976" w:rsidRPr="00032DA6">
        <w:rPr>
          <w:rStyle w:val="Heading2Char"/>
          <w:lang w:val="en-GB"/>
        </w:rPr>
        <w:t>P</w:t>
      </w:r>
      <w:r w:rsidR="00F41EDC" w:rsidRPr="00032DA6">
        <w:rPr>
          <w:rStyle w:val="Heading2Char"/>
          <w:lang w:val="en-GB"/>
        </w:rPr>
        <w:t xml:space="preserve">rices in Egypt </w:t>
      </w:r>
      <w:r w:rsidR="000628FD" w:rsidRPr="00032DA6">
        <w:rPr>
          <w:rStyle w:val="Heading2Char"/>
          <w:lang w:val="en-GB"/>
        </w:rPr>
        <w:t xml:space="preserve">(Logit </w:t>
      </w:r>
      <w:r w:rsidR="001B3976" w:rsidRPr="00032DA6">
        <w:rPr>
          <w:rStyle w:val="Heading2Char"/>
          <w:lang w:val="en-GB"/>
        </w:rPr>
        <w:t>M</w:t>
      </w:r>
      <w:r w:rsidR="000628FD" w:rsidRPr="00032DA6">
        <w:rPr>
          <w:rStyle w:val="Heading2Char"/>
          <w:lang w:val="en-GB"/>
        </w:rPr>
        <w:t>odel)</w:t>
      </w:r>
      <w:bookmarkEnd w:id="31"/>
      <w:bookmarkEnd w:id="32"/>
    </w:p>
    <w:p w14:paraId="15DA2D0F" w14:textId="6C040C3E" w:rsidR="003208C0" w:rsidRPr="00032DA6" w:rsidRDefault="003631EA" w:rsidP="00DE108C">
      <w:pPr>
        <w:widowControl w:val="0"/>
        <w:tabs>
          <w:tab w:val="left" w:pos="1140"/>
          <w:tab w:val="left" w:pos="8800"/>
        </w:tabs>
        <w:spacing w:before="120" w:after="0" w:line="276" w:lineRule="auto"/>
        <w:ind w:right="216"/>
        <w:jc w:val="both"/>
        <w:rPr>
          <w:rStyle w:val="normaltextrun"/>
          <w:rFonts w:cstheme="majorBidi"/>
          <w:color w:val="FF0000"/>
          <w:lang w:val="en-GB"/>
        </w:rPr>
      </w:pPr>
      <w:r w:rsidRPr="003631EA">
        <w:rPr>
          <w:rFonts w:cstheme="majorBidi"/>
          <w:lang w:val="en-GB"/>
        </w:rPr>
        <w:t xml:space="preserve">To further investigate the determinants of housing prices in Egypt, an Ordinal Logistic Regression Model (OLM) was estimated based on the results of the field survey and the constructed housing price index. We use the </w:t>
      </w:r>
      <w:r w:rsidRPr="003631EA">
        <w:rPr>
          <w:rFonts w:cstheme="majorBidi"/>
          <w:i/>
          <w:iCs/>
          <w:lang w:val="en-GB"/>
        </w:rPr>
        <w:t xml:space="preserve">Proportional Odds Model </w:t>
      </w:r>
      <w:r w:rsidRPr="003631EA">
        <w:rPr>
          <w:rFonts w:cstheme="majorBidi"/>
          <w:lang w:val="en-GB"/>
        </w:rPr>
        <w:t xml:space="preserve">which is a form of the Ordinal Logistic Regression Model that we believe is the most relevant to the nature of the variables. This is particularly because most of the included variables are categorical in nature </w:t>
      </w:r>
      <w:r w:rsidRPr="003631EA">
        <w:rPr>
          <w:rFonts w:cstheme="majorBidi"/>
          <w:color w:val="222222"/>
          <w:sz w:val="24"/>
          <w:szCs w:val="24"/>
          <w:shd w:val="clear" w:color="auto" w:fill="FFFFFF"/>
        </w:rPr>
        <w:t>(Harrell, 2015; Warner, 2008; Parsons et al. 2009)</w:t>
      </w:r>
      <w:r w:rsidR="00511C67" w:rsidRPr="003631EA">
        <w:rPr>
          <w:rFonts w:cstheme="majorBidi"/>
          <w:lang w:val="en-GB"/>
        </w:rPr>
        <w:t>.</w:t>
      </w:r>
      <w:r w:rsidR="00511C67">
        <w:rPr>
          <w:rFonts w:cstheme="majorBidi"/>
          <w:lang w:val="en-GB"/>
        </w:rPr>
        <w:t xml:space="preserve"> More on the </w:t>
      </w:r>
      <w:r w:rsidR="002E3E98">
        <w:rPr>
          <w:rFonts w:cstheme="majorBidi"/>
          <w:lang w:val="en-GB"/>
        </w:rPr>
        <w:t>details, steps and results of the empirical model are presented in section VI.</w:t>
      </w:r>
    </w:p>
    <w:p w14:paraId="5482F780" w14:textId="3B9DF65D" w:rsidR="00D65CA5" w:rsidRPr="00032DA6" w:rsidRDefault="00D65CA5" w:rsidP="00DE108C">
      <w:pPr>
        <w:pStyle w:val="Heading1"/>
        <w:numPr>
          <w:ilvl w:val="0"/>
          <w:numId w:val="16"/>
        </w:numPr>
        <w:spacing w:line="276" w:lineRule="auto"/>
        <w:rPr>
          <w:lang w:val="en-GB"/>
        </w:rPr>
      </w:pPr>
      <w:bookmarkStart w:id="33" w:name="_Toc91107878"/>
      <w:bookmarkStart w:id="34" w:name="_Toc91438044"/>
      <w:r w:rsidRPr="00032DA6">
        <w:rPr>
          <w:lang w:val="en-GB"/>
        </w:rPr>
        <w:t xml:space="preserve">Survey </w:t>
      </w:r>
      <w:r w:rsidR="001B3976" w:rsidRPr="00032DA6">
        <w:rPr>
          <w:lang w:val="en-GB"/>
        </w:rPr>
        <w:t>R</w:t>
      </w:r>
      <w:r w:rsidRPr="00032DA6">
        <w:rPr>
          <w:lang w:val="en-GB"/>
        </w:rPr>
        <w:t>esults</w:t>
      </w:r>
      <w:r w:rsidR="00C250C7" w:rsidRPr="00032DA6">
        <w:rPr>
          <w:lang w:val="en-GB"/>
        </w:rPr>
        <w:t xml:space="preserve"> </w:t>
      </w:r>
      <w:r w:rsidRPr="00032DA6">
        <w:rPr>
          <w:lang w:val="en-GB"/>
        </w:rPr>
        <w:t xml:space="preserve">and </w:t>
      </w:r>
      <w:r w:rsidR="001B3976" w:rsidRPr="00032DA6">
        <w:rPr>
          <w:lang w:val="en-GB"/>
        </w:rPr>
        <w:t>De</w:t>
      </w:r>
      <w:r w:rsidRPr="00032DA6">
        <w:rPr>
          <w:lang w:val="en-GB"/>
        </w:rPr>
        <w:t xml:space="preserve">scriptive </w:t>
      </w:r>
      <w:r w:rsidR="001B3976" w:rsidRPr="00032DA6">
        <w:rPr>
          <w:lang w:val="en-GB"/>
        </w:rPr>
        <w:t>A</w:t>
      </w:r>
      <w:r w:rsidRPr="00032DA6">
        <w:rPr>
          <w:lang w:val="en-GB"/>
        </w:rPr>
        <w:t>nalysis</w:t>
      </w:r>
      <w:bookmarkEnd w:id="33"/>
      <w:bookmarkEnd w:id="34"/>
      <w:r w:rsidR="00832166" w:rsidRPr="00032DA6">
        <w:rPr>
          <w:lang w:val="en-GB"/>
        </w:rPr>
        <w:t xml:space="preserve"> </w:t>
      </w:r>
    </w:p>
    <w:p w14:paraId="55D5E6B1" w14:textId="7F51A252" w:rsidR="00155284" w:rsidRPr="00EA7D56" w:rsidRDefault="00EE69B0" w:rsidP="00EA7D56">
      <w:pPr>
        <w:spacing w:line="276" w:lineRule="auto"/>
        <w:ind w:firstLine="340"/>
        <w:jc w:val="both"/>
        <w:rPr>
          <w:lang w:val="en-GB"/>
        </w:rPr>
      </w:pPr>
      <w:r w:rsidRPr="00032DA6">
        <w:rPr>
          <w:rFonts w:cstheme="majorBidi"/>
          <w:lang w:val="en-GB"/>
        </w:rPr>
        <w:t xml:space="preserve">In this section, we present the results of the two </w:t>
      </w:r>
      <w:r w:rsidR="00111B1E" w:rsidRPr="00032DA6">
        <w:rPr>
          <w:rFonts w:cstheme="majorBidi"/>
          <w:lang w:val="en-GB"/>
        </w:rPr>
        <w:t>surveys</w:t>
      </w:r>
      <w:r w:rsidRPr="00032DA6">
        <w:rPr>
          <w:rFonts w:cstheme="majorBidi"/>
          <w:lang w:val="en-GB"/>
        </w:rPr>
        <w:t xml:space="preserve"> done on a sample of household homebuyers and sellers as well as a sample of </w:t>
      </w:r>
      <w:r w:rsidR="00111B1E" w:rsidRPr="00032DA6">
        <w:rPr>
          <w:rFonts w:cstheme="majorBidi"/>
          <w:lang w:val="en-GB"/>
        </w:rPr>
        <w:t xml:space="preserve">surveyed </w:t>
      </w:r>
      <w:r w:rsidR="003E4DE3" w:rsidRPr="00032DA6">
        <w:rPr>
          <w:rFonts w:cstheme="majorBidi"/>
          <w:lang w:val="en-GB"/>
        </w:rPr>
        <w:t>Developers and Brokers</w:t>
      </w:r>
      <w:r w:rsidR="00111B1E" w:rsidRPr="00032DA6">
        <w:rPr>
          <w:rFonts w:cstheme="majorBidi"/>
          <w:lang w:val="en-GB"/>
        </w:rPr>
        <w:t>. Results are presented and analysed as compared to literature. This descriptive analysis lay</w:t>
      </w:r>
      <w:r w:rsidR="00317FAB">
        <w:rPr>
          <w:rFonts w:cstheme="majorBidi"/>
          <w:lang w:val="en-GB"/>
        </w:rPr>
        <w:t>s</w:t>
      </w:r>
      <w:r w:rsidR="00111B1E" w:rsidRPr="00032DA6">
        <w:rPr>
          <w:rFonts w:cstheme="majorBidi"/>
          <w:lang w:val="en-GB"/>
        </w:rPr>
        <w:t xml:space="preserve"> a foundation for the empirical model results that will be presented in the next section</w:t>
      </w:r>
      <w:r w:rsidR="00111B1E" w:rsidRPr="00032DA6">
        <w:rPr>
          <w:lang w:val="en-GB"/>
        </w:rPr>
        <w:t xml:space="preserve">. </w:t>
      </w:r>
      <w:r w:rsidR="00EA7D56">
        <w:rPr>
          <w:lang w:val="en-GB"/>
        </w:rPr>
        <w:t xml:space="preserve">The sample socio-demographic and socioeconomic characteristics are presented </w:t>
      </w:r>
      <w:r w:rsidR="000F5E2C">
        <w:rPr>
          <w:lang w:val="en-GB"/>
        </w:rPr>
        <w:t xml:space="preserve">in Annex. </w:t>
      </w:r>
    </w:p>
    <w:p w14:paraId="02B06DA7" w14:textId="480ECD39" w:rsidR="00F12B0F" w:rsidRPr="00032DA6" w:rsidRDefault="00155284" w:rsidP="00DE108C">
      <w:pPr>
        <w:pStyle w:val="Heading2"/>
        <w:numPr>
          <w:ilvl w:val="0"/>
          <w:numId w:val="23"/>
        </w:numPr>
        <w:spacing w:line="276" w:lineRule="auto"/>
        <w:rPr>
          <w:lang w:val="en-GB"/>
        </w:rPr>
      </w:pPr>
      <w:bookmarkStart w:id="35" w:name="_Toc91107880"/>
      <w:bookmarkStart w:id="36" w:name="_Toc91438045"/>
      <w:r w:rsidRPr="00032DA6">
        <w:rPr>
          <w:lang w:val="en-GB"/>
        </w:rPr>
        <w:t>Macroeconomic Fundamentals</w:t>
      </w:r>
      <w:bookmarkEnd w:id="35"/>
      <w:bookmarkEnd w:id="36"/>
    </w:p>
    <w:p w14:paraId="743A62D9" w14:textId="35C4E079" w:rsidR="002F7968" w:rsidRPr="00032DA6" w:rsidRDefault="002F7968" w:rsidP="00DE108C">
      <w:pPr>
        <w:tabs>
          <w:tab w:val="left" w:pos="1710"/>
        </w:tabs>
        <w:spacing w:line="276" w:lineRule="auto"/>
        <w:jc w:val="both"/>
        <w:rPr>
          <w:rFonts w:cstheme="majorBidi"/>
          <w:lang w:val="en-GB"/>
        </w:rPr>
      </w:pPr>
      <w:r w:rsidRPr="00032DA6">
        <w:rPr>
          <w:rFonts w:cstheme="majorBidi"/>
          <w:lang w:val="en-GB"/>
        </w:rPr>
        <w:t>As shown in the table (</w:t>
      </w:r>
      <w:r w:rsidR="00064D91">
        <w:rPr>
          <w:rFonts w:cstheme="majorBidi"/>
          <w:lang w:val="en-GB"/>
        </w:rPr>
        <w:t>2</w:t>
      </w:r>
      <w:r w:rsidRPr="00032DA6">
        <w:rPr>
          <w:rFonts w:cstheme="majorBidi"/>
          <w:lang w:val="en-GB"/>
        </w:rPr>
        <w:t>), respondents from both the household and developers &amp;</w:t>
      </w:r>
      <w:r w:rsidR="35DFCBE9" w:rsidRPr="5F90E9C2">
        <w:rPr>
          <w:rFonts w:cstheme="majorBidi"/>
          <w:lang w:val="en-GB"/>
        </w:rPr>
        <w:t xml:space="preserve"> </w:t>
      </w:r>
      <w:r w:rsidRPr="00032DA6">
        <w:rPr>
          <w:rFonts w:cstheme="majorBidi"/>
          <w:lang w:val="en-GB"/>
        </w:rPr>
        <w:t xml:space="preserve">brokers surveys perceive inflation as a key factor that has significantly affected housing prices in Egypt over the past five years. Findings also indicate that the cost of living, also influenced by inflation, represented a key challenge for housing sales in Egypt during 2020 (table </w:t>
      </w:r>
      <w:r w:rsidR="00064D91">
        <w:rPr>
          <w:rFonts w:cstheme="majorBidi"/>
          <w:lang w:val="en-GB"/>
        </w:rPr>
        <w:t>3</w:t>
      </w:r>
      <w:r w:rsidRPr="00032DA6">
        <w:rPr>
          <w:rFonts w:cstheme="majorBidi"/>
          <w:lang w:val="en-GB"/>
        </w:rPr>
        <w:t xml:space="preserve">). Furthermore, respondents from the real-estate developers’ </w:t>
      </w:r>
      <w:r w:rsidR="0090412E" w:rsidRPr="00032DA6">
        <w:rPr>
          <w:rFonts w:cstheme="majorBidi"/>
          <w:lang w:val="en-GB"/>
        </w:rPr>
        <w:t xml:space="preserve">and brokers’ </w:t>
      </w:r>
      <w:r w:rsidRPr="00032DA6">
        <w:rPr>
          <w:rFonts w:cstheme="majorBidi"/>
          <w:lang w:val="en-GB"/>
        </w:rPr>
        <w:t xml:space="preserve">survey affirmed the negative impact of both the exchange rate misalignments that followed the 2016 IMF-supported reform programme and the resulting devaluation of the EGP as well as the COVID-19 crisis (table </w:t>
      </w:r>
      <w:r w:rsidR="00064D91">
        <w:rPr>
          <w:rFonts w:cstheme="majorBidi"/>
          <w:lang w:val="en-GB"/>
        </w:rPr>
        <w:t>4</w:t>
      </w:r>
      <w:r w:rsidRPr="00032DA6">
        <w:rPr>
          <w:rFonts w:cstheme="majorBidi"/>
          <w:lang w:val="en-GB"/>
        </w:rPr>
        <w:t xml:space="preserve">). This supports </w:t>
      </w:r>
      <w:r w:rsidRPr="00032DA6">
        <w:rPr>
          <w:rFonts w:cstheme="majorBidi"/>
          <w:shd w:val="clear" w:color="auto" w:fill="FFFFFF"/>
          <w:lang w:val="en-GB"/>
        </w:rPr>
        <w:t>Zhang et al</w:t>
      </w:r>
      <w:r w:rsidR="009019EE" w:rsidRPr="00032DA6">
        <w:rPr>
          <w:rFonts w:cstheme="majorBidi"/>
          <w:shd w:val="clear" w:color="auto" w:fill="FFFFFF"/>
          <w:lang w:val="en-GB"/>
        </w:rPr>
        <w:t>.</w:t>
      </w:r>
      <w:r w:rsidRPr="00032DA6">
        <w:rPr>
          <w:rFonts w:cstheme="majorBidi"/>
          <w:shd w:val="clear" w:color="auto" w:fill="FFFFFF"/>
          <w:lang w:val="en-GB"/>
        </w:rPr>
        <w:t xml:space="preserve"> (2012) findings that </w:t>
      </w:r>
      <w:bookmarkStart w:id="37" w:name="_Hlk91327100"/>
      <w:r w:rsidRPr="00032DA6">
        <w:rPr>
          <w:rFonts w:cstheme="majorBidi"/>
          <w:shd w:val="clear" w:color="auto" w:fill="FFFFFF"/>
          <w:lang w:val="en-GB"/>
        </w:rPr>
        <w:t>monetary and price variables, including the real effective exchange rate, have a substantial impact on housing prices.</w:t>
      </w:r>
    </w:p>
    <w:tbl>
      <w:tblPr>
        <w:tblStyle w:val="GridTable5Dark-Accent3"/>
        <w:tblpPr w:leftFromText="180" w:rightFromText="180" w:vertAnchor="text" w:horzAnchor="margin" w:tblpY="281"/>
        <w:tblW w:w="9045" w:type="dxa"/>
        <w:tblLook w:val="04A0" w:firstRow="1" w:lastRow="0" w:firstColumn="1" w:lastColumn="0" w:noHBand="0" w:noVBand="1"/>
      </w:tblPr>
      <w:tblGrid>
        <w:gridCol w:w="1671"/>
        <w:gridCol w:w="1128"/>
        <w:gridCol w:w="1256"/>
        <w:gridCol w:w="1193"/>
        <w:gridCol w:w="1217"/>
        <w:gridCol w:w="1325"/>
        <w:gridCol w:w="1255"/>
      </w:tblGrid>
      <w:tr w:rsidR="00766B47" w:rsidRPr="00032DA6" w14:paraId="36CA9E34" w14:textId="77777777" w:rsidTr="00766B47">
        <w:trPr>
          <w:cnfStyle w:val="100000000000" w:firstRow="1" w:lastRow="0" w:firstColumn="0" w:lastColumn="0" w:oddVBand="0" w:evenVBand="0" w:oddHBand="0"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1671" w:type="dxa"/>
            <w:hideMark/>
          </w:tcPr>
          <w:bookmarkEnd w:id="37"/>
          <w:p w14:paraId="24B9AC39" w14:textId="77777777" w:rsidR="00766B47" w:rsidRPr="00032DA6" w:rsidRDefault="00766B47" w:rsidP="00DE108C">
            <w:pPr>
              <w:spacing w:line="276" w:lineRule="auto"/>
              <w:rPr>
                <w:rFonts w:eastAsia="Times New Roman" w:cstheme="majorBidi"/>
                <w:color w:val="000000"/>
                <w:sz w:val="20"/>
                <w:szCs w:val="20"/>
                <w:lang w:val="en-GB"/>
              </w:rPr>
            </w:pPr>
            <w:r w:rsidRPr="00032DA6">
              <w:rPr>
                <w:rFonts w:eastAsia="Times New Roman" w:cstheme="majorBidi"/>
                <w:color w:val="000000"/>
                <w:sz w:val="20"/>
                <w:szCs w:val="20"/>
                <w:lang w:val="en-GB"/>
              </w:rPr>
              <w:t> </w:t>
            </w:r>
          </w:p>
        </w:tc>
        <w:tc>
          <w:tcPr>
            <w:tcW w:w="2384" w:type="dxa"/>
            <w:gridSpan w:val="2"/>
            <w:hideMark/>
          </w:tcPr>
          <w:p w14:paraId="0210D217" w14:textId="77777777" w:rsidR="00766B47" w:rsidRPr="00032DA6" w:rsidRDefault="00766B47" w:rsidP="00DE108C">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ajorBidi"/>
                <w:color w:val="000000"/>
                <w:sz w:val="20"/>
                <w:szCs w:val="20"/>
                <w:lang w:val="en-GB"/>
              </w:rPr>
            </w:pPr>
            <w:r w:rsidRPr="00032DA6">
              <w:rPr>
                <w:rFonts w:eastAsia="Times New Roman" w:cstheme="majorBidi"/>
                <w:color w:val="000000"/>
                <w:sz w:val="20"/>
                <w:szCs w:val="20"/>
                <w:lang w:val="en-GB"/>
              </w:rPr>
              <w:t>Land Costs, Construction, and Licenses</w:t>
            </w:r>
          </w:p>
        </w:tc>
        <w:tc>
          <w:tcPr>
            <w:tcW w:w="2410" w:type="dxa"/>
            <w:gridSpan w:val="2"/>
            <w:hideMark/>
          </w:tcPr>
          <w:p w14:paraId="5A58657D" w14:textId="77777777" w:rsidR="00766B47" w:rsidRPr="00032DA6" w:rsidRDefault="00766B47" w:rsidP="00DE108C">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ajorBidi"/>
                <w:color w:val="000000"/>
                <w:sz w:val="20"/>
                <w:szCs w:val="20"/>
                <w:lang w:val="en-GB"/>
              </w:rPr>
            </w:pPr>
            <w:r w:rsidRPr="00032DA6">
              <w:rPr>
                <w:rFonts w:eastAsia="Times New Roman" w:cstheme="majorBidi"/>
                <w:color w:val="000000"/>
                <w:sz w:val="20"/>
                <w:szCs w:val="20"/>
                <w:lang w:val="en-GB"/>
              </w:rPr>
              <w:t>Inflation</w:t>
            </w:r>
          </w:p>
        </w:tc>
        <w:tc>
          <w:tcPr>
            <w:tcW w:w="2580" w:type="dxa"/>
            <w:gridSpan w:val="2"/>
            <w:hideMark/>
          </w:tcPr>
          <w:p w14:paraId="0C3A61E7" w14:textId="77777777" w:rsidR="00766B47" w:rsidRPr="00032DA6" w:rsidRDefault="00766B47" w:rsidP="00DE108C">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ajorBidi"/>
                <w:color w:val="000000"/>
                <w:sz w:val="20"/>
                <w:szCs w:val="20"/>
                <w:lang w:val="en-GB"/>
              </w:rPr>
            </w:pPr>
            <w:r w:rsidRPr="00032DA6">
              <w:rPr>
                <w:rFonts w:eastAsia="Times New Roman" w:cstheme="majorBidi"/>
                <w:color w:val="000000"/>
                <w:sz w:val="20"/>
                <w:szCs w:val="20"/>
                <w:lang w:val="en-GB"/>
              </w:rPr>
              <w:t>State Projects and New Cities</w:t>
            </w:r>
          </w:p>
        </w:tc>
      </w:tr>
      <w:tr w:rsidR="00766B47" w:rsidRPr="00032DA6" w14:paraId="157E1838" w14:textId="77777777" w:rsidTr="00766B47">
        <w:trPr>
          <w:cnfStyle w:val="000000100000" w:firstRow="0" w:lastRow="0" w:firstColumn="0" w:lastColumn="0" w:oddVBand="0" w:evenVBand="0" w:oddHBand="1"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1671" w:type="dxa"/>
            <w:hideMark/>
          </w:tcPr>
          <w:p w14:paraId="16240F14" w14:textId="77777777" w:rsidR="00766B47" w:rsidRPr="00032DA6" w:rsidRDefault="00766B47" w:rsidP="00DE108C">
            <w:pPr>
              <w:spacing w:line="276" w:lineRule="auto"/>
              <w:rPr>
                <w:rFonts w:eastAsia="Times New Roman" w:cstheme="majorBidi"/>
                <w:color w:val="000000"/>
                <w:sz w:val="20"/>
                <w:szCs w:val="20"/>
                <w:lang w:val="en-GB"/>
              </w:rPr>
            </w:pPr>
            <w:r w:rsidRPr="00032DA6">
              <w:rPr>
                <w:rFonts w:eastAsia="Times New Roman" w:cstheme="majorBidi"/>
                <w:color w:val="000000"/>
                <w:sz w:val="20"/>
                <w:szCs w:val="20"/>
                <w:lang w:val="en-GB"/>
              </w:rPr>
              <w:t> </w:t>
            </w:r>
          </w:p>
        </w:tc>
        <w:tc>
          <w:tcPr>
            <w:tcW w:w="1128" w:type="dxa"/>
            <w:hideMark/>
          </w:tcPr>
          <w:p w14:paraId="0063321C" w14:textId="77777777" w:rsidR="00766B47" w:rsidRPr="00032DA6" w:rsidRDefault="00766B47"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b/>
                <w:bCs/>
                <w:color w:val="000000"/>
                <w:sz w:val="20"/>
                <w:szCs w:val="20"/>
                <w:lang w:val="en-GB"/>
              </w:rPr>
            </w:pPr>
            <w:r w:rsidRPr="00032DA6">
              <w:rPr>
                <w:rFonts w:eastAsia="Times New Roman" w:cstheme="majorBidi"/>
                <w:b/>
                <w:bCs/>
                <w:color w:val="000000"/>
                <w:sz w:val="20"/>
                <w:szCs w:val="20"/>
                <w:lang w:val="en-GB"/>
              </w:rPr>
              <w:t>Household Survey</w:t>
            </w:r>
          </w:p>
        </w:tc>
        <w:tc>
          <w:tcPr>
            <w:tcW w:w="1256" w:type="dxa"/>
            <w:hideMark/>
          </w:tcPr>
          <w:p w14:paraId="7886065A" w14:textId="77777777" w:rsidR="00766B47" w:rsidRPr="00032DA6" w:rsidRDefault="00766B47"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b/>
                <w:bCs/>
                <w:color w:val="000000"/>
                <w:sz w:val="20"/>
                <w:szCs w:val="20"/>
                <w:lang w:val="en-GB"/>
              </w:rPr>
            </w:pPr>
            <w:r w:rsidRPr="00032DA6">
              <w:rPr>
                <w:rFonts w:eastAsia="Times New Roman" w:cstheme="majorBidi"/>
                <w:b/>
                <w:bCs/>
                <w:color w:val="000000"/>
                <w:sz w:val="20"/>
                <w:szCs w:val="20"/>
                <w:lang w:val="en-GB"/>
              </w:rPr>
              <w:t>Real-Estate Developers Survey</w:t>
            </w:r>
          </w:p>
        </w:tc>
        <w:tc>
          <w:tcPr>
            <w:tcW w:w="1193" w:type="dxa"/>
            <w:hideMark/>
          </w:tcPr>
          <w:p w14:paraId="48AEB504" w14:textId="77777777" w:rsidR="00766B47" w:rsidRPr="00032DA6" w:rsidRDefault="00766B47"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b/>
                <w:bCs/>
                <w:color w:val="000000"/>
                <w:sz w:val="20"/>
                <w:szCs w:val="20"/>
                <w:lang w:val="en-GB"/>
              </w:rPr>
            </w:pPr>
            <w:r w:rsidRPr="00032DA6">
              <w:rPr>
                <w:rFonts w:eastAsia="Times New Roman" w:cstheme="majorBidi"/>
                <w:b/>
                <w:bCs/>
                <w:color w:val="000000"/>
                <w:sz w:val="20"/>
                <w:szCs w:val="20"/>
                <w:lang w:val="en-GB"/>
              </w:rPr>
              <w:t>Household Survey</w:t>
            </w:r>
          </w:p>
        </w:tc>
        <w:tc>
          <w:tcPr>
            <w:tcW w:w="1217" w:type="dxa"/>
            <w:hideMark/>
          </w:tcPr>
          <w:p w14:paraId="71632827" w14:textId="77777777" w:rsidR="00766B47" w:rsidRPr="00032DA6" w:rsidRDefault="00766B47"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b/>
                <w:bCs/>
                <w:color w:val="000000"/>
                <w:sz w:val="20"/>
                <w:szCs w:val="20"/>
                <w:lang w:val="en-GB"/>
              </w:rPr>
            </w:pPr>
            <w:r w:rsidRPr="00032DA6">
              <w:rPr>
                <w:rFonts w:eastAsia="Times New Roman" w:cstheme="majorBidi"/>
                <w:b/>
                <w:bCs/>
                <w:color w:val="000000"/>
                <w:sz w:val="20"/>
                <w:szCs w:val="20"/>
                <w:lang w:val="en-GB"/>
              </w:rPr>
              <w:t>Real-Estate Developers Survey</w:t>
            </w:r>
          </w:p>
        </w:tc>
        <w:tc>
          <w:tcPr>
            <w:tcW w:w="1325" w:type="dxa"/>
            <w:hideMark/>
          </w:tcPr>
          <w:p w14:paraId="040847DF" w14:textId="77777777" w:rsidR="00766B47" w:rsidRPr="00032DA6" w:rsidRDefault="00766B47"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b/>
                <w:bCs/>
                <w:color w:val="000000"/>
                <w:sz w:val="20"/>
                <w:szCs w:val="20"/>
                <w:lang w:val="en-GB"/>
              </w:rPr>
            </w:pPr>
            <w:r w:rsidRPr="00032DA6">
              <w:rPr>
                <w:rFonts w:eastAsia="Times New Roman" w:cstheme="majorBidi"/>
                <w:b/>
                <w:bCs/>
                <w:color w:val="000000"/>
                <w:sz w:val="20"/>
                <w:szCs w:val="20"/>
                <w:lang w:val="en-GB"/>
              </w:rPr>
              <w:t>Household Survey</w:t>
            </w:r>
          </w:p>
        </w:tc>
        <w:tc>
          <w:tcPr>
            <w:tcW w:w="1255" w:type="dxa"/>
            <w:hideMark/>
          </w:tcPr>
          <w:p w14:paraId="4CB9F879" w14:textId="77777777" w:rsidR="00766B47" w:rsidRPr="00032DA6" w:rsidRDefault="00766B47"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b/>
                <w:bCs/>
                <w:color w:val="000000"/>
                <w:sz w:val="20"/>
                <w:szCs w:val="20"/>
                <w:lang w:val="en-GB"/>
              </w:rPr>
            </w:pPr>
            <w:r w:rsidRPr="00032DA6">
              <w:rPr>
                <w:rFonts w:eastAsia="Times New Roman" w:cstheme="majorBidi"/>
                <w:b/>
                <w:bCs/>
                <w:color w:val="000000"/>
                <w:sz w:val="20"/>
                <w:szCs w:val="20"/>
                <w:lang w:val="en-GB"/>
              </w:rPr>
              <w:t>Real-Estate Developers Survey</w:t>
            </w:r>
          </w:p>
        </w:tc>
      </w:tr>
      <w:tr w:rsidR="00766B47" w:rsidRPr="00032DA6" w14:paraId="698BF8F1" w14:textId="77777777" w:rsidTr="00766B47">
        <w:trPr>
          <w:trHeight w:val="298"/>
        </w:trPr>
        <w:tc>
          <w:tcPr>
            <w:cnfStyle w:val="001000000000" w:firstRow="0" w:lastRow="0" w:firstColumn="1" w:lastColumn="0" w:oddVBand="0" w:evenVBand="0" w:oddHBand="0" w:evenHBand="0" w:firstRowFirstColumn="0" w:firstRowLastColumn="0" w:lastRowFirstColumn="0" w:lastRowLastColumn="0"/>
            <w:tcW w:w="1671" w:type="dxa"/>
            <w:hideMark/>
          </w:tcPr>
          <w:p w14:paraId="2173E327" w14:textId="77777777" w:rsidR="00766B47" w:rsidRPr="00032DA6" w:rsidRDefault="00766B47" w:rsidP="00DE108C">
            <w:pPr>
              <w:spacing w:line="276" w:lineRule="auto"/>
              <w:jc w:val="center"/>
              <w:rPr>
                <w:rFonts w:eastAsia="Times New Roman" w:cstheme="majorBidi"/>
                <w:b w:val="0"/>
                <w:bCs w:val="0"/>
                <w:color w:val="000000"/>
                <w:sz w:val="20"/>
                <w:szCs w:val="20"/>
                <w:lang w:val="en-GB"/>
              </w:rPr>
            </w:pPr>
            <w:r w:rsidRPr="00032DA6">
              <w:rPr>
                <w:rFonts w:eastAsia="Times New Roman" w:cstheme="majorBidi"/>
                <w:color w:val="000000"/>
                <w:sz w:val="20"/>
                <w:szCs w:val="20"/>
                <w:lang w:val="en-GB"/>
              </w:rPr>
              <w:t>No Effect</w:t>
            </w:r>
          </w:p>
        </w:tc>
        <w:tc>
          <w:tcPr>
            <w:tcW w:w="1128" w:type="dxa"/>
            <w:hideMark/>
          </w:tcPr>
          <w:p w14:paraId="75DE1B98" w14:textId="77777777" w:rsidR="00766B47" w:rsidRPr="00032DA6" w:rsidRDefault="00766B47"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20"/>
                <w:szCs w:val="20"/>
                <w:lang w:val="en-GB"/>
              </w:rPr>
            </w:pPr>
            <w:r w:rsidRPr="00032DA6">
              <w:rPr>
                <w:rFonts w:eastAsia="Times New Roman" w:cstheme="majorBidi"/>
                <w:color w:val="000000"/>
                <w:sz w:val="20"/>
                <w:szCs w:val="20"/>
                <w:lang w:val="en-GB"/>
              </w:rPr>
              <w:t>10.9</w:t>
            </w:r>
          </w:p>
        </w:tc>
        <w:tc>
          <w:tcPr>
            <w:tcW w:w="1256" w:type="dxa"/>
            <w:hideMark/>
          </w:tcPr>
          <w:p w14:paraId="64D57A8C" w14:textId="77777777" w:rsidR="00766B47" w:rsidRPr="00032DA6" w:rsidRDefault="00766B47"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20"/>
                <w:szCs w:val="20"/>
                <w:lang w:val="en-GB"/>
              </w:rPr>
            </w:pPr>
            <w:r w:rsidRPr="00032DA6">
              <w:rPr>
                <w:rFonts w:eastAsia="Times New Roman" w:cstheme="majorBidi"/>
                <w:color w:val="000000"/>
                <w:sz w:val="20"/>
                <w:szCs w:val="20"/>
                <w:lang w:val="en-GB"/>
              </w:rPr>
              <w:t>2.9</w:t>
            </w:r>
          </w:p>
        </w:tc>
        <w:tc>
          <w:tcPr>
            <w:tcW w:w="1193" w:type="dxa"/>
            <w:hideMark/>
          </w:tcPr>
          <w:p w14:paraId="6CCB2F17" w14:textId="77777777" w:rsidR="00766B47" w:rsidRPr="00032DA6" w:rsidRDefault="00766B47"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20"/>
                <w:szCs w:val="20"/>
                <w:lang w:val="en-GB"/>
              </w:rPr>
            </w:pPr>
            <w:r w:rsidRPr="00032DA6">
              <w:rPr>
                <w:rFonts w:eastAsia="Times New Roman" w:cstheme="majorBidi"/>
                <w:color w:val="000000"/>
                <w:sz w:val="20"/>
                <w:szCs w:val="20"/>
                <w:lang w:val="en-GB"/>
              </w:rPr>
              <w:t>3.7</w:t>
            </w:r>
          </w:p>
        </w:tc>
        <w:tc>
          <w:tcPr>
            <w:tcW w:w="1217" w:type="dxa"/>
            <w:hideMark/>
          </w:tcPr>
          <w:p w14:paraId="49DA6437" w14:textId="77777777" w:rsidR="00766B47" w:rsidRPr="00032DA6" w:rsidRDefault="00766B47"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20"/>
                <w:szCs w:val="20"/>
                <w:lang w:val="en-GB"/>
              </w:rPr>
            </w:pPr>
            <w:r w:rsidRPr="00032DA6">
              <w:rPr>
                <w:rFonts w:eastAsia="Times New Roman" w:cstheme="majorBidi"/>
                <w:color w:val="000000"/>
                <w:sz w:val="20"/>
                <w:szCs w:val="20"/>
                <w:lang w:val="en-GB"/>
              </w:rPr>
              <w:t>5.1</w:t>
            </w:r>
          </w:p>
        </w:tc>
        <w:tc>
          <w:tcPr>
            <w:tcW w:w="1325" w:type="dxa"/>
            <w:hideMark/>
          </w:tcPr>
          <w:p w14:paraId="5A436A52" w14:textId="77777777" w:rsidR="00766B47" w:rsidRPr="00032DA6" w:rsidRDefault="00766B47"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20"/>
                <w:szCs w:val="20"/>
                <w:lang w:val="en-GB"/>
              </w:rPr>
            </w:pPr>
            <w:r w:rsidRPr="00032DA6">
              <w:rPr>
                <w:rFonts w:eastAsia="Times New Roman" w:cstheme="majorBidi"/>
                <w:color w:val="000000"/>
                <w:sz w:val="20"/>
                <w:szCs w:val="20"/>
                <w:lang w:val="en-GB"/>
              </w:rPr>
              <w:t>17.1</w:t>
            </w:r>
          </w:p>
        </w:tc>
        <w:tc>
          <w:tcPr>
            <w:tcW w:w="1255" w:type="dxa"/>
            <w:hideMark/>
          </w:tcPr>
          <w:p w14:paraId="6752AB8C" w14:textId="77777777" w:rsidR="00766B47" w:rsidRPr="00032DA6" w:rsidRDefault="00766B47"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20"/>
                <w:szCs w:val="20"/>
                <w:lang w:val="en-GB"/>
              </w:rPr>
            </w:pPr>
            <w:r w:rsidRPr="00032DA6">
              <w:rPr>
                <w:rFonts w:eastAsia="Times New Roman" w:cstheme="majorBidi"/>
                <w:color w:val="000000"/>
                <w:sz w:val="20"/>
                <w:szCs w:val="20"/>
                <w:lang w:val="en-GB"/>
              </w:rPr>
              <w:t>13.8</w:t>
            </w:r>
          </w:p>
        </w:tc>
      </w:tr>
      <w:tr w:rsidR="00766B47" w:rsidRPr="00032DA6" w14:paraId="705E4D2A" w14:textId="77777777" w:rsidTr="00766B47">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671" w:type="dxa"/>
            <w:hideMark/>
          </w:tcPr>
          <w:p w14:paraId="39DA22A6" w14:textId="77777777" w:rsidR="00766B47" w:rsidRPr="00032DA6" w:rsidRDefault="00766B47" w:rsidP="00DE108C">
            <w:pPr>
              <w:spacing w:line="276" w:lineRule="auto"/>
              <w:jc w:val="center"/>
              <w:rPr>
                <w:rFonts w:eastAsia="Times New Roman" w:cstheme="majorBidi"/>
                <w:b w:val="0"/>
                <w:bCs w:val="0"/>
                <w:color w:val="000000"/>
                <w:sz w:val="20"/>
                <w:szCs w:val="20"/>
                <w:lang w:val="en-GB"/>
              </w:rPr>
            </w:pPr>
            <w:r w:rsidRPr="00032DA6">
              <w:rPr>
                <w:rFonts w:eastAsia="Times New Roman" w:cstheme="majorBidi"/>
                <w:color w:val="000000"/>
                <w:sz w:val="20"/>
                <w:szCs w:val="20"/>
                <w:lang w:val="en-GB"/>
              </w:rPr>
              <w:t>Simple Effect</w:t>
            </w:r>
          </w:p>
        </w:tc>
        <w:tc>
          <w:tcPr>
            <w:tcW w:w="1128" w:type="dxa"/>
            <w:hideMark/>
          </w:tcPr>
          <w:p w14:paraId="006FFFC4" w14:textId="77777777" w:rsidR="00766B47" w:rsidRPr="00032DA6" w:rsidRDefault="00766B47"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20"/>
                <w:szCs w:val="20"/>
                <w:lang w:val="en-GB"/>
              </w:rPr>
            </w:pPr>
            <w:r w:rsidRPr="00032DA6">
              <w:rPr>
                <w:rFonts w:eastAsia="Times New Roman" w:cstheme="majorBidi"/>
                <w:color w:val="000000"/>
                <w:sz w:val="20"/>
                <w:szCs w:val="20"/>
                <w:lang w:val="en-GB"/>
              </w:rPr>
              <w:t>4.4</w:t>
            </w:r>
          </w:p>
        </w:tc>
        <w:tc>
          <w:tcPr>
            <w:tcW w:w="1256" w:type="dxa"/>
            <w:hideMark/>
          </w:tcPr>
          <w:p w14:paraId="63B3C44A" w14:textId="77777777" w:rsidR="00766B47" w:rsidRPr="00032DA6" w:rsidRDefault="00766B47"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20"/>
                <w:szCs w:val="20"/>
                <w:lang w:val="en-GB"/>
              </w:rPr>
            </w:pPr>
            <w:r w:rsidRPr="00032DA6">
              <w:rPr>
                <w:rFonts w:eastAsia="Times New Roman" w:cstheme="majorBidi"/>
                <w:color w:val="000000"/>
                <w:sz w:val="20"/>
                <w:szCs w:val="20"/>
                <w:lang w:val="en-GB"/>
              </w:rPr>
              <w:t>6.8</w:t>
            </w:r>
          </w:p>
        </w:tc>
        <w:tc>
          <w:tcPr>
            <w:tcW w:w="1193" w:type="dxa"/>
            <w:hideMark/>
          </w:tcPr>
          <w:p w14:paraId="027E2CAB" w14:textId="77777777" w:rsidR="00766B47" w:rsidRPr="00032DA6" w:rsidRDefault="00766B47"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20"/>
                <w:szCs w:val="20"/>
                <w:lang w:val="en-GB"/>
              </w:rPr>
            </w:pPr>
            <w:r w:rsidRPr="00032DA6">
              <w:rPr>
                <w:rFonts w:eastAsia="Times New Roman" w:cstheme="majorBidi"/>
                <w:color w:val="000000"/>
                <w:sz w:val="20"/>
                <w:szCs w:val="20"/>
                <w:lang w:val="en-GB"/>
              </w:rPr>
              <w:t>5.6</w:t>
            </w:r>
          </w:p>
        </w:tc>
        <w:tc>
          <w:tcPr>
            <w:tcW w:w="1217" w:type="dxa"/>
            <w:hideMark/>
          </w:tcPr>
          <w:p w14:paraId="3D845CA3" w14:textId="77777777" w:rsidR="00766B47" w:rsidRPr="00032DA6" w:rsidRDefault="00766B47"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20"/>
                <w:szCs w:val="20"/>
                <w:lang w:val="en-GB"/>
              </w:rPr>
            </w:pPr>
            <w:r w:rsidRPr="00032DA6">
              <w:rPr>
                <w:rFonts w:eastAsia="Times New Roman" w:cstheme="majorBidi"/>
                <w:color w:val="000000"/>
                <w:sz w:val="20"/>
                <w:szCs w:val="20"/>
                <w:lang w:val="en-GB"/>
              </w:rPr>
              <w:t>12.6</w:t>
            </w:r>
          </w:p>
        </w:tc>
        <w:tc>
          <w:tcPr>
            <w:tcW w:w="1325" w:type="dxa"/>
            <w:hideMark/>
          </w:tcPr>
          <w:p w14:paraId="19E29BC2" w14:textId="77777777" w:rsidR="00766B47" w:rsidRPr="00032DA6" w:rsidRDefault="00766B47"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20"/>
                <w:szCs w:val="20"/>
                <w:lang w:val="en-GB"/>
              </w:rPr>
            </w:pPr>
            <w:r w:rsidRPr="00032DA6">
              <w:rPr>
                <w:rFonts w:eastAsia="Times New Roman" w:cstheme="majorBidi"/>
                <w:color w:val="000000"/>
                <w:sz w:val="20"/>
                <w:szCs w:val="20"/>
                <w:lang w:val="en-GB"/>
              </w:rPr>
              <w:t>12.1</w:t>
            </w:r>
          </w:p>
        </w:tc>
        <w:tc>
          <w:tcPr>
            <w:tcW w:w="1255" w:type="dxa"/>
            <w:hideMark/>
          </w:tcPr>
          <w:p w14:paraId="257E10FC" w14:textId="77777777" w:rsidR="00766B47" w:rsidRPr="00032DA6" w:rsidRDefault="00766B47"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20"/>
                <w:szCs w:val="20"/>
                <w:lang w:val="en-GB"/>
              </w:rPr>
            </w:pPr>
            <w:r w:rsidRPr="00032DA6">
              <w:rPr>
                <w:rFonts w:eastAsia="Times New Roman" w:cstheme="majorBidi"/>
                <w:color w:val="000000"/>
                <w:sz w:val="20"/>
                <w:szCs w:val="20"/>
                <w:lang w:val="en-GB"/>
              </w:rPr>
              <w:t>22.3</w:t>
            </w:r>
          </w:p>
        </w:tc>
      </w:tr>
      <w:tr w:rsidR="00766B47" w:rsidRPr="00032DA6" w14:paraId="26805D87" w14:textId="77777777" w:rsidTr="00766B47">
        <w:trPr>
          <w:trHeight w:val="298"/>
        </w:trPr>
        <w:tc>
          <w:tcPr>
            <w:cnfStyle w:val="001000000000" w:firstRow="0" w:lastRow="0" w:firstColumn="1" w:lastColumn="0" w:oddVBand="0" w:evenVBand="0" w:oddHBand="0" w:evenHBand="0" w:firstRowFirstColumn="0" w:firstRowLastColumn="0" w:lastRowFirstColumn="0" w:lastRowLastColumn="0"/>
            <w:tcW w:w="1671" w:type="dxa"/>
            <w:hideMark/>
          </w:tcPr>
          <w:p w14:paraId="6CC3383F" w14:textId="77777777" w:rsidR="00766B47" w:rsidRPr="00032DA6" w:rsidRDefault="00766B47" w:rsidP="00DE108C">
            <w:pPr>
              <w:spacing w:line="276" w:lineRule="auto"/>
              <w:jc w:val="center"/>
              <w:rPr>
                <w:rFonts w:eastAsia="Times New Roman" w:cstheme="majorBidi"/>
                <w:b w:val="0"/>
                <w:bCs w:val="0"/>
                <w:color w:val="000000"/>
                <w:sz w:val="20"/>
                <w:szCs w:val="20"/>
                <w:lang w:val="en-GB"/>
              </w:rPr>
            </w:pPr>
            <w:r w:rsidRPr="00032DA6">
              <w:rPr>
                <w:rFonts w:eastAsia="Times New Roman" w:cstheme="majorBidi"/>
                <w:color w:val="000000"/>
                <w:sz w:val="20"/>
                <w:szCs w:val="20"/>
                <w:lang w:val="en-GB"/>
              </w:rPr>
              <w:t>Large Effect</w:t>
            </w:r>
          </w:p>
        </w:tc>
        <w:tc>
          <w:tcPr>
            <w:tcW w:w="1128" w:type="dxa"/>
            <w:hideMark/>
          </w:tcPr>
          <w:p w14:paraId="1851A99F" w14:textId="77777777" w:rsidR="00766B47" w:rsidRPr="00032DA6" w:rsidRDefault="00766B47"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20"/>
                <w:szCs w:val="20"/>
                <w:lang w:val="en-GB"/>
              </w:rPr>
            </w:pPr>
            <w:r w:rsidRPr="00032DA6">
              <w:rPr>
                <w:rFonts w:eastAsia="Times New Roman" w:cstheme="majorBidi"/>
                <w:color w:val="000000"/>
                <w:sz w:val="20"/>
                <w:szCs w:val="20"/>
                <w:lang w:val="en-GB"/>
              </w:rPr>
              <w:t>84.7</w:t>
            </w:r>
          </w:p>
        </w:tc>
        <w:tc>
          <w:tcPr>
            <w:tcW w:w="1256" w:type="dxa"/>
            <w:hideMark/>
          </w:tcPr>
          <w:p w14:paraId="0FE4FF6C" w14:textId="77777777" w:rsidR="00766B47" w:rsidRPr="00032DA6" w:rsidRDefault="00766B47"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20"/>
                <w:szCs w:val="20"/>
                <w:lang w:val="en-GB"/>
              </w:rPr>
            </w:pPr>
            <w:r w:rsidRPr="00032DA6">
              <w:rPr>
                <w:rFonts w:eastAsia="Times New Roman" w:cstheme="majorBidi"/>
                <w:color w:val="000000"/>
                <w:sz w:val="20"/>
                <w:szCs w:val="20"/>
                <w:lang w:val="en-GB"/>
              </w:rPr>
              <w:t>90.3</w:t>
            </w:r>
          </w:p>
        </w:tc>
        <w:tc>
          <w:tcPr>
            <w:tcW w:w="1193" w:type="dxa"/>
            <w:hideMark/>
          </w:tcPr>
          <w:p w14:paraId="5F2790B9" w14:textId="77777777" w:rsidR="00766B47" w:rsidRPr="00032DA6" w:rsidRDefault="00766B47"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20"/>
                <w:szCs w:val="20"/>
                <w:lang w:val="en-GB"/>
              </w:rPr>
            </w:pPr>
            <w:r w:rsidRPr="00032DA6">
              <w:rPr>
                <w:rFonts w:eastAsia="Times New Roman" w:cstheme="majorBidi"/>
                <w:color w:val="000000"/>
                <w:sz w:val="20"/>
                <w:szCs w:val="20"/>
                <w:lang w:val="en-GB"/>
              </w:rPr>
              <w:t>90.7</w:t>
            </w:r>
          </w:p>
        </w:tc>
        <w:tc>
          <w:tcPr>
            <w:tcW w:w="1217" w:type="dxa"/>
            <w:hideMark/>
          </w:tcPr>
          <w:p w14:paraId="0BE7F5C8" w14:textId="77777777" w:rsidR="00766B47" w:rsidRPr="00032DA6" w:rsidRDefault="00766B47"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20"/>
                <w:szCs w:val="20"/>
                <w:lang w:val="en-GB"/>
              </w:rPr>
            </w:pPr>
            <w:r w:rsidRPr="00032DA6">
              <w:rPr>
                <w:rFonts w:eastAsia="Times New Roman" w:cstheme="majorBidi"/>
                <w:color w:val="000000"/>
                <w:sz w:val="20"/>
                <w:szCs w:val="20"/>
                <w:lang w:val="en-GB"/>
              </w:rPr>
              <w:t>82.3</w:t>
            </w:r>
          </w:p>
        </w:tc>
        <w:tc>
          <w:tcPr>
            <w:tcW w:w="1325" w:type="dxa"/>
            <w:hideMark/>
          </w:tcPr>
          <w:p w14:paraId="5CCCB4B3" w14:textId="77777777" w:rsidR="00766B47" w:rsidRPr="00032DA6" w:rsidRDefault="00766B47"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20"/>
                <w:szCs w:val="20"/>
                <w:lang w:val="en-GB"/>
              </w:rPr>
            </w:pPr>
            <w:r w:rsidRPr="00032DA6">
              <w:rPr>
                <w:rFonts w:eastAsia="Times New Roman" w:cstheme="majorBidi"/>
                <w:color w:val="000000"/>
                <w:sz w:val="20"/>
                <w:szCs w:val="20"/>
                <w:lang w:val="en-GB"/>
              </w:rPr>
              <w:t>70.7</w:t>
            </w:r>
          </w:p>
        </w:tc>
        <w:tc>
          <w:tcPr>
            <w:tcW w:w="1255" w:type="dxa"/>
            <w:hideMark/>
          </w:tcPr>
          <w:p w14:paraId="343D15F6" w14:textId="77777777" w:rsidR="00766B47" w:rsidRPr="00032DA6" w:rsidRDefault="00766B47"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20"/>
                <w:szCs w:val="20"/>
                <w:lang w:val="en-GB"/>
              </w:rPr>
            </w:pPr>
            <w:r w:rsidRPr="00032DA6">
              <w:rPr>
                <w:rFonts w:eastAsia="Times New Roman" w:cstheme="majorBidi"/>
                <w:color w:val="000000"/>
                <w:sz w:val="20"/>
                <w:szCs w:val="20"/>
                <w:lang w:val="en-GB"/>
              </w:rPr>
              <w:t>63.8</w:t>
            </w:r>
          </w:p>
        </w:tc>
      </w:tr>
      <w:tr w:rsidR="00766B47" w:rsidRPr="00032DA6" w14:paraId="4CF851CF" w14:textId="77777777" w:rsidTr="00766B47">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671" w:type="dxa"/>
            <w:hideMark/>
          </w:tcPr>
          <w:p w14:paraId="2590D1BF" w14:textId="77777777" w:rsidR="00766B47" w:rsidRPr="00032DA6" w:rsidRDefault="00766B47" w:rsidP="00DE108C">
            <w:pPr>
              <w:spacing w:line="276" w:lineRule="auto"/>
              <w:jc w:val="center"/>
              <w:rPr>
                <w:rFonts w:eastAsia="Times New Roman" w:cstheme="majorBidi"/>
                <w:b w:val="0"/>
                <w:bCs w:val="0"/>
                <w:color w:val="000000"/>
                <w:sz w:val="20"/>
                <w:szCs w:val="20"/>
                <w:lang w:val="en-GB"/>
              </w:rPr>
            </w:pPr>
            <w:r w:rsidRPr="00032DA6">
              <w:rPr>
                <w:rFonts w:eastAsia="Times New Roman" w:cstheme="majorBidi"/>
                <w:color w:val="000000"/>
                <w:sz w:val="20"/>
                <w:szCs w:val="20"/>
                <w:lang w:val="en-GB"/>
              </w:rPr>
              <w:t>Total</w:t>
            </w:r>
          </w:p>
        </w:tc>
        <w:tc>
          <w:tcPr>
            <w:tcW w:w="1128" w:type="dxa"/>
            <w:hideMark/>
          </w:tcPr>
          <w:p w14:paraId="3FCB4DB9" w14:textId="77777777" w:rsidR="00766B47" w:rsidRPr="00032DA6" w:rsidRDefault="00766B47"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20"/>
                <w:szCs w:val="20"/>
                <w:lang w:val="en-GB"/>
              </w:rPr>
            </w:pPr>
            <w:r w:rsidRPr="00032DA6">
              <w:rPr>
                <w:rFonts w:eastAsia="Times New Roman" w:cstheme="majorBidi"/>
                <w:color w:val="000000"/>
                <w:sz w:val="20"/>
                <w:szCs w:val="20"/>
                <w:lang w:val="en-GB"/>
              </w:rPr>
              <w:t>100</w:t>
            </w:r>
          </w:p>
        </w:tc>
        <w:tc>
          <w:tcPr>
            <w:tcW w:w="1256" w:type="dxa"/>
            <w:hideMark/>
          </w:tcPr>
          <w:p w14:paraId="75719B07" w14:textId="77777777" w:rsidR="00766B47" w:rsidRPr="00032DA6" w:rsidRDefault="00766B47"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20"/>
                <w:szCs w:val="20"/>
                <w:lang w:val="en-GB"/>
              </w:rPr>
            </w:pPr>
            <w:r w:rsidRPr="00032DA6">
              <w:rPr>
                <w:rFonts w:eastAsia="Times New Roman" w:cstheme="majorBidi"/>
                <w:color w:val="000000"/>
                <w:sz w:val="20"/>
                <w:szCs w:val="20"/>
                <w:lang w:val="en-GB"/>
              </w:rPr>
              <w:t>100</w:t>
            </w:r>
          </w:p>
        </w:tc>
        <w:tc>
          <w:tcPr>
            <w:tcW w:w="1193" w:type="dxa"/>
            <w:hideMark/>
          </w:tcPr>
          <w:p w14:paraId="2255602B" w14:textId="77777777" w:rsidR="00766B47" w:rsidRPr="00032DA6" w:rsidRDefault="00766B47"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20"/>
                <w:szCs w:val="20"/>
                <w:lang w:val="en-GB"/>
              </w:rPr>
            </w:pPr>
            <w:r w:rsidRPr="00032DA6">
              <w:rPr>
                <w:rFonts w:eastAsia="Times New Roman" w:cstheme="majorBidi"/>
                <w:color w:val="000000"/>
                <w:sz w:val="20"/>
                <w:szCs w:val="20"/>
                <w:lang w:val="en-GB"/>
              </w:rPr>
              <w:t>100</w:t>
            </w:r>
          </w:p>
        </w:tc>
        <w:tc>
          <w:tcPr>
            <w:tcW w:w="1217" w:type="dxa"/>
            <w:hideMark/>
          </w:tcPr>
          <w:p w14:paraId="40571894" w14:textId="77777777" w:rsidR="00766B47" w:rsidRPr="00032DA6" w:rsidRDefault="00766B47"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20"/>
                <w:szCs w:val="20"/>
                <w:lang w:val="en-GB"/>
              </w:rPr>
            </w:pPr>
            <w:r w:rsidRPr="00032DA6">
              <w:rPr>
                <w:rFonts w:eastAsia="Times New Roman" w:cstheme="majorBidi"/>
                <w:color w:val="000000"/>
                <w:sz w:val="20"/>
                <w:szCs w:val="20"/>
                <w:lang w:val="en-GB"/>
              </w:rPr>
              <w:t>100</w:t>
            </w:r>
          </w:p>
        </w:tc>
        <w:tc>
          <w:tcPr>
            <w:tcW w:w="1325" w:type="dxa"/>
            <w:hideMark/>
          </w:tcPr>
          <w:p w14:paraId="6856C021" w14:textId="77777777" w:rsidR="00766B47" w:rsidRPr="00032DA6" w:rsidRDefault="00766B47"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20"/>
                <w:szCs w:val="20"/>
                <w:lang w:val="en-GB"/>
              </w:rPr>
            </w:pPr>
            <w:r w:rsidRPr="00032DA6">
              <w:rPr>
                <w:rFonts w:eastAsia="Times New Roman" w:cstheme="majorBidi"/>
                <w:color w:val="000000"/>
                <w:sz w:val="20"/>
                <w:szCs w:val="20"/>
                <w:lang w:val="en-GB"/>
              </w:rPr>
              <w:t>100</w:t>
            </w:r>
          </w:p>
        </w:tc>
        <w:tc>
          <w:tcPr>
            <w:tcW w:w="1255" w:type="dxa"/>
            <w:noWrap/>
            <w:hideMark/>
          </w:tcPr>
          <w:p w14:paraId="63158E13" w14:textId="77777777" w:rsidR="00766B47" w:rsidRPr="00032DA6" w:rsidRDefault="00766B47"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20"/>
                <w:szCs w:val="20"/>
                <w:lang w:val="en-GB"/>
              </w:rPr>
            </w:pPr>
            <w:r w:rsidRPr="00032DA6">
              <w:rPr>
                <w:rFonts w:eastAsia="Times New Roman" w:cstheme="majorBidi"/>
                <w:color w:val="000000"/>
                <w:sz w:val="20"/>
                <w:szCs w:val="20"/>
                <w:lang w:val="en-GB"/>
              </w:rPr>
              <w:t>100</w:t>
            </w:r>
          </w:p>
        </w:tc>
      </w:tr>
    </w:tbl>
    <w:p w14:paraId="0AAA5AC4" w14:textId="7FD0F561" w:rsidR="000F029E" w:rsidRPr="00032DA6" w:rsidRDefault="00766B47" w:rsidP="00DE108C">
      <w:pPr>
        <w:spacing w:line="276" w:lineRule="auto"/>
        <w:rPr>
          <w:rFonts w:cstheme="majorBidi"/>
          <w:b/>
          <w:bCs/>
          <w:lang w:val="en-GB"/>
        </w:rPr>
      </w:pPr>
      <w:r w:rsidRPr="00032DA6">
        <w:rPr>
          <w:rFonts w:cstheme="majorBidi"/>
          <w:b/>
          <w:bCs/>
          <w:lang w:val="en-GB"/>
        </w:rPr>
        <w:t xml:space="preserve"> </w:t>
      </w:r>
      <w:r w:rsidR="008957E0" w:rsidRPr="00032DA6">
        <w:rPr>
          <w:rFonts w:cstheme="majorBidi"/>
          <w:b/>
          <w:bCs/>
          <w:lang w:val="en-GB"/>
        </w:rPr>
        <w:t>Table (</w:t>
      </w:r>
      <w:r w:rsidR="00064D91">
        <w:rPr>
          <w:rFonts w:cstheme="majorBidi"/>
          <w:b/>
          <w:bCs/>
          <w:lang w:val="en-GB"/>
        </w:rPr>
        <w:t>2</w:t>
      </w:r>
      <w:r w:rsidR="00B50C59" w:rsidRPr="00032DA6">
        <w:rPr>
          <w:rFonts w:cstheme="majorBidi"/>
          <w:b/>
          <w:bCs/>
          <w:lang w:val="en-GB"/>
        </w:rPr>
        <w:t>)</w:t>
      </w:r>
      <w:r w:rsidR="008957E0" w:rsidRPr="00032DA6">
        <w:rPr>
          <w:rFonts w:cstheme="majorBidi"/>
          <w:b/>
          <w:bCs/>
          <w:lang w:val="en-GB"/>
        </w:rPr>
        <w:t xml:space="preserve">: Factors </w:t>
      </w:r>
      <w:r w:rsidR="004F1FAB" w:rsidRPr="00032DA6">
        <w:rPr>
          <w:rFonts w:cstheme="majorBidi"/>
          <w:b/>
          <w:bCs/>
          <w:lang w:val="en-GB"/>
        </w:rPr>
        <w:t>A</w:t>
      </w:r>
      <w:r w:rsidR="008957E0" w:rsidRPr="00032DA6">
        <w:rPr>
          <w:rFonts w:cstheme="majorBidi"/>
          <w:b/>
          <w:bCs/>
          <w:lang w:val="en-GB"/>
        </w:rPr>
        <w:t>ffect</w:t>
      </w:r>
      <w:r w:rsidR="004F1FAB" w:rsidRPr="00032DA6">
        <w:rPr>
          <w:rFonts w:cstheme="majorBidi"/>
          <w:b/>
          <w:bCs/>
          <w:lang w:val="en-GB"/>
        </w:rPr>
        <w:t>ing</w:t>
      </w:r>
      <w:r w:rsidR="008957E0" w:rsidRPr="00032DA6">
        <w:rPr>
          <w:rFonts w:cstheme="majorBidi"/>
          <w:b/>
          <w:bCs/>
          <w:lang w:val="en-GB"/>
        </w:rPr>
        <w:t xml:space="preserve"> </w:t>
      </w:r>
      <w:r w:rsidR="004F1FAB" w:rsidRPr="00032DA6">
        <w:rPr>
          <w:rFonts w:cstheme="majorBidi"/>
          <w:b/>
          <w:bCs/>
          <w:lang w:val="en-GB"/>
        </w:rPr>
        <w:t>H</w:t>
      </w:r>
      <w:r w:rsidR="008957E0" w:rsidRPr="00032DA6">
        <w:rPr>
          <w:rFonts w:cstheme="majorBidi"/>
          <w:b/>
          <w:bCs/>
          <w:lang w:val="en-GB"/>
        </w:rPr>
        <w:t>ousing</w:t>
      </w:r>
      <w:r w:rsidR="004F1FAB" w:rsidRPr="00032DA6">
        <w:rPr>
          <w:rFonts w:cstheme="majorBidi"/>
          <w:b/>
          <w:bCs/>
          <w:lang w:val="en-GB"/>
        </w:rPr>
        <w:t xml:space="preserve"> P</w:t>
      </w:r>
      <w:r w:rsidR="008957E0" w:rsidRPr="00032DA6">
        <w:rPr>
          <w:rFonts w:cstheme="majorBidi"/>
          <w:b/>
          <w:bCs/>
          <w:lang w:val="en-GB"/>
        </w:rPr>
        <w:t xml:space="preserve">rices in </w:t>
      </w:r>
      <w:r w:rsidR="00A27577" w:rsidRPr="00032DA6">
        <w:rPr>
          <w:rFonts w:cstheme="majorBidi"/>
          <w:b/>
          <w:bCs/>
          <w:lang w:val="en-GB"/>
        </w:rPr>
        <w:t xml:space="preserve">Egypt over </w:t>
      </w:r>
      <w:r w:rsidR="008957E0" w:rsidRPr="00032DA6">
        <w:rPr>
          <w:rFonts w:cstheme="majorBidi"/>
          <w:b/>
          <w:bCs/>
          <w:lang w:val="en-GB"/>
        </w:rPr>
        <w:t>the</w:t>
      </w:r>
      <w:r w:rsidR="004F1FAB" w:rsidRPr="00032DA6">
        <w:rPr>
          <w:rFonts w:cstheme="majorBidi"/>
          <w:b/>
          <w:bCs/>
          <w:lang w:val="en-GB"/>
        </w:rPr>
        <w:t xml:space="preserve"> P</w:t>
      </w:r>
      <w:r w:rsidR="008957E0" w:rsidRPr="00032DA6">
        <w:rPr>
          <w:rFonts w:cstheme="majorBidi"/>
          <w:b/>
          <w:bCs/>
          <w:lang w:val="en-GB"/>
        </w:rPr>
        <w:t xml:space="preserve">ast </w:t>
      </w:r>
      <w:r w:rsidR="009D16D6" w:rsidRPr="00032DA6">
        <w:rPr>
          <w:rFonts w:cstheme="majorBidi"/>
          <w:b/>
          <w:bCs/>
          <w:lang w:val="en-GB"/>
        </w:rPr>
        <w:t>five</w:t>
      </w:r>
      <w:r w:rsidR="008957E0" w:rsidRPr="00032DA6">
        <w:rPr>
          <w:rFonts w:cstheme="majorBidi"/>
          <w:b/>
          <w:bCs/>
          <w:lang w:val="en-GB"/>
        </w:rPr>
        <w:t xml:space="preserve"> </w:t>
      </w:r>
      <w:r w:rsidR="004F1FAB" w:rsidRPr="00032DA6">
        <w:rPr>
          <w:rFonts w:cstheme="majorBidi"/>
          <w:b/>
          <w:bCs/>
          <w:lang w:val="en-GB"/>
        </w:rPr>
        <w:t>Y</w:t>
      </w:r>
      <w:r w:rsidR="008957E0" w:rsidRPr="00032DA6">
        <w:rPr>
          <w:rFonts w:cstheme="majorBidi"/>
          <w:b/>
          <w:bCs/>
          <w:lang w:val="en-GB"/>
        </w:rPr>
        <w:t>ears</w:t>
      </w:r>
    </w:p>
    <w:p w14:paraId="1477CD90" w14:textId="758E20FC" w:rsidR="0037411B" w:rsidRPr="00032DA6" w:rsidRDefault="00B50C59" w:rsidP="00DE108C">
      <w:pPr>
        <w:spacing w:after="0" w:line="276" w:lineRule="auto"/>
        <w:rPr>
          <w:rFonts w:eastAsia="Times New Roman" w:cstheme="majorBidi"/>
          <w:b/>
          <w:bCs/>
          <w:color w:val="000000"/>
          <w:lang w:val="en-GB"/>
        </w:rPr>
      </w:pPr>
      <w:r w:rsidRPr="00032DA6">
        <w:rPr>
          <w:rFonts w:eastAsia="Times New Roman" w:cstheme="majorBidi"/>
          <w:b/>
          <w:bCs/>
          <w:color w:val="000000"/>
          <w:lang w:val="en-GB"/>
        </w:rPr>
        <w:t>Table (</w:t>
      </w:r>
      <w:r w:rsidR="00064D91">
        <w:rPr>
          <w:rFonts w:eastAsia="Times New Roman" w:cstheme="majorBidi"/>
          <w:b/>
          <w:bCs/>
          <w:color w:val="000000"/>
          <w:lang w:val="en-GB"/>
        </w:rPr>
        <w:t>3</w:t>
      </w:r>
      <w:r w:rsidRPr="00032DA6">
        <w:rPr>
          <w:rFonts w:eastAsia="Times New Roman" w:cstheme="majorBidi"/>
          <w:b/>
          <w:bCs/>
          <w:color w:val="000000"/>
          <w:lang w:val="en-GB"/>
        </w:rPr>
        <w:t xml:space="preserve">): </w:t>
      </w:r>
      <w:r w:rsidR="0037411B" w:rsidRPr="00032DA6">
        <w:rPr>
          <w:rFonts w:eastAsia="Times New Roman" w:cstheme="majorBidi"/>
          <w:b/>
          <w:bCs/>
          <w:color w:val="000000"/>
          <w:lang w:val="en-GB"/>
        </w:rPr>
        <w:t xml:space="preserve">Challenges Facing Housing Sales in the Egypt Market in 2020 </w:t>
      </w:r>
    </w:p>
    <w:tbl>
      <w:tblPr>
        <w:tblStyle w:val="GridTable5Dark-Accent3"/>
        <w:tblW w:w="8987" w:type="dxa"/>
        <w:tblLook w:val="04A0" w:firstRow="1" w:lastRow="0" w:firstColumn="1" w:lastColumn="0" w:noHBand="0" w:noVBand="1"/>
      </w:tblPr>
      <w:tblGrid>
        <w:gridCol w:w="1625"/>
        <w:gridCol w:w="940"/>
        <w:gridCol w:w="1997"/>
        <w:gridCol w:w="1527"/>
        <w:gridCol w:w="2898"/>
      </w:tblGrid>
      <w:tr w:rsidR="0037411B" w:rsidRPr="00032DA6" w14:paraId="2145A43D" w14:textId="77777777" w:rsidTr="00422B31">
        <w:trPr>
          <w:cnfStyle w:val="100000000000" w:firstRow="1" w:lastRow="0" w:firstColumn="0" w:lastColumn="0" w:oddVBand="0" w:evenVBand="0" w:oddHBand="0" w:evenHBand="0"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1625" w:type="dxa"/>
            <w:hideMark/>
          </w:tcPr>
          <w:p w14:paraId="5315D205" w14:textId="77777777" w:rsidR="0037411B" w:rsidRPr="00032DA6" w:rsidRDefault="0037411B" w:rsidP="00DE108C">
            <w:pPr>
              <w:spacing w:line="276" w:lineRule="auto"/>
              <w:rPr>
                <w:rFonts w:eastAsia="Times New Roman" w:cstheme="majorBidi"/>
                <w:b w:val="0"/>
                <w:bCs w:val="0"/>
                <w:color w:val="000000"/>
                <w:lang w:val="en-GB"/>
              </w:rPr>
            </w:pPr>
            <w:r w:rsidRPr="00032DA6">
              <w:rPr>
                <w:rFonts w:eastAsia="Times New Roman" w:cstheme="majorBidi"/>
                <w:color w:val="000000"/>
                <w:lang w:val="en-GB"/>
              </w:rPr>
              <w:t> </w:t>
            </w:r>
          </w:p>
        </w:tc>
        <w:tc>
          <w:tcPr>
            <w:tcW w:w="940" w:type="dxa"/>
            <w:hideMark/>
          </w:tcPr>
          <w:p w14:paraId="0726F950" w14:textId="77777777" w:rsidR="0037411B" w:rsidRPr="00032DA6" w:rsidRDefault="0037411B" w:rsidP="00DE108C">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ajorBidi"/>
                <w:b w:val="0"/>
                <w:bCs w:val="0"/>
                <w:color w:val="000000"/>
                <w:lang w:val="en-GB"/>
              </w:rPr>
            </w:pPr>
            <w:r w:rsidRPr="00032DA6">
              <w:rPr>
                <w:rFonts w:eastAsia="Times New Roman" w:cstheme="majorBidi"/>
                <w:color w:val="000000"/>
                <w:lang w:val="en-GB"/>
              </w:rPr>
              <w:t>Cost of Living</w:t>
            </w:r>
          </w:p>
        </w:tc>
        <w:tc>
          <w:tcPr>
            <w:tcW w:w="1997" w:type="dxa"/>
            <w:hideMark/>
          </w:tcPr>
          <w:p w14:paraId="7D373053" w14:textId="77777777" w:rsidR="0037411B" w:rsidRPr="00032DA6" w:rsidRDefault="0037411B" w:rsidP="00DE108C">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ajorBidi"/>
                <w:b w:val="0"/>
                <w:bCs w:val="0"/>
                <w:color w:val="auto"/>
                <w:lang w:val="en-GB"/>
              </w:rPr>
            </w:pPr>
            <w:r w:rsidRPr="00032DA6">
              <w:rPr>
                <w:rFonts w:eastAsia="Times New Roman" w:cstheme="majorBidi"/>
                <w:color w:val="auto"/>
                <w:lang w:val="en-GB"/>
              </w:rPr>
              <w:t>Liquidity Preferences (Cash)</w:t>
            </w:r>
          </w:p>
        </w:tc>
        <w:tc>
          <w:tcPr>
            <w:tcW w:w="1527" w:type="dxa"/>
            <w:hideMark/>
          </w:tcPr>
          <w:p w14:paraId="4945DE2E" w14:textId="77777777" w:rsidR="0037411B" w:rsidRPr="00032DA6" w:rsidRDefault="0037411B" w:rsidP="00DE108C">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ajorBidi"/>
                <w:b w:val="0"/>
                <w:bCs w:val="0"/>
                <w:color w:val="auto"/>
                <w:lang w:val="en-GB"/>
              </w:rPr>
            </w:pPr>
            <w:r w:rsidRPr="00032DA6">
              <w:rPr>
                <w:rFonts w:eastAsia="Times New Roman" w:cstheme="majorBidi"/>
                <w:color w:val="auto"/>
                <w:lang w:val="en-GB"/>
              </w:rPr>
              <w:t>Competition and Excess Supply</w:t>
            </w:r>
          </w:p>
        </w:tc>
        <w:tc>
          <w:tcPr>
            <w:tcW w:w="2898" w:type="dxa"/>
            <w:hideMark/>
          </w:tcPr>
          <w:p w14:paraId="186978A2" w14:textId="77777777" w:rsidR="0037411B" w:rsidRPr="00032DA6" w:rsidRDefault="0037411B" w:rsidP="00DE108C">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ajorBidi"/>
                <w:b w:val="0"/>
                <w:bCs w:val="0"/>
                <w:color w:val="auto"/>
                <w:lang w:val="en-GB"/>
              </w:rPr>
            </w:pPr>
            <w:r w:rsidRPr="00032DA6">
              <w:rPr>
                <w:rFonts w:eastAsia="Times New Roman" w:cstheme="majorBidi"/>
                <w:color w:val="auto"/>
                <w:lang w:val="en-GB"/>
              </w:rPr>
              <w:t>High Construction and Licensing Costs and New Public Housing Projects</w:t>
            </w:r>
          </w:p>
        </w:tc>
      </w:tr>
      <w:tr w:rsidR="0037411B" w:rsidRPr="00032DA6" w14:paraId="508BB71B" w14:textId="77777777" w:rsidTr="00422B3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625" w:type="dxa"/>
            <w:hideMark/>
          </w:tcPr>
          <w:p w14:paraId="07BA7348" w14:textId="77777777" w:rsidR="0037411B" w:rsidRPr="00032DA6" w:rsidRDefault="0037411B" w:rsidP="00DE108C">
            <w:pPr>
              <w:spacing w:line="276" w:lineRule="auto"/>
              <w:rPr>
                <w:rFonts w:eastAsia="Times New Roman" w:cstheme="majorBidi"/>
                <w:b w:val="0"/>
                <w:bCs w:val="0"/>
                <w:color w:val="000000"/>
                <w:lang w:val="en-GB"/>
              </w:rPr>
            </w:pPr>
            <w:r w:rsidRPr="00032DA6">
              <w:rPr>
                <w:rFonts w:eastAsia="Times New Roman" w:cstheme="majorBidi"/>
                <w:color w:val="000000"/>
                <w:lang w:val="en-GB"/>
              </w:rPr>
              <w:t xml:space="preserve">Important </w:t>
            </w:r>
          </w:p>
        </w:tc>
        <w:tc>
          <w:tcPr>
            <w:tcW w:w="940" w:type="dxa"/>
            <w:hideMark/>
          </w:tcPr>
          <w:p w14:paraId="16E550B3" w14:textId="77777777" w:rsidR="0037411B" w:rsidRPr="00032DA6" w:rsidRDefault="0037411B" w:rsidP="00DE108C">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64.5</w:t>
            </w:r>
          </w:p>
        </w:tc>
        <w:tc>
          <w:tcPr>
            <w:tcW w:w="1997" w:type="dxa"/>
            <w:hideMark/>
          </w:tcPr>
          <w:p w14:paraId="765597B3" w14:textId="77777777" w:rsidR="0037411B" w:rsidRPr="00032DA6" w:rsidRDefault="0037411B" w:rsidP="00DE108C">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27.8</w:t>
            </w:r>
          </w:p>
        </w:tc>
        <w:tc>
          <w:tcPr>
            <w:tcW w:w="1527" w:type="dxa"/>
            <w:hideMark/>
          </w:tcPr>
          <w:p w14:paraId="4CA9A277" w14:textId="77777777" w:rsidR="0037411B" w:rsidRPr="00032DA6" w:rsidRDefault="0037411B" w:rsidP="00DE108C">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69.7</w:t>
            </w:r>
          </w:p>
        </w:tc>
        <w:tc>
          <w:tcPr>
            <w:tcW w:w="2898" w:type="dxa"/>
            <w:hideMark/>
          </w:tcPr>
          <w:p w14:paraId="22CA9390" w14:textId="77777777" w:rsidR="0037411B" w:rsidRPr="00032DA6" w:rsidRDefault="0037411B" w:rsidP="00DE108C">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82.1</w:t>
            </w:r>
          </w:p>
        </w:tc>
      </w:tr>
      <w:tr w:rsidR="0037411B" w:rsidRPr="00032DA6" w14:paraId="2C6C98C1" w14:textId="77777777" w:rsidTr="00422B31">
        <w:trPr>
          <w:trHeight w:val="292"/>
        </w:trPr>
        <w:tc>
          <w:tcPr>
            <w:cnfStyle w:val="001000000000" w:firstRow="0" w:lastRow="0" w:firstColumn="1" w:lastColumn="0" w:oddVBand="0" w:evenVBand="0" w:oddHBand="0" w:evenHBand="0" w:firstRowFirstColumn="0" w:firstRowLastColumn="0" w:lastRowFirstColumn="0" w:lastRowLastColumn="0"/>
            <w:tcW w:w="1625" w:type="dxa"/>
            <w:hideMark/>
          </w:tcPr>
          <w:p w14:paraId="1AFC5EB4" w14:textId="77777777" w:rsidR="0037411B" w:rsidRPr="00032DA6" w:rsidRDefault="0037411B" w:rsidP="00DE108C">
            <w:pPr>
              <w:spacing w:line="276" w:lineRule="auto"/>
              <w:rPr>
                <w:rFonts w:eastAsia="Times New Roman" w:cstheme="majorBidi"/>
                <w:b w:val="0"/>
                <w:bCs w:val="0"/>
                <w:color w:val="000000"/>
                <w:lang w:val="en-GB"/>
              </w:rPr>
            </w:pPr>
            <w:r w:rsidRPr="00032DA6">
              <w:rPr>
                <w:rFonts w:eastAsia="Times New Roman" w:cstheme="majorBidi"/>
                <w:color w:val="000000"/>
                <w:lang w:val="en-GB"/>
              </w:rPr>
              <w:t>Neutral</w:t>
            </w:r>
          </w:p>
        </w:tc>
        <w:tc>
          <w:tcPr>
            <w:tcW w:w="940" w:type="dxa"/>
            <w:hideMark/>
          </w:tcPr>
          <w:p w14:paraId="5EC9D556" w14:textId="77777777" w:rsidR="0037411B" w:rsidRPr="00032DA6" w:rsidRDefault="0037411B" w:rsidP="00DE108C">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16.2</w:t>
            </w:r>
          </w:p>
        </w:tc>
        <w:tc>
          <w:tcPr>
            <w:tcW w:w="1997" w:type="dxa"/>
            <w:hideMark/>
          </w:tcPr>
          <w:p w14:paraId="000A3C0F" w14:textId="77777777" w:rsidR="0037411B" w:rsidRPr="00032DA6" w:rsidRDefault="0037411B" w:rsidP="00DE108C">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19.2</w:t>
            </w:r>
          </w:p>
        </w:tc>
        <w:tc>
          <w:tcPr>
            <w:tcW w:w="1527" w:type="dxa"/>
            <w:hideMark/>
          </w:tcPr>
          <w:p w14:paraId="23AEA993" w14:textId="77777777" w:rsidR="0037411B" w:rsidRPr="00032DA6" w:rsidRDefault="0037411B" w:rsidP="00DE108C">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7.3</w:t>
            </w:r>
          </w:p>
        </w:tc>
        <w:tc>
          <w:tcPr>
            <w:tcW w:w="2898" w:type="dxa"/>
            <w:hideMark/>
          </w:tcPr>
          <w:p w14:paraId="7EAC20A0" w14:textId="77777777" w:rsidR="0037411B" w:rsidRPr="00032DA6" w:rsidRDefault="0037411B" w:rsidP="00DE108C">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11.5</w:t>
            </w:r>
          </w:p>
        </w:tc>
      </w:tr>
      <w:tr w:rsidR="0037411B" w:rsidRPr="00032DA6" w14:paraId="558F1D04" w14:textId="77777777" w:rsidTr="00422B3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625" w:type="dxa"/>
            <w:hideMark/>
          </w:tcPr>
          <w:p w14:paraId="5D2CFD0D" w14:textId="77777777" w:rsidR="0037411B" w:rsidRPr="00032DA6" w:rsidRDefault="0037411B" w:rsidP="00DE108C">
            <w:pPr>
              <w:spacing w:line="276" w:lineRule="auto"/>
              <w:rPr>
                <w:rFonts w:eastAsia="Times New Roman" w:cstheme="majorBidi"/>
                <w:b w:val="0"/>
                <w:bCs w:val="0"/>
                <w:color w:val="000000"/>
                <w:lang w:val="en-GB"/>
              </w:rPr>
            </w:pPr>
            <w:r w:rsidRPr="00032DA6">
              <w:rPr>
                <w:rFonts w:eastAsia="Times New Roman" w:cstheme="majorBidi"/>
                <w:color w:val="000000"/>
                <w:lang w:val="en-GB"/>
              </w:rPr>
              <w:t>Not important</w:t>
            </w:r>
          </w:p>
        </w:tc>
        <w:tc>
          <w:tcPr>
            <w:tcW w:w="940" w:type="dxa"/>
            <w:hideMark/>
          </w:tcPr>
          <w:p w14:paraId="21F4CCDE" w14:textId="77777777" w:rsidR="0037411B" w:rsidRPr="00032DA6" w:rsidRDefault="0037411B" w:rsidP="00DE108C">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19.2</w:t>
            </w:r>
          </w:p>
        </w:tc>
        <w:tc>
          <w:tcPr>
            <w:tcW w:w="1997" w:type="dxa"/>
            <w:hideMark/>
          </w:tcPr>
          <w:p w14:paraId="47641EC4" w14:textId="77777777" w:rsidR="0037411B" w:rsidRPr="00032DA6" w:rsidRDefault="0037411B" w:rsidP="00DE108C">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53</w:t>
            </w:r>
          </w:p>
        </w:tc>
        <w:tc>
          <w:tcPr>
            <w:tcW w:w="1527" w:type="dxa"/>
            <w:hideMark/>
          </w:tcPr>
          <w:p w14:paraId="66FD0EEE" w14:textId="77777777" w:rsidR="0037411B" w:rsidRPr="00032DA6" w:rsidRDefault="0037411B" w:rsidP="00DE108C">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23</w:t>
            </w:r>
          </w:p>
        </w:tc>
        <w:tc>
          <w:tcPr>
            <w:tcW w:w="2898" w:type="dxa"/>
            <w:hideMark/>
          </w:tcPr>
          <w:p w14:paraId="1532B67A" w14:textId="77777777" w:rsidR="0037411B" w:rsidRPr="00032DA6" w:rsidRDefault="0037411B" w:rsidP="00DE108C">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6.4</w:t>
            </w:r>
          </w:p>
        </w:tc>
      </w:tr>
    </w:tbl>
    <w:p w14:paraId="065C8D39" w14:textId="77777777" w:rsidR="00831FE8" w:rsidRDefault="00831FE8" w:rsidP="00DE108C">
      <w:pPr>
        <w:spacing w:line="276" w:lineRule="auto"/>
        <w:rPr>
          <w:rFonts w:eastAsia="Times New Roman" w:cstheme="majorBidi"/>
          <w:b/>
          <w:bCs/>
          <w:color w:val="000000"/>
          <w:lang w:val="en-GB"/>
        </w:rPr>
      </w:pPr>
    </w:p>
    <w:p w14:paraId="1C47D454" w14:textId="77777777" w:rsidR="00831FE8" w:rsidRDefault="00831FE8" w:rsidP="00DE108C">
      <w:pPr>
        <w:spacing w:line="276" w:lineRule="auto"/>
        <w:rPr>
          <w:rFonts w:eastAsia="Times New Roman" w:cstheme="majorBidi"/>
          <w:b/>
          <w:bCs/>
          <w:color w:val="000000"/>
          <w:lang w:val="en-GB"/>
        </w:rPr>
      </w:pPr>
    </w:p>
    <w:p w14:paraId="20520AB6" w14:textId="77777777" w:rsidR="00831FE8" w:rsidRDefault="00831FE8" w:rsidP="00DE108C">
      <w:pPr>
        <w:spacing w:line="276" w:lineRule="auto"/>
        <w:rPr>
          <w:rFonts w:eastAsia="Times New Roman" w:cstheme="majorBidi"/>
          <w:b/>
          <w:bCs/>
          <w:color w:val="000000"/>
          <w:lang w:val="en-GB"/>
        </w:rPr>
      </w:pPr>
    </w:p>
    <w:p w14:paraId="4EF50D31" w14:textId="77777777" w:rsidR="00831FE8" w:rsidRDefault="00831FE8" w:rsidP="00DE108C">
      <w:pPr>
        <w:spacing w:line="276" w:lineRule="auto"/>
        <w:rPr>
          <w:rFonts w:eastAsia="Times New Roman" w:cstheme="majorBidi"/>
          <w:b/>
          <w:bCs/>
          <w:color w:val="000000"/>
          <w:lang w:val="en-GB"/>
        </w:rPr>
      </w:pPr>
    </w:p>
    <w:p w14:paraId="6E591338" w14:textId="1DD8048A" w:rsidR="0037411B" w:rsidRDefault="00317FAB" w:rsidP="00DE108C">
      <w:pPr>
        <w:spacing w:line="276" w:lineRule="auto"/>
        <w:rPr>
          <w:rFonts w:eastAsia="Times New Roman" w:cstheme="majorBidi"/>
          <w:b/>
          <w:bCs/>
          <w:color w:val="000000"/>
          <w:lang w:val="en-GB"/>
        </w:rPr>
      </w:pPr>
      <w:r w:rsidRPr="00032DA6">
        <w:rPr>
          <w:rFonts w:eastAsia="Times New Roman" w:cstheme="majorBidi"/>
          <w:b/>
          <w:bCs/>
          <w:color w:val="000000"/>
          <w:lang w:val="en-GB"/>
        </w:rPr>
        <w:t xml:space="preserve"> </w:t>
      </w:r>
      <w:r w:rsidR="00A46D18" w:rsidRPr="00032DA6">
        <w:rPr>
          <w:rFonts w:eastAsia="Times New Roman" w:cstheme="majorBidi"/>
          <w:b/>
          <w:bCs/>
          <w:color w:val="000000"/>
          <w:lang w:val="en-GB"/>
        </w:rPr>
        <w:t>Table (</w:t>
      </w:r>
      <w:r w:rsidR="00064D91">
        <w:rPr>
          <w:rFonts w:eastAsia="Times New Roman" w:cstheme="majorBidi"/>
          <w:b/>
          <w:bCs/>
          <w:color w:val="000000"/>
          <w:lang w:val="en-GB"/>
        </w:rPr>
        <w:t>4</w:t>
      </w:r>
      <w:r w:rsidR="00A46D18" w:rsidRPr="00032DA6">
        <w:rPr>
          <w:rFonts w:eastAsia="Times New Roman" w:cstheme="majorBidi"/>
          <w:b/>
          <w:bCs/>
          <w:color w:val="000000"/>
          <w:lang w:val="en-GB"/>
        </w:rPr>
        <w:t xml:space="preserve">): Implications of </w:t>
      </w:r>
      <w:r w:rsidR="00766B47" w:rsidRPr="00032DA6">
        <w:rPr>
          <w:rFonts w:eastAsia="Times New Roman" w:cstheme="majorBidi"/>
          <w:b/>
          <w:bCs/>
          <w:color w:val="000000"/>
          <w:lang w:val="en-GB"/>
        </w:rPr>
        <w:t>R</w:t>
      </w:r>
      <w:r w:rsidR="00A46D18" w:rsidRPr="00032DA6">
        <w:rPr>
          <w:rFonts w:eastAsia="Times New Roman" w:cstheme="majorBidi"/>
          <w:b/>
          <w:bCs/>
          <w:color w:val="000000"/>
          <w:lang w:val="en-GB"/>
        </w:rPr>
        <w:t xml:space="preserve">ecent </w:t>
      </w:r>
      <w:r w:rsidR="00766B47" w:rsidRPr="00032DA6">
        <w:rPr>
          <w:rFonts w:eastAsia="Times New Roman" w:cstheme="majorBidi"/>
          <w:b/>
          <w:bCs/>
          <w:color w:val="000000"/>
          <w:lang w:val="en-GB"/>
        </w:rPr>
        <w:t>E</w:t>
      </w:r>
      <w:r w:rsidR="00A46D18" w:rsidRPr="00032DA6">
        <w:rPr>
          <w:rFonts w:eastAsia="Times New Roman" w:cstheme="majorBidi"/>
          <w:b/>
          <w:bCs/>
          <w:color w:val="000000"/>
          <w:lang w:val="en-GB"/>
        </w:rPr>
        <w:t xml:space="preserve">conomic </w:t>
      </w:r>
      <w:r w:rsidR="00766B47" w:rsidRPr="00032DA6">
        <w:rPr>
          <w:rFonts w:eastAsia="Times New Roman" w:cstheme="majorBidi"/>
          <w:b/>
          <w:bCs/>
          <w:color w:val="000000"/>
          <w:lang w:val="en-GB"/>
        </w:rPr>
        <w:t>D</w:t>
      </w:r>
      <w:r w:rsidR="00A46D18" w:rsidRPr="00032DA6">
        <w:rPr>
          <w:rFonts w:eastAsia="Times New Roman" w:cstheme="majorBidi"/>
          <w:b/>
          <w:bCs/>
          <w:color w:val="000000"/>
          <w:lang w:val="en-GB"/>
        </w:rPr>
        <w:t xml:space="preserve">ynamics on the </w:t>
      </w:r>
      <w:r w:rsidR="00766B47" w:rsidRPr="00032DA6">
        <w:rPr>
          <w:rFonts w:eastAsia="Times New Roman" w:cstheme="majorBidi"/>
          <w:b/>
          <w:bCs/>
          <w:color w:val="000000"/>
          <w:lang w:val="en-GB"/>
        </w:rPr>
        <w:t>H</w:t>
      </w:r>
      <w:r w:rsidR="00A46D18" w:rsidRPr="00032DA6">
        <w:rPr>
          <w:rFonts w:eastAsia="Times New Roman" w:cstheme="majorBidi"/>
          <w:b/>
          <w:bCs/>
          <w:color w:val="000000"/>
          <w:lang w:val="en-GB"/>
        </w:rPr>
        <w:t xml:space="preserve">ousing </w:t>
      </w:r>
      <w:r w:rsidR="00766B47" w:rsidRPr="00032DA6">
        <w:rPr>
          <w:rFonts w:eastAsia="Times New Roman" w:cstheme="majorBidi"/>
          <w:b/>
          <w:bCs/>
          <w:color w:val="000000"/>
          <w:lang w:val="en-GB"/>
        </w:rPr>
        <w:t>P</w:t>
      </w:r>
      <w:r w:rsidR="00A46D18" w:rsidRPr="00032DA6">
        <w:rPr>
          <w:rFonts w:eastAsia="Times New Roman" w:cstheme="majorBidi"/>
          <w:b/>
          <w:bCs/>
          <w:color w:val="000000"/>
          <w:lang w:val="en-GB"/>
        </w:rPr>
        <w:t xml:space="preserve">rices </w:t>
      </w:r>
      <w:r w:rsidR="00766B47" w:rsidRPr="00032DA6">
        <w:rPr>
          <w:rFonts w:eastAsia="Times New Roman" w:cstheme="majorBidi"/>
          <w:b/>
          <w:bCs/>
          <w:color w:val="000000"/>
          <w:lang w:val="en-GB"/>
        </w:rPr>
        <w:t>T</w:t>
      </w:r>
      <w:r w:rsidR="00A46D18" w:rsidRPr="00032DA6">
        <w:rPr>
          <w:rFonts w:eastAsia="Times New Roman" w:cstheme="majorBidi"/>
          <w:b/>
          <w:bCs/>
          <w:color w:val="000000"/>
          <w:lang w:val="en-GB"/>
        </w:rPr>
        <w:t>rends</w:t>
      </w:r>
    </w:p>
    <w:tbl>
      <w:tblPr>
        <w:tblStyle w:val="GridTable5Dark-Accent3"/>
        <w:tblpPr w:leftFromText="180" w:rightFromText="180" w:vertAnchor="text" w:horzAnchor="margin" w:tblpY="254"/>
        <w:tblW w:w="6000" w:type="dxa"/>
        <w:tblLook w:val="04A0" w:firstRow="1" w:lastRow="0" w:firstColumn="1" w:lastColumn="0" w:noHBand="0" w:noVBand="1"/>
      </w:tblPr>
      <w:tblGrid>
        <w:gridCol w:w="4293"/>
        <w:gridCol w:w="1707"/>
      </w:tblGrid>
      <w:tr w:rsidR="00831FE8" w:rsidRPr="00032DA6" w14:paraId="5AFBF3C1" w14:textId="77777777" w:rsidTr="00331FF1">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293" w:type="dxa"/>
            <w:noWrap/>
            <w:hideMark/>
          </w:tcPr>
          <w:p w14:paraId="07EBFFAB" w14:textId="77777777" w:rsidR="00831FE8" w:rsidRPr="00032DA6" w:rsidRDefault="00831FE8" w:rsidP="00331FF1">
            <w:pPr>
              <w:spacing w:line="276" w:lineRule="auto"/>
              <w:jc w:val="center"/>
              <w:rPr>
                <w:rFonts w:eastAsia="Times New Roman" w:cstheme="majorBidi"/>
                <w:b w:val="0"/>
                <w:bCs w:val="0"/>
                <w:color w:val="000000"/>
                <w:lang w:val="en-GB"/>
              </w:rPr>
            </w:pPr>
            <w:r w:rsidRPr="00032DA6">
              <w:rPr>
                <w:rFonts w:eastAsia="Times New Roman" w:cstheme="majorBidi"/>
                <w:color w:val="000000"/>
                <w:lang w:val="en-GB"/>
              </w:rPr>
              <w:t>How did the following factors impact the housing market</w:t>
            </w:r>
            <w:r w:rsidRPr="00032DA6">
              <w:rPr>
                <w:rFonts w:eastAsia="Times New Roman" w:cstheme="majorBidi"/>
                <w:b w:val="0"/>
                <w:bCs w:val="0"/>
                <w:color w:val="000000"/>
                <w:lang w:val="en-GB"/>
              </w:rPr>
              <w:t>?</w:t>
            </w:r>
          </w:p>
        </w:tc>
        <w:tc>
          <w:tcPr>
            <w:tcW w:w="1707" w:type="dxa"/>
            <w:noWrap/>
            <w:hideMark/>
          </w:tcPr>
          <w:p w14:paraId="03BBE990" w14:textId="77777777" w:rsidR="00831FE8" w:rsidRPr="00032DA6" w:rsidRDefault="00831FE8" w:rsidP="00331FF1">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ajorBidi"/>
                <w:b w:val="0"/>
                <w:bCs w:val="0"/>
                <w:color w:val="000000"/>
                <w:lang w:val="en-GB"/>
              </w:rPr>
            </w:pPr>
            <w:r w:rsidRPr="00032DA6">
              <w:rPr>
                <w:rFonts w:eastAsia="Times New Roman" w:cstheme="majorBidi"/>
                <w:color w:val="000000"/>
                <w:lang w:val="en-GB"/>
              </w:rPr>
              <w:t>Negative Impact</w:t>
            </w:r>
          </w:p>
        </w:tc>
      </w:tr>
      <w:tr w:rsidR="00831FE8" w:rsidRPr="00032DA6" w14:paraId="434DCE67" w14:textId="77777777" w:rsidTr="00331FF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293" w:type="dxa"/>
            <w:noWrap/>
            <w:hideMark/>
          </w:tcPr>
          <w:p w14:paraId="0EC32708" w14:textId="77777777" w:rsidR="00831FE8" w:rsidRPr="00032DA6" w:rsidRDefault="00831FE8" w:rsidP="00331FF1">
            <w:pPr>
              <w:spacing w:line="276" w:lineRule="auto"/>
              <w:rPr>
                <w:rFonts w:eastAsia="Times New Roman" w:cstheme="majorBidi"/>
                <w:color w:val="000000"/>
                <w:lang w:val="en-GB"/>
              </w:rPr>
            </w:pPr>
            <w:r w:rsidRPr="00032DA6">
              <w:rPr>
                <w:rFonts w:eastAsia="Times New Roman" w:cstheme="majorBidi"/>
                <w:color w:val="000000"/>
                <w:lang w:val="en-GB"/>
              </w:rPr>
              <w:t>Exchange Rate Misalignments</w:t>
            </w:r>
          </w:p>
        </w:tc>
        <w:tc>
          <w:tcPr>
            <w:tcW w:w="1707" w:type="dxa"/>
            <w:noWrap/>
            <w:hideMark/>
          </w:tcPr>
          <w:p w14:paraId="6FBD114E" w14:textId="77777777" w:rsidR="00831FE8" w:rsidRPr="00032DA6" w:rsidRDefault="00831FE8" w:rsidP="00331FF1">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84</w:t>
            </w:r>
          </w:p>
        </w:tc>
      </w:tr>
      <w:tr w:rsidR="00831FE8" w:rsidRPr="00032DA6" w14:paraId="6093803A" w14:textId="77777777" w:rsidTr="00331FF1">
        <w:trPr>
          <w:trHeight w:val="323"/>
        </w:trPr>
        <w:tc>
          <w:tcPr>
            <w:cnfStyle w:val="001000000000" w:firstRow="0" w:lastRow="0" w:firstColumn="1" w:lastColumn="0" w:oddVBand="0" w:evenVBand="0" w:oddHBand="0" w:evenHBand="0" w:firstRowFirstColumn="0" w:firstRowLastColumn="0" w:lastRowFirstColumn="0" w:lastRowLastColumn="0"/>
            <w:tcW w:w="4293" w:type="dxa"/>
            <w:noWrap/>
            <w:hideMark/>
          </w:tcPr>
          <w:p w14:paraId="1AF42302" w14:textId="77777777" w:rsidR="00831FE8" w:rsidRPr="00032DA6" w:rsidRDefault="00831FE8" w:rsidP="00331FF1">
            <w:pPr>
              <w:spacing w:line="276" w:lineRule="auto"/>
              <w:rPr>
                <w:rFonts w:eastAsia="Times New Roman" w:cstheme="majorBidi"/>
                <w:color w:val="000000"/>
                <w:lang w:val="en-GB"/>
              </w:rPr>
            </w:pPr>
            <w:r w:rsidRPr="00032DA6">
              <w:rPr>
                <w:rFonts w:eastAsia="Times New Roman" w:cstheme="majorBidi"/>
                <w:color w:val="000000"/>
                <w:lang w:val="en-GB"/>
              </w:rPr>
              <w:t>COVID-19 Crisis</w:t>
            </w:r>
          </w:p>
        </w:tc>
        <w:tc>
          <w:tcPr>
            <w:tcW w:w="1707" w:type="dxa"/>
            <w:noWrap/>
            <w:hideMark/>
          </w:tcPr>
          <w:p w14:paraId="22EFB22F" w14:textId="77777777" w:rsidR="00831FE8" w:rsidRPr="00032DA6" w:rsidRDefault="00831FE8" w:rsidP="00331FF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85</w:t>
            </w:r>
          </w:p>
        </w:tc>
      </w:tr>
      <w:tr w:rsidR="00831FE8" w:rsidRPr="00032DA6" w14:paraId="3D266E6E" w14:textId="77777777" w:rsidTr="00331FF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293" w:type="dxa"/>
            <w:noWrap/>
            <w:hideMark/>
          </w:tcPr>
          <w:p w14:paraId="15AB1208" w14:textId="77777777" w:rsidR="00831FE8" w:rsidRPr="00032DA6" w:rsidRDefault="00831FE8" w:rsidP="00331FF1">
            <w:pPr>
              <w:spacing w:line="276" w:lineRule="auto"/>
              <w:rPr>
                <w:rFonts w:eastAsia="Times New Roman" w:cstheme="majorBidi"/>
                <w:color w:val="000000"/>
                <w:lang w:val="en-GB"/>
              </w:rPr>
            </w:pPr>
            <w:r w:rsidRPr="00032DA6">
              <w:rPr>
                <w:rFonts w:eastAsia="Times New Roman" w:cstheme="majorBidi"/>
                <w:color w:val="000000"/>
                <w:lang w:val="en-GB"/>
              </w:rPr>
              <w:t>Suspending Housing Construction Permits</w:t>
            </w:r>
          </w:p>
        </w:tc>
        <w:tc>
          <w:tcPr>
            <w:tcW w:w="1707" w:type="dxa"/>
            <w:noWrap/>
            <w:hideMark/>
          </w:tcPr>
          <w:p w14:paraId="5EDF7207" w14:textId="77777777" w:rsidR="00831FE8" w:rsidRPr="00032DA6" w:rsidRDefault="00831FE8" w:rsidP="00331FF1">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64.3</w:t>
            </w:r>
          </w:p>
        </w:tc>
      </w:tr>
    </w:tbl>
    <w:p w14:paraId="0F71C3D6" w14:textId="31443ED6" w:rsidR="00831FE8" w:rsidRPr="00032DA6" w:rsidRDefault="00831FE8" w:rsidP="00DE108C">
      <w:pPr>
        <w:spacing w:line="276" w:lineRule="auto"/>
        <w:rPr>
          <w:rFonts w:eastAsia="Times New Roman" w:cstheme="majorBidi"/>
          <w:b/>
          <w:bCs/>
          <w:color w:val="000000"/>
          <w:lang w:val="en-GB"/>
        </w:rPr>
      </w:pPr>
    </w:p>
    <w:p w14:paraId="222B5DCD" w14:textId="77777777" w:rsidR="004434FE" w:rsidRDefault="004434FE" w:rsidP="00DE108C">
      <w:pPr>
        <w:spacing w:line="276" w:lineRule="auto"/>
        <w:rPr>
          <w:rFonts w:cstheme="majorBidi"/>
          <w:b/>
          <w:bCs/>
          <w:strike/>
          <w:lang w:val="en-GB"/>
        </w:rPr>
      </w:pPr>
    </w:p>
    <w:p w14:paraId="41ABE1FA" w14:textId="77777777" w:rsidR="00831FE8" w:rsidRDefault="00831FE8" w:rsidP="00DE108C">
      <w:pPr>
        <w:spacing w:line="276" w:lineRule="auto"/>
        <w:rPr>
          <w:rFonts w:cstheme="majorBidi"/>
          <w:b/>
          <w:bCs/>
          <w:strike/>
          <w:lang w:val="en-GB"/>
        </w:rPr>
      </w:pPr>
    </w:p>
    <w:p w14:paraId="4624B7AC" w14:textId="77777777" w:rsidR="00831FE8" w:rsidRDefault="00831FE8" w:rsidP="00DE108C">
      <w:pPr>
        <w:spacing w:line="276" w:lineRule="auto"/>
        <w:rPr>
          <w:rFonts w:cstheme="majorBidi"/>
          <w:b/>
          <w:bCs/>
          <w:strike/>
          <w:lang w:val="en-GB"/>
        </w:rPr>
      </w:pPr>
    </w:p>
    <w:p w14:paraId="03C1A5B1" w14:textId="77777777" w:rsidR="00831FE8" w:rsidRPr="00032DA6" w:rsidRDefault="00831FE8" w:rsidP="00DE108C">
      <w:pPr>
        <w:spacing w:line="276" w:lineRule="auto"/>
        <w:rPr>
          <w:rFonts w:cstheme="majorBidi"/>
          <w:b/>
          <w:bCs/>
          <w:strike/>
          <w:lang w:val="en-GB"/>
        </w:rPr>
      </w:pPr>
    </w:p>
    <w:p w14:paraId="4352CDBE" w14:textId="2B6DA7FF" w:rsidR="00F12B0F" w:rsidRPr="00032DA6" w:rsidRDefault="00982BC2" w:rsidP="00DE108C">
      <w:pPr>
        <w:pStyle w:val="Heading2"/>
        <w:numPr>
          <w:ilvl w:val="0"/>
          <w:numId w:val="23"/>
        </w:numPr>
        <w:spacing w:line="276" w:lineRule="auto"/>
        <w:rPr>
          <w:lang w:val="en-GB"/>
        </w:rPr>
      </w:pPr>
      <w:bookmarkStart w:id="38" w:name="_Toc91107882"/>
      <w:bookmarkStart w:id="39" w:name="_Toc91438046"/>
      <w:r w:rsidRPr="00032DA6">
        <w:rPr>
          <w:lang w:val="en-GB"/>
        </w:rPr>
        <w:t>Institutions and Procedures</w:t>
      </w:r>
      <w:bookmarkEnd w:id="38"/>
      <w:bookmarkEnd w:id="39"/>
      <w:r w:rsidRPr="00032DA6">
        <w:rPr>
          <w:lang w:val="en-GB"/>
        </w:rPr>
        <w:t xml:space="preserve"> </w:t>
      </w:r>
    </w:p>
    <w:p w14:paraId="542AFFED" w14:textId="3E6E54EE" w:rsidR="00766B47" w:rsidRPr="00032DA6" w:rsidRDefault="00150C7F" w:rsidP="00DE108C">
      <w:pPr>
        <w:spacing w:line="276" w:lineRule="auto"/>
        <w:jc w:val="both"/>
        <w:rPr>
          <w:rFonts w:cstheme="majorBidi"/>
          <w:shd w:val="clear" w:color="auto" w:fill="FFFFFF"/>
          <w:lang w:val="en-GB"/>
        </w:rPr>
      </w:pPr>
      <w:r w:rsidRPr="00032DA6">
        <w:rPr>
          <w:rFonts w:cstheme="majorBidi"/>
          <w:lang w:val="en-GB"/>
        </w:rPr>
        <w:t xml:space="preserve">             </w:t>
      </w:r>
      <w:r w:rsidR="0092177D" w:rsidRPr="00032DA6">
        <w:rPr>
          <w:rFonts w:cstheme="majorBidi"/>
          <w:lang w:val="en-GB"/>
        </w:rPr>
        <w:t>R</w:t>
      </w:r>
      <w:r w:rsidR="00A54E1B" w:rsidRPr="00032DA6">
        <w:rPr>
          <w:rFonts w:cstheme="majorBidi"/>
          <w:lang w:val="en-GB"/>
        </w:rPr>
        <w:t xml:space="preserve">espondents from both surveys perceive land costs, construction, and licenses as factors that have significantly affected housing prices in Egypt in the past </w:t>
      </w:r>
      <w:r w:rsidR="0092177D" w:rsidRPr="00032DA6">
        <w:rPr>
          <w:rFonts w:cstheme="majorBidi"/>
          <w:lang w:val="en-GB"/>
        </w:rPr>
        <w:t xml:space="preserve">five </w:t>
      </w:r>
      <w:r w:rsidR="00A54E1B" w:rsidRPr="00032DA6">
        <w:rPr>
          <w:rFonts w:cstheme="majorBidi"/>
          <w:lang w:val="en-GB"/>
        </w:rPr>
        <w:t>years</w:t>
      </w:r>
      <w:r w:rsidR="0034717C" w:rsidRPr="00032DA6">
        <w:rPr>
          <w:rFonts w:cstheme="majorBidi"/>
          <w:lang w:val="en-GB"/>
        </w:rPr>
        <w:t xml:space="preserve"> (table</w:t>
      </w:r>
      <w:r w:rsidR="00B50C59" w:rsidRPr="00032DA6">
        <w:rPr>
          <w:rFonts w:cstheme="majorBidi"/>
          <w:lang w:val="en-GB"/>
        </w:rPr>
        <w:t xml:space="preserve"> </w:t>
      </w:r>
      <w:r w:rsidR="00064D91">
        <w:rPr>
          <w:rFonts w:cstheme="majorBidi"/>
          <w:lang w:val="en-GB"/>
        </w:rPr>
        <w:t>2</w:t>
      </w:r>
      <w:r w:rsidR="0034717C" w:rsidRPr="00032DA6">
        <w:rPr>
          <w:rFonts w:cstheme="majorBidi"/>
          <w:lang w:val="en-GB"/>
        </w:rPr>
        <w:t xml:space="preserve">) </w:t>
      </w:r>
      <w:r w:rsidRPr="00032DA6">
        <w:rPr>
          <w:rFonts w:cstheme="majorBidi"/>
          <w:lang w:val="en-GB"/>
        </w:rPr>
        <w:t xml:space="preserve">and served as a key challenge for housing sales </w:t>
      </w:r>
      <w:r w:rsidR="00DB746E" w:rsidRPr="00032DA6">
        <w:rPr>
          <w:rFonts w:cstheme="majorBidi"/>
          <w:lang w:val="en-GB"/>
        </w:rPr>
        <w:t>in 2020 (tabl</w:t>
      </w:r>
      <w:r w:rsidR="00B50C59" w:rsidRPr="00032DA6">
        <w:rPr>
          <w:rFonts w:cstheme="majorBidi"/>
          <w:lang w:val="en-GB"/>
        </w:rPr>
        <w:t xml:space="preserve">e </w:t>
      </w:r>
      <w:r w:rsidR="00064D91">
        <w:rPr>
          <w:rFonts w:cstheme="majorBidi"/>
          <w:lang w:val="en-GB"/>
        </w:rPr>
        <w:t>3</w:t>
      </w:r>
      <w:r w:rsidR="00DB746E" w:rsidRPr="00032DA6">
        <w:rPr>
          <w:rFonts w:cstheme="majorBidi"/>
          <w:lang w:val="en-GB"/>
        </w:rPr>
        <w:t xml:space="preserve">) </w:t>
      </w:r>
      <w:r w:rsidR="0034717C" w:rsidRPr="00032DA6">
        <w:rPr>
          <w:rFonts w:cstheme="majorBidi"/>
          <w:lang w:val="en-GB"/>
        </w:rPr>
        <w:t>supporting the literature strand</w:t>
      </w:r>
      <w:r w:rsidR="1DE1D75D" w:rsidRPr="1C6195AA">
        <w:rPr>
          <w:rFonts w:cstheme="majorBidi"/>
          <w:lang w:val="en-GB"/>
        </w:rPr>
        <w:t>,</w:t>
      </w:r>
      <w:r w:rsidR="0034717C" w:rsidRPr="00032DA6">
        <w:rPr>
          <w:rFonts w:cstheme="majorBidi"/>
          <w:lang w:val="en-GB"/>
        </w:rPr>
        <w:t xml:space="preserve"> maintain</w:t>
      </w:r>
      <w:r w:rsidR="00DB746E" w:rsidRPr="00032DA6">
        <w:rPr>
          <w:rFonts w:cstheme="majorBidi"/>
          <w:lang w:val="en-GB"/>
        </w:rPr>
        <w:t>ing</w:t>
      </w:r>
      <w:r w:rsidR="0034717C" w:rsidRPr="00032DA6">
        <w:rPr>
          <w:rFonts w:cstheme="majorBidi"/>
          <w:lang w:val="en-GB"/>
        </w:rPr>
        <w:t xml:space="preserve"> that housing market </w:t>
      </w:r>
      <w:bookmarkStart w:id="40" w:name="_Hlk91327131"/>
      <w:r w:rsidR="0034717C" w:rsidRPr="00032DA6">
        <w:rPr>
          <w:rFonts w:cstheme="majorBidi"/>
          <w:lang w:val="en-GB"/>
        </w:rPr>
        <w:t xml:space="preserve">dynamics are, to a great extent, driven by the construction industry’s profitability </w:t>
      </w:r>
      <w:bookmarkEnd w:id="40"/>
      <w:r w:rsidR="0034717C" w:rsidRPr="00032DA6">
        <w:rPr>
          <w:rFonts w:cstheme="majorBidi"/>
          <w:lang w:val="en-GB"/>
        </w:rPr>
        <w:t>(</w:t>
      </w:r>
      <w:r w:rsidR="0034717C" w:rsidRPr="00032DA6">
        <w:rPr>
          <w:rFonts w:cstheme="majorBidi"/>
          <w:shd w:val="clear" w:color="auto" w:fill="FFFFFF"/>
          <w:lang w:val="en-GB"/>
        </w:rPr>
        <w:t xml:space="preserve">Mayer, 2011; Geng, 2018). It also upholds that the housing market is affected by </w:t>
      </w:r>
      <w:bookmarkStart w:id="41" w:name="_Hlk91327162"/>
      <w:r w:rsidR="0034717C" w:rsidRPr="00032DA6">
        <w:rPr>
          <w:rFonts w:cstheme="majorBidi"/>
          <w:shd w:val="clear" w:color="auto" w:fill="FFFFFF"/>
          <w:lang w:val="en-GB"/>
        </w:rPr>
        <w:t>institutional fundamentals including building regulations and restrictions on land use</w:t>
      </w:r>
      <w:bookmarkEnd w:id="41"/>
      <w:r w:rsidR="0034717C" w:rsidRPr="00032DA6">
        <w:rPr>
          <w:rFonts w:cstheme="majorBidi"/>
          <w:shd w:val="clear" w:color="auto" w:fill="FFFFFF"/>
          <w:lang w:val="en-GB"/>
        </w:rPr>
        <w:t xml:space="preserve"> (Milcheva &amp; Sebastian, 2010; Belke &amp; Keil, 2018).</w:t>
      </w:r>
      <w:r w:rsidRPr="00032DA6">
        <w:rPr>
          <w:rFonts w:cstheme="majorBidi"/>
          <w:shd w:val="clear" w:color="auto" w:fill="FFFFFF"/>
          <w:lang w:val="en-GB"/>
        </w:rPr>
        <w:t xml:space="preserve"> </w:t>
      </w:r>
    </w:p>
    <w:tbl>
      <w:tblPr>
        <w:tblStyle w:val="GridTable5Dark-Accent3"/>
        <w:tblpPr w:leftFromText="180" w:rightFromText="180" w:vertAnchor="text" w:horzAnchor="margin" w:tblpY="286"/>
        <w:tblW w:w="9084" w:type="dxa"/>
        <w:tblLook w:val="06A0" w:firstRow="1" w:lastRow="0" w:firstColumn="1" w:lastColumn="0" w:noHBand="1" w:noVBand="1"/>
      </w:tblPr>
      <w:tblGrid>
        <w:gridCol w:w="2774"/>
        <w:gridCol w:w="1048"/>
        <w:gridCol w:w="1573"/>
        <w:gridCol w:w="1214"/>
        <w:gridCol w:w="1215"/>
        <w:gridCol w:w="1260"/>
      </w:tblGrid>
      <w:tr w:rsidR="00766B47" w:rsidRPr="00032DA6" w14:paraId="21143971" w14:textId="77777777" w:rsidTr="00766B47">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2774" w:type="dxa"/>
          </w:tcPr>
          <w:p w14:paraId="4198243B" w14:textId="77777777" w:rsidR="00766B47" w:rsidRPr="00032DA6" w:rsidRDefault="00766B47" w:rsidP="00DE108C">
            <w:pPr>
              <w:spacing w:line="276" w:lineRule="auto"/>
              <w:rPr>
                <w:rFonts w:cstheme="majorBidi"/>
                <w:color w:val="auto"/>
                <w:lang w:val="en-GB"/>
              </w:rPr>
            </w:pPr>
            <w:r w:rsidRPr="00032DA6">
              <w:rPr>
                <w:rFonts w:eastAsia="Times New Roman" w:cstheme="majorBidi"/>
                <w:color w:val="000000"/>
                <w:lang w:val="en-GB"/>
              </w:rPr>
              <w:t>To what degree do you believe the following factors affect your homebuying decision?</w:t>
            </w:r>
          </w:p>
        </w:tc>
        <w:tc>
          <w:tcPr>
            <w:tcW w:w="1048" w:type="dxa"/>
          </w:tcPr>
          <w:p w14:paraId="04B2B158" w14:textId="77777777" w:rsidR="00766B47" w:rsidRPr="00032DA6" w:rsidRDefault="00766B47" w:rsidP="00DE108C">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ajorBidi"/>
                <w:color w:val="auto"/>
                <w:lang w:val="en-GB"/>
              </w:rPr>
            </w:pPr>
            <w:r w:rsidRPr="00032DA6">
              <w:rPr>
                <w:rFonts w:cstheme="majorBidi"/>
                <w:color w:val="auto"/>
                <w:lang w:val="en-GB"/>
              </w:rPr>
              <w:t>Location</w:t>
            </w:r>
          </w:p>
        </w:tc>
        <w:tc>
          <w:tcPr>
            <w:tcW w:w="1573" w:type="dxa"/>
          </w:tcPr>
          <w:p w14:paraId="564A4280" w14:textId="77777777" w:rsidR="00766B47" w:rsidRPr="00032DA6" w:rsidRDefault="00766B47" w:rsidP="00DE108C">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ajorBidi"/>
                <w:color w:val="auto"/>
                <w:lang w:val="en-GB"/>
              </w:rPr>
            </w:pPr>
            <w:r w:rsidRPr="00032DA6">
              <w:rPr>
                <w:rFonts w:cstheme="majorBidi"/>
                <w:color w:val="auto"/>
                <w:lang w:val="en-GB"/>
              </w:rPr>
              <w:t>Infrastructure</w:t>
            </w:r>
          </w:p>
        </w:tc>
        <w:tc>
          <w:tcPr>
            <w:tcW w:w="1214" w:type="dxa"/>
          </w:tcPr>
          <w:p w14:paraId="79E617EA" w14:textId="77777777" w:rsidR="00766B47" w:rsidRPr="00032DA6" w:rsidRDefault="00766B47" w:rsidP="00DE108C">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ajorBidi"/>
                <w:color w:val="auto"/>
                <w:lang w:val="en-GB"/>
              </w:rPr>
            </w:pPr>
            <w:r w:rsidRPr="00032DA6">
              <w:rPr>
                <w:rFonts w:cstheme="majorBidi"/>
                <w:color w:val="auto"/>
                <w:lang w:val="en-GB"/>
              </w:rPr>
              <w:t>Real-Estate Taxes and Fees</w:t>
            </w:r>
          </w:p>
        </w:tc>
        <w:tc>
          <w:tcPr>
            <w:tcW w:w="1215" w:type="dxa"/>
          </w:tcPr>
          <w:p w14:paraId="0B307009" w14:textId="77777777" w:rsidR="00766B47" w:rsidRPr="00032DA6" w:rsidRDefault="00766B47" w:rsidP="00DE108C">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ajorBidi"/>
                <w:color w:val="auto"/>
                <w:lang w:val="en-GB"/>
              </w:rPr>
            </w:pPr>
            <w:r w:rsidRPr="00032DA6">
              <w:rPr>
                <w:rFonts w:cstheme="majorBidi"/>
                <w:color w:val="auto"/>
                <w:lang w:val="en-GB"/>
              </w:rPr>
              <w:t>Ease of Resale</w:t>
            </w:r>
          </w:p>
        </w:tc>
        <w:tc>
          <w:tcPr>
            <w:tcW w:w="1260" w:type="dxa"/>
          </w:tcPr>
          <w:p w14:paraId="5C46BED8" w14:textId="77777777" w:rsidR="00766B47" w:rsidRPr="00032DA6" w:rsidRDefault="00766B47" w:rsidP="00DE108C">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ajorBidi"/>
                <w:color w:val="auto"/>
                <w:lang w:val="en-GB"/>
              </w:rPr>
            </w:pPr>
            <w:r w:rsidRPr="00032DA6">
              <w:rPr>
                <w:rFonts w:cstheme="majorBidi"/>
                <w:color w:val="auto"/>
                <w:lang w:val="en-GB"/>
              </w:rPr>
              <w:t>Finishing</w:t>
            </w:r>
          </w:p>
        </w:tc>
      </w:tr>
      <w:tr w:rsidR="00766B47" w:rsidRPr="00032DA6" w14:paraId="0F5BA2C2" w14:textId="77777777" w:rsidTr="00766B47">
        <w:trPr>
          <w:trHeight w:val="173"/>
        </w:trPr>
        <w:tc>
          <w:tcPr>
            <w:cnfStyle w:val="001000000000" w:firstRow="0" w:lastRow="0" w:firstColumn="1" w:lastColumn="0" w:oddVBand="0" w:evenVBand="0" w:oddHBand="0" w:evenHBand="0" w:firstRowFirstColumn="0" w:firstRowLastColumn="0" w:lastRowFirstColumn="0" w:lastRowLastColumn="0"/>
            <w:tcW w:w="2774" w:type="dxa"/>
          </w:tcPr>
          <w:p w14:paraId="1FEC56C8" w14:textId="77777777" w:rsidR="00766B47" w:rsidRPr="00032DA6" w:rsidRDefault="00766B47" w:rsidP="00DE108C">
            <w:pPr>
              <w:spacing w:line="276" w:lineRule="auto"/>
              <w:rPr>
                <w:rFonts w:cstheme="majorBidi"/>
                <w:color w:val="auto"/>
                <w:lang w:val="en-GB"/>
              </w:rPr>
            </w:pPr>
            <w:r w:rsidRPr="00032DA6">
              <w:rPr>
                <w:rFonts w:cstheme="majorBidi"/>
                <w:color w:val="auto"/>
                <w:lang w:val="en-GB"/>
              </w:rPr>
              <w:t>No effect</w:t>
            </w:r>
          </w:p>
        </w:tc>
        <w:tc>
          <w:tcPr>
            <w:tcW w:w="1048" w:type="dxa"/>
          </w:tcPr>
          <w:p w14:paraId="48C9E902" w14:textId="77777777" w:rsidR="00766B47" w:rsidRPr="00032DA6" w:rsidRDefault="00766B47"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lang w:val="en-GB"/>
              </w:rPr>
            </w:pPr>
            <w:r w:rsidRPr="00032DA6">
              <w:rPr>
                <w:rFonts w:eastAsia="Times New Roman" w:cstheme="majorBidi"/>
                <w:lang w:val="en-GB"/>
              </w:rPr>
              <w:t>2.8</w:t>
            </w:r>
          </w:p>
        </w:tc>
        <w:tc>
          <w:tcPr>
            <w:tcW w:w="1573" w:type="dxa"/>
          </w:tcPr>
          <w:p w14:paraId="04FCCDF8" w14:textId="77777777" w:rsidR="00766B47" w:rsidRPr="00032DA6" w:rsidRDefault="00766B47"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lang w:val="en-GB"/>
              </w:rPr>
            </w:pPr>
            <w:r w:rsidRPr="00032DA6">
              <w:rPr>
                <w:rFonts w:eastAsia="Times New Roman" w:cstheme="majorBidi"/>
                <w:lang w:val="en-GB"/>
              </w:rPr>
              <w:t>0.3</w:t>
            </w:r>
          </w:p>
        </w:tc>
        <w:tc>
          <w:tcPr>
            <w:tcW w:w="1214" w:type="dxa"/>
          </w:tcPr>
          <w:p w14:paraId="71764735" w14:textId="77777777" w:rsidR="00766B47" w:rsidRPr="00032DA6" w:rsidRDefault="00766B47"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lang w:val="en-GB"/>
              </w:rPr>
            </w:pPr>
            <w:r w:rsidRPr="00032DA6">
              <w:rPr>
                <w:rFonts w:eastAsia="Times New Roman" w:cstheme="majorBidi"/>
                <w:lang w:val="en-GB"/>
              </w:rPr>
              <w:t>4.7</w:t>
            </w:r>
          </w:p>
        </w:tc>
        <w:tc>
          <w:tcPr>
            <w:tcW w:w="1215" w:type="dxa"/>
          </w:tcPr>
          <w:p w14:paraId="6196AB39" w14:textId="77777777" w:rsidR="00766B47" w:rsidRPr="00032DA6" w:rsidRDefault="00766B47"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lang w:val="en-GB"/>
              </w:rPr>
            </w:pPr>
            <w:r w:rsidRPr="00032DA6">
              <w:rPr>
                <w:rFonts w:eastAsia="Times New Roman" w:cstheme="majorBidi"/>
                <w:lang w:val="en-GB"/>
              </w:rPr>
              <w:t>7.5</w:t>
            </w:r>
          </w:p>
        </w:tc>
        <w:tc>
          <w:tcPr>
            <w:tcW w:w="1260" w:type="dxa"/>
          </w:tcPr>
          <w:p w14:paraId="6C3383FE" w14:textId="77777777" w:rsidR="00766B47" w:rsidRPr="00032DA6" w:rsidRDefault="00766B47"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lang w:val="en-GB"/>
              </w:rPr>
            </w:pPr>
            <w:r w:rsidRPr="00032DA6">
              <w:rPr>
                <w:rFonts w:eastAsia="Times New Roman" w:cstheme="majorBidi"/>
                <w:lang w:val="en-GB"/>
              </w:rPr>
              <w:t>8.7</w:t>
            </w:r>
          </w:p>
        </w:tc>
      </w:tr>
      <w:tr w:rsidR="00766B47" w:rsidRPr="00032DA6" w14:paraId="33480242" w14:textId="77777777" w:rsidTr="00766B47">
        <w:trPr>
          <w:trHeight w:val="166"/>
        </w:trPr>
        <w:tc>
          <w:tcPr>
            <w:cnfStyle w:val="001000000000" w:firstRow="0" w:lastRow="0" w:firstColumn="1" w:lastColumn="0" w:oddVBand="0" w:evenVBand="0" w:oddHBand="0" w:evenHBand="0" w:firstRowFirstColumn="0" w:firstRowLastColumn="0" w:lastRowFirstColumn="0" w:lastRowLastColumn="0"/>
            <w:tcW w:w="2774" w:type="dxa"/>
          </w:tcPr>
          <w:p w14:paraId="497FAD24" w14:textId="77777777" w:rsidR="00766B47" w:rsidRPr="00032DA6" w:rsidRDefault="00766B47" w:rsidP="00DE108C">
            <w:pPr>
              <w:spacing w:line="276" w:lineRule="auto"/>
              <w:rPr>
                <w:rFonts w:cstheme="majorBidi"/>
                <w:color w:val="auto"/>
                <w:lang w:val="en-GB"/>
              </w:rPr>
            </w:pPr>
            <w:r w:rsidRPr="00032DA6">
              <w:rPr>
                <w:rFonts w:cstheme="majorBidi"/>
                <w:color w:val="auto"/>
                <w:lang w:val="en-GB"/>
              </w:rPr>
              <w:t>Moderate Effect</w:t>
            </w:r>
          </w:p>
        </w:tc>
        <w:tc>
          <w:tcPr>
            <w:tcW w:w="1048" w:type="dxa"/>
          </w:tcPr>
          <w:p w14:paraId="42220E8D" w14:textId="77777777" w:rsidR="00766B47" w:rsidRPr="00032DA6" w:rsidRDefault="00766B47"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lang w:val="en-GB"/>
              </w:rPr>
            </w:pPr>
            <w:r w:rsidRPr="00032DA6">
              <w:rPr>
                <w:rFonts w:eastAsia="Times New Roman" w:cstheme="majorBidi"/>
                <w:lang w:val="en-GB"/>
              </w:rPr>
              <w:t>9.3</w:t>
            </w:r>
          </w:p>
        </w:tc>
        <w:tc>
          <w:tcPr>
            <w:tcW w:w="1573" w:type="dxa"/>
          </w:tcPr>
          <w:p w14:paraId="2F951436" w14:textId="77777777" w:rsidR="00766B47" w:rsidRPr="00032DA6" w:rsidRDefault="00766B47"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lang w:val="en-GB"/>
              </w:rPr>
            </w:pPr>
            <w:r w:rsidRPr="00032DA6">
              <w:rPr>
                <w:rFonts w:eastAsia="Times New Roman" w:cstheme="majorBidi"/>
                <w:lang w:val="en-GB"/>
              </w:rPr>
              <w:t>1.2</w:t>
            </w:r>
          </w:p>
        </w:tc>
        <w:tc>
          <w:tcPr>
            <w:tcW w:w="1214" w:type="dxa"/>
          </w:tcPr>
          <w:p w14:paraId="05351F0E" w14:textId="77777777" w:rsidR="00766B47" w:rsidRPr="00032DA6" w:rsidRDefault="00766B47"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lang w:val="en-GB"/>
              </w:rPr>
            </w:pPr>
            <w:r w:rsidRPr="00032DA6">
              <w:rPr>
                <w:rFonts w:eastAsia="Times New Roman" w:cstheme="majorBidi"/>
                <w:lang w:val="en-GB"/>
              </w:rPr>
              <w:t>6.5</w:t>
            </w:r>
          </w:p>
        </w:tc>
        <w:tc>
          <w:tcPr>
            <w:tcW w:w="1215" w:type="dxa"/>
          </w:tcPr>
          <w:p w14:paraId="61F521D8" w14:textId="77777777" w:rsidR="00766B47" w:rsidRPr="00032DA6" w:rsidRDefault="00766B47"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lang w:val="en-GB"/>
              </w:rPr>
            </w:pPr>
            <w:r w:rsidRPr="00032DA6">
              <w:rPr>
                <w:rFonts w:eastAsia="Times New Roman" w:cstheme="majorBidi"/>
                <w:lang w:val="en-GB"/>
              </w:rPr>
              <w:t>3.7</w:t>
            </w:r>
          </w:p>
        </w:tc>
        <w:tc>
          <w:tcPr>
            <w:tcW w:w="1260" w:type="dxa"/>
          </w:tcPr>
          <w:p w14:paraId="1420396F" w14:textId="77777777" w:rsidR="00766B47" w:rsidRPr="00032DA6" w:rsidRDefault="00766B47"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lang w:val="en-GB"/>
              </w:rPr>
            </w:pPr>
            <w:r w:rsidRPr="00032DA6">
              <w:rPr>
                <w:rFonts w:eastAsia="Times New Roman" w:cstheme="majorBidi"/>
                <w:lang w:val="en-GB"/>
              </w:rPr>
              <w:t>6.5</w:t>
            </w:r>
          </w:p>
        </w:tc>
      </w:tr>
      <w:tr w:rsidR="00766B47" w:rsidRPr="00032DA6" w14:paraId="1F57093B" w14:textId="77777777" w:rsidTr="00766B47">
        <w:trPr>
          <w:trHeight w:val="173"/>
        </w:trPr>
        <w:tc>
          <w:tcPr>
            <w:cnfStyle w:val="001000000000" w:firstRow="0" w:lastRow="0" w:firstColumn="1" w:lastColumn="0" w:oddVBand="0" w:evenVBand="0" w:oddHBand="0" w:evenHBand="0" w:firstRowFirstColumn="0" w:firstRowLastColumn="0" w:lastRowFirstColumn="0" w:lastRowLastColumn="0"/>
            <w:tcW w:w="2774" w:type="dxa"/>
          </w:tcPr>
          <w:p w14:paraId="6C8B7AE3" w14:textId="77777777" w:rsidR="00766B47" w:rsidRPr="00032DA6" w:rsidRDefault="00766B47" w:rsidP="00DE108C">
            <w:pPr>
              <w:spacing w:line="276" w:lineRule="auto"/>
              <w:rPr>
                <w:rFonts w:cstheme="majorBidi"/>
                <w:color w:val="auto"/>
                <w:lang w:val="en-GB"/>
              </w:rPr>
            </w:pPr>
            <w:r w:rsidRPr="00032DA6">
              <w:rPr>
                <w:rFonts w:cstheme="majorBidi"/>
                <w:color w:val="auto"/>
                <w:lang w:val="en-GB"/>
              </w:rPr>
              <w:t>Strong Effect</w:t>
            </w:r>
          </w:p>
        </w:tc>
        <w:tc>
          <w:tcPr>
            <w:tcW w:w="1048" w:type="dxa"/>
          </w:tcPr>
          <w:p w14:paraId="3DF6394C" w14:textId="77777777" w:rsidR="00766B47" w:rsidRPr="00032DA6" w:rsidRDefault="00766B47"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lang w:val="en-GB"/>
              </w:rPr>
            </w:pPr>
            <w:r w:rsidRPr="00032DA6">
              <w:rPr>
                <w:rFonts w:eastAsia="Times New Roman" w:cstheme="majorBidi"/>
                <w:lang w:val="en-GB"/>
              </w:rPr>
              <w:t>87.9</w:t>
            </w:r>
          </w:p>
        </w:tc>
        <w:tc>
          <w:tcPr>
            <w:tcW w:w="1573" w:type="dxa"/>
          </w:tcPr>
          <w:p w14:paraId="2A00E291" w14:textId="77777777" w:rsidR="00766B47" w:rsidRPr="00032DA6" w:rsidRDefault="00766B47"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lang w:val="en-GB"/>
              </w:rPr>
            </w:pPr>
            <w:r w:rsidRPr="00032DA6">
              <w:rPr>
                <w:rFonts w:eastAsia="Times New Roman" w:cstheme="majorBidi"/>
                <w:lang w:val="en-GB"/>
              </w:rPr>
              <w:t>98.4</w:t>
            </w:r>
          </w:p>
        </w:tc>
        <w:tc>
          <w:tcPr>
            <w:tcW w:w="1214" w:type="dxa"/>
          </w:tcPr>
          <w:p w14:paraId="7F0092DD" w14:textId="77777777" w:rsidR="00766B47" w:rsidRPr="00032DA6" w:rsidRDefault="00766B47"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lang w:val="en-GB"/>
              </w:rPr>
            </w:pPr>
            <w:r w:rsidRPr="00032DA6">
              <w:rPr>
                <w:rFonts w:eastAsia="Times New Roman" w:cstheme="majorBidi"/>
                <w:lang w:val="en-GB"/>
              </w:rPr>
              <w:t>88.8</w:t>
            </w:r>
          </w:p>
        </w:tc>
        <w:tc>
          <w:tcPr>
            <w:tcW w:w="1215" w:type="dxa"/>
          </w:tcPr>
          <w:p w14:paraId="540F1F58" w14:textId="77777777" w:rsidR="00766B47" w:rsidRPr="00032DA6" w:rsidRDefault="00766B47"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lang w:val="en-GB"/>
              </w:rPr>
            </w:pPr>
            <w:r w:rsidRPr="00032DA6">
              <w:rPr>
                <w:rFonts w:eastAsia="Times New Roman" w:cstheme="majorBidi"/>
                <w:lang w:val="en-GB"/>
              </w:rPr>
              <w:t>88.8</w:t>
            </w:r>
          </w:p>
        </w:tc>
        <w:tc>
          <w:tcPr>
            <w:tcW w:w="1260" w:type="dxa"/>
          </w:tcPr>
          <w:p w14:paraId="633264EF" w14:textId="77777777" w:rsidR="00766B47" w:rsidRPr="00032DA6" w:rsidRDefault="00766B47"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lang w:val="en-GB"/>
              </w:rPr>
            </w:pPr>
            <w:r w:rsidRPr="00032DA6">
              <w:rPr>
                <w:rFonts w:eastAsia="Times New Roman" w:cstheme="majorBidi"/>
                <w:lang w:val="en-GB"/>
              </w:rPr>
              <w:t>84.7</w:t>
            </w:r>
          </w:p>
        </w:tc>
      </w:tr>
      <w:tr w:rsidR="00766B47" w:rsidRPr="00032DA6" w14:paraId="2B4EA562" w14:textId="77777777" w:rsidTr="00766B47">
        <w:trPr>
          <w:trHeight w:val="166"/>
        </w:trPr>
        <w:tc>
          <w:tcPr>
            <w:cnfStyle w:val="001000000000" w:firstRow="0" w:lastRow="0" w:firstColumn="1" w:lastColumn="0" w:oddVBand="0" w:evenVBand="0" w:oddHBand="0" w:evenHBand="0" w:firstRowFirstColumn="0" w:firstRowLastColumn="0" w:lastRowFirstColumn="0" w:lastRowLastColumn="0"/>
            <w:tcW w:w="2774" w:type="dxa"/>
          </w:tcPr>
          <w:p w14:paraId="6909DF31" w14:textId="77777777" w:rsidR="00766B47" w:rsidRPr="00032DA6" w:rsidRDefault="00766B47" w:rsidP="00DE108C">
            <w:pPr>
              <w:spacing w:line="276" w:lineRule="auto"/>
              <w:rPr>
                <w:rFonts w:cstheme="majorBidi"/>
                <w:color w:val="auto"/>
                <w:lang w:val="en-GB"/>
              </w:rPr>
            </w:pPr>
            <w:r w:rsidRPr="00032DA6">
              <w:rPr>
                <w:rFonts w:cstheme="majorBidi"/>
                <w:color w:val="auto"/>
                <w:lang w:val="en-GB"/>
              </w:rPr>
              <w:t>Total</w:t>
            </w:r>
          </w:p>
        </w:tc>
        <w:tc>
          <w:tcPr>
            <w:tcW w:w="1048" w:type="dxa"/>
          </w:tcPr>
          <w:p w14:paraId="3AC454EF" w14:textId="77777777" w:rsidR="00766B47" w:rsidRPr="00032DA6" w:rsidRDefault="00766B47"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lang w:val="en-GB"/>
              </w:rPr>
            </w:pPr>
            <w:r w:rsidRPr="00032DA6">
              <w:rPr>
                <w:rFonts w:eastAsia="Times New Roman" w:cstheme="majorBidi"/>
                <w:lang w:val="en-GB"/>
              </w:rPr>
              <w:t>100</w:t>
            </w:r>
          </w:p>
        </w:tc>
        <w:tc>
          <w:tcPr>
            <w:tcW w:w="1573" w:type="dxa"/>
          </w:tcPr>
          <w:p w14:paraId="18FB3183" w14:textId="77777777" w:rsidR="00766B47" w:rsidRPr="00032DA6" w:rsidRDefault="00766B47"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lang w:val="en-GB"/>
              </w:rPr>
            </w:pPr>
            <w:r w:rsidRPr="00032DA6">
              <w:rPr>
                <w:rFonts w:eastAsia="Times New Roman" w:cstheme="majorBidi"/>
                <w:lang w:val="en-GB"/>
              </w:rPr>
              <w:t>100</w:t>
            </w:r>
          </w:p>
        </w:tc>
        <w:tc>
          <w:tcPr>
            <w:tcW w:w="1214" w:type="dxa"/>
          </w:tcPr>
          <w:p w14:paraId="77A73C83" w14:textId="77777777" w:rsidR="00766B47" w:rsidRPr="00032DA6" w:rsidRDefault="00766B47"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lang w:val="en-GB"/>
              </w:rPr>
            </w:pPr>
            <w:r w:rsidRPr="00032DA6">
              <w:rPr>
                <w:rFonts w:eastAsia="Times New Roman" w:cstheme="majorBidi"/>
                <w:lang w:val="en-GB"/>
              </w:rPr>
              <w:t>100</w:t>
            </w:r>
          </w:p>
        </w:tc>
        <w:tc>
          <w:tcPr>
            <w:tcW w:w="1215" w:type="dxa"/>
          </w:tcPr>
          <w:p w14:paraId="65C96A32" w14:textId="77777777" w:rsidR="00766B47" w:rsidRPr="00032DA6" w:rsidRDefault="00766B47"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lang w:val="en-GB"/>
              </w:rPr>
            </w:pPr>
            <w:r w:rsidRPr="00032DA6">
              <w:rPr>
                <w:rFonts w:cstheme="majorBidi"/>
                <w:lang w:val="en-GB"/>
              </w:rPr>
              <w:t>100</w:t>
            </w:r>
          </w:p>
        </w:tc>
        <w:tc>
          <w:tcPr>
            <w:tcW w:w="1260" w:type="dxa"/>
          </w:tcPr>
          <w:p w14:paraId="7AFBDCB2" w14:textId="77777777" w:rsidR="00766B47" w:rsidRPr="00032DA6" w:rsidRDefault="00766B47"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lang w:val="en-GB"/>
              </w:rPr>
            </w:pPr>
            <w:r w:rsidRPr="00032DA6">
              <w:rPr>
                <w:rFonts w:cstheme="majorBidi"/>
                <w:lang w:val="en-GB"/>
              </w:rPr>
              <w:t>100</w:t>
            </w:r>
          </w:p>
        </w:tc>
      </w:tr>
    </w:tbl>
    <w:p w14:paraId="2A2E2F36" w14:textId="321DBA7D" w:rsidR="005B5B74" w:rsidRPr="00032DA6" w:rsidRDefault="00766B47" w:rsidP="00DE108C">
      <w:pPr>
        <w:spacing w:line="276" w:lineRule="auto"/>
        <w:rPr>
          <w:rFonts w:eastAsia="Times New Roman" w:cstheme="majorBidi"/>
          <w:b/>
          <w:bCs/>
          <w:i/>
          <w:iCs/>
          <w:color w:val="000000"/>
          <w:lang w:val="en-GB"/>
        </w:rPr>
      </w:pPr>
      <w:r w:rsidRPr="00032DA6">
        <w:rPr>
          <w:rFonts w:eastAsia="Times New Roman" w:cstheme="majorBidi"/>
          <w:b/>
          <w:bCs/>
          <w:color w:val="000000"/>
          <w:lang w:val="en-GB"/>
        </w:rPr>
        <w:t xml:space="preserve"> </w:t>
      </w:r>
      <w:r w:rsidR="005B5B74" w:rsidRPr="00032DA6">
        <w:rPr>
          <w:rFonts w:eastAsia="Times New Roman" w:cstheme="majorBidi"/>
          <w:b/>
          <w:bCs/>
          <w:color w:val="000000"/>
          <w:lang w:val="en-GB"/>
        </w:rPr>
        <w:t>Table (</w:t>
      </w:r>
      <w:r w:rsidR="00064D91">
        <w:rPr>
          <w:rFonts w:eastAsia="Times New Roman" w:cstheme="majorBidi"/>
          <w:b/>
          <w:bCs/>
          <w:color w:val="000000"/>
          <w:lang w:val="en-GB"/>
        </w:rPr>
        <w:t>5</w:t>
      </w:r>
      <w:r w:rsidR="005B5B74" w:rsidRPr="00032DA6">
        <w:rPr>
          <w:rFonts w:eastAsia="Times New Roman" w:cstheme="majorBidi"/>
          <w:b/>
          <w:bCs/>
          <w:color w:val="000000"/>
          <w:lang w:val="en-GB"/>
        </w:rPr>
        <w:t xml:space="preserve">): </w:t>
      </w:r>
      <w:r w:rsidR="00A46D18" w:rsidRPr="00032DA6">
        <w:rPr>
          <w:rFonts w:eastAsia="Times New Roman" w:cstheme="majorBidi"/>
          <w:b/>
          <w:bCs/>
          <w:color w:val="000000"/>
          <w:lang w:val="en-GB"/>
        </w:rPr>
        <w:t xml:space="preserve">Factors </w:t>
      </w:r>
      <w:r w:rsidRPr="00032DA6">
        <w:rPr>
          <w:rFonts w:eastAsia="Times New Roman" w:cstheme="majorBidi"/>
          <w:b/>
          <w:bCs/>
          <w:color w:val="000000"/>
          <w:lang w:val="en-GB"/>
        </w:rPr>
        <w:t>A</w:t>
      </w:r>
      <w:r w:rsidR="00A46D18" w:rsidRPr="00032DA6">
        <w:rPr>
          <w:rFonts w:eastAsia="Times New Roman" w:cstheme="majorBidi"/>
          <w:b/>
          <w:bCs/>
          <w:color w:val="000000"/>
          <w:lang w:val="en-GB"/>
        </w:rPr>
        <w:t xml:space="preserve">ffecting </w:t>
      </w:r>
      <w:r w:rsidRPr="00032DA6">
        <w:rPr>
          <w:rFonts w:eastAsia="Times New Roman" w:cstheme="majorBidi"/>
          <w:b/>
          <w:bCs/>
          <w:color w:val="000000"/>
          <w:lang w:val="en-GB"/>
        </w:rPr>
        <w:t>H</w:t>
      </w:r>
      <w:r w:rsidR="00A46D18" w:rsidRPr="00032DA6">
        <w:rPr>
          <w:rFonts w:eastAsia="Times New Roman" w:cstheme="majorBidi"/>
          <w:b/>
          <w:bCs/>
          <w:color w:val="000000"/>
          <w:lang w:val="en-GB"/>
        </w:rPr>
        <w:t>ome</w:t>
      </w:r>
      <w:r w:rsidRPr="00032DA6">
        <w:rPr>
          <w:rFonts w:eastAsia="Times New Roman" w:cstheme="majorBidi"/>
          <w:b/>
          <w:bCs/>
          <w:color w:val="000000"/>
          <w:lang w:val="en-GB"/>
        </w:rPr>
        <w:t>b</w:t>
      </w:r>
      <w:r w:rsidR="00A46D18" w:rsidRPr="00032DA6">
        <w:rPr>
          <w:rFonts w:eastAsia="Times New Roman" w:cstheme="majorBidi"/>
          <w:b/>
          <w:bCs/>
          <w:color w:val="000000"/>
          <w:lang w:val="en-GB"/>
        </w:rPr>
        <w:t xml:space="preserve">uying </w:t>
      </w:r>
      <w:r w:rsidRPr="00032DA6">
        <w:rPr>
          <w:rFonts w:eastAsia="Times New Roman" w:cstheme="majorBidi"/>
          <w:b/>
          <w:bCs/>
          <w:color w:val="000000"/>
          <w:lang w:val="en-GB"/>
        </w:rPr>
        <w:t>D</w:t>
      </w:r>
      <w:r w:rsidR="00A46D18" w:rsidRPr="00032DA6">
        <w:rPr>
          <w:rFonts w:eastAsia="Times New Roman" w:cstheme="majorBidi"/>
          <w:b/>
          <w:bCs/>
          <w:color w:val="000000"/>
          <w:lang w:val="en-GB"/>
        </w:rPr>
        <w:t>ecision</w:t>
      </w:r>
      <w:r w:rsidRPr="00032DA6">
        <w:rPr>
          <w:rFonts w:eastAsia="Times New Roman" w:cstheme="majorBidi"/>
          <w:b/>
          <w:bCs/>
          <w:color w:val="000000"/>
          <w:lang w:val="en-GB"/>
        </w:rPr>
        <w:t>s</w:t>
      </w:r>
    </w:p>
    <w:p w14:paraId="46086F6A" w14:textId="77777777" w:rsidR="00982BC2" w:rsidRPr="00032DA6" w:rsidRDefault="00982BC2" w:rsidP="00DE108C">
      <w:pPr>
        <w:spacing w:line="276" w:lineRule="auto"/>
        <w:rPr>
          <w:rFonts w:cstheme="majorBidi"/>
          <w:sz w:val="6"/>
          <w:szCs w:val="6"/>
          <w:lang w:val="en-GB"/>
        </w:rPr>
      </w:pPr>
    </w:p>
    <w:p w14:paraId="2DABC97E" w14:textId="1E95E780" w:rsidR="00982BC2" w:rsidRPr="00032DA6" w:rsidRDefault="00982BC2" w:rsidP="00DE108C">
      <w:pPr>
        <w:spacing w:line="276" w:lineRule="auto"/>
        <w:ind w:firstLine="340"/>
        <w:jc w:val="both"/>
        <w:rPr>
          <w:rFonts w:cstheme="majorBidi"/>
          <w:color w:val="FF0000"/>
          <w:lang w:val="en-GB"/>
        </w:rPr>
      </w:pPr>
      <w:r w:rsidRPr="00032DA6">
        <w:rPr>
          <w:rFonts w:cstheme="majorBidi"/>
          <w:lang w:val="en-GB"/>
        </w:rPr>
        <w:t>Respondents perceived infrastructure, real-estate taxes and fees, ease of resale, location, as well as finishing level as significantly important determinants of their homebuying decisions</w:t>
      </w:r>
      <w:r w:rsidR="00626BF2" w:rsidRPr="00032DA6">
        <w:rPr>
          <w:rFonts w:cstheme="majorBidi"/>
          <w:lang w:val="en-GB"/>
        </w:rPr>
        <w:t xml:space="preserve"> (table </w:t>
      </w:r>
      <w:r w:rsidR="00064D91">
        <w:rPr>
          <w:rFonts w:cstheme="majorBidi"/>
          <w:lang w:val="en-GB"/>
        </w:rPr>
        <w:t>5</w:t>
      </w:r>
      <w:r w:rsidR="00626BF2" w:rsidRPr="00032DA6">
        <w:rPr>
          <w:rFonts w:cstheme="majorBidi"/>
          <w:lang w:val="en-GB"/>
        </w:rPr>
        <w:t>)</w:t>
      </w:r>
      <w:r w:rsidRPr="00032DA6">
        <w:rPr>
          <w:rFonts w:cstheme="majorBidi"/>
          <w:lang w:val="en-GB"/>
        </w:rPr>
        <w:t xml:space="preserve">. The fact that 88.8% of the surveyed </w:t>
      </w:r>
      <w:bookmarkStart w:id="42" w:name="_Hlk91327262"/>
      <w:r w:rsidRPr="00032DA6">
        <w:rPr>
          <w:rFonts w:cstheme="majorBidi"/>
          <w:lang w:val="en-GB"/>
        </w:rPr>
        <w:t xml:space="preserve">sample believe that real-estate taxes and fees have a strong effect on homebuying decisions emphasises </w:t>
      </w:r>
      <w:r w:rsidR="00F07759" w:rsidRPr="00032DA6">
        <w:rPr>
          <w:rFonts w:cstheme="majorBidi"/>
          <w:lang w:val="en-GB"/>
        </w:rPr>
        <w:t>that</w:t>
      </w:r>
      <w:r w:rsidRPr="00032DA6">
        <w:rPr>
          <w:rFonts w:cstheme="majorBidi"/>
          <w:lang w:val="en-GB"/>
        </w:rPr>
        <w:t xml:space="preserve"> </w:t>
      </w:r>
      <w:r w:rsidR="00F07759" w:rsidRPr="00032DA6">
        <w:rPr>
          <w:rFonts w:cstheme="majorBidi"/>
          <w:lang w:val="en-GB"/>
        </w:rPr>
        <w:t>they are</w:t>
      </w:r>
      <w:r w:rsidRPr="00032DA6">
        <w:rPr>
          <w:rFonts w:cstheme="majorBidi"/>
          <w:lang w:val="en-GB"/>
        </w:rPr>
        <w:t xml:space="preserve"> key institutional determinant</w:t>
      </w:r>
      <w:r w:rsidR="00F07759" w:rsidRPr="00032DA6">
        <w:rPr>
          <w:rFonts w:cstheme="majorBidi"/>
          <w:lang w:val="en-GB"/>
        </w:rPr>
        <w:t>s</w:t>
      </w:r>
      <w:r w:rsidRPr="00032DA6">
        <w:rPr>
          <w:rFonts w:cstheme="majorBidi"/>
          <w:lang w:val="en-GB"/>
        </w:rPr>
        <w:t xml:space="preserve"> of housing </w:t>
      </w:r>
      <w:bookmarkEnd w:id="42"/>
      <w:r w:rsidR="005B5B74" w:rsidRPr="00032DA6">
        <w:rPr>
          <w:rFonts w:cstheme="majorBidi"/>
          <w:lang w:val="en-GB"/>
        </w:rPr>
        <w:t>prices</w:t>
      </w:r>
      <w:r w:rsidR="00F34FFA" w:rsidRPr="00032DA6">
        <w:rPr>
          <w:rFonts w:cstheme="majorBidi"/>
          <w:lang w:val="en-GB"/>
        </w:rPr>
        <w:t xml:space="preserve"> and</w:t>
      </w:r>
      <w:r w:rsidR="005B5B74" w:rsidRPr="00032DA6">
        <w:rPr>
          <w:rFonts w:cstheme="majorBidi"/>
          <w:lang w:val="en-GB"/>
        </w:rPr>
        <w:t xml:space="preserve"> </w:t>
      </w:r>
      <w:r w:rsidR="005B5B74" w:rsidRPr="00032DA6">
        <w:rPr>
          <w:rFonts w:cstheme="majorBidi"/>
          <w:shd w:val="clear" w:color="auto" w:fill="FFFFFF"/>
          <w:lang w:val="en-GB"/>
        </w:rPr>
        <w:t>is</w:t>
      </w:r>
      <w:r w:rsidR="009019EE" w:rsidRPr="00032DA6">
        <w:rPr>
          <w:rFonts w:cstheme="majorBidi"/>
          <w:shd w:val="clear" w:color="auto" w:fill="FFFFFF"/>
          <w:lang w:val="en-GB"/>
        </w:rPr>
        <w:t xml:space="preserve"> also supported by literature such as </w:t>
      </w:r>
      <w:r w:rsidRPr="00032DA6">
        <w:rPr>
          <w:rFonts w:cstheme="majorBidi"/>
          <w:shd w:val="clear" w:color="auto" w:fill="FFFFFF"/>
          <w:lang w:val="en-GB"/>
        </w:rPr>
        <w:t xml:space="preserve">Baffoe-Bonnie </w:t>
      </w:r>
      <w:r w:rsidR="009019EE" w:rsidRPr="00032DA6">
        <w:rPr>
          <w:rFonts w:cstheme="majorBidi"/>
          <w:shd w:val="clear" w:color="auto" w:fill="FFFFFF"/>
          <w:lang w:val="en-GB"/>
        </w:rPr>
        <w:t>(</w:t>
      </w:r>
      <w:r w:rsidRPr="00032DA6">
        <w:rPr>
          <w:rFonts w:cstheme="majorBidi"/>
          <w:shd w:val="clear" w:color="auto" w:fill="FFFFFF"/>
          <w:lang w:val="en-GB"/>
        </w:rPr>
        <w:t>1998</w:t>
      </w:r>
      <w:r w:rsidR="009019EE" w:rsidRPr="00032DA6">
        <w:rPr>
          <w:rFonts w:cstheme="majorBidi"/>
          <w:shd w:val="clear" w:color="auto" w:fill="FFFFFF"/>
          <w:lang w:val="en-GB"/>
        </w:rPr>
        <w:t>)</w:t>
      </w:r>
      <w:r w:rsidRPr="00032DA6">
        <w:rPr>
          <w:rFonts w:cstheme="majorBidi"/>
          <w:shd w:val="clear" w:color="auto" w:fill="FFFFFF"/>
          <w:lang w:val="en-GB"/>
        </w:rPr>
        <w:t xml:space="preserve"> </w:t>
      </w:r>
      <w:r w:rsidR="009019EE" w:rsidRPr="00032DA6">
        <w:rPr>
          <w:rFonts w:cstheme="majorBidi"/>
          <w:shd w:val="clear" w:color="auto" w:fill="FFFFFF"/>
          <w:lang w:val="en-GB"/>
        </w:rPr>
        <w:t xml:space="preserve">and </w:t>
      </w:r>
      <w:r w:rsidRPr="00032DA6">
        <w:rPr>
          <w:rFonts w:cstheme="majorBidi"/>
          <w:shd w:val="clear" w:color="auto" w:fill="FFFFFF"/>
          <w:lang w:val="en-GB"/>
        </w:rPr>
        <w:t xml:space="preserve">Geng </w:t>
      </w:r>
      <w:r w:rsidR="009019EE" w:rsidRPr="00032DA6">
        <w:rPr>
          <w:rFonts w:cstheme="majorBidi"/>
          <w:shd w:val="clear" w:color="auto" w:fill="FFFFFF"/>
          <w:lang w:val="en-GB"/>
        </w:rPr>
        <w:t>(</w:t>
      </w:r>
      <w:r w:rsidRPr="00032DA6">
        <w:rPr>
          <w:rFonts w:cstheme="majorBidi"/>
          <w:shd w:val="clear" w:color="auto" w:fill="FFFFFF"/>
          <w:lang w:val="en-GB"/>
        </w:rPr>
        <w:t>2018).</w:t>
      </w:r>
      <w:r w:rsidRPr="00032DA6">
        <w:rPr>
          <w:rStyle w:val="apple-converted-space"/>
          <w:rFonts w:cstheme="majorBidi"/>
          <w:shd w:val="clear" w:color="auto" w:fill="FFFFFF"/>
          <w:lang w:val="en-GB"/>
        </w:rPr>
        <w:t> </w:t>
      </w:r>
    </w:p>
    <w:p w14:paraId="37907362" w14:textId="792BF9C5" w:rsidR="00F12B0F" w:rsidRPr="00032DA6" w:rsidRDefault="00982BC2" w:rsidP="00DE108C">
      <w:pPr>
        <w:pStyle w:val="Heading2"/>
        <w:numPr>
          <w:ilvl w:val="0"/>
          <w:numId w:val="23"/>
        </w:numPr>
        <w:spacing w:line="276" w:lineRule="auto"/>
        <w:rPr>
          <w:lang w:val="en-GB"/>
        </w:rPr>
      </w:pPr>
      <w:bookmarkStart w:id="43" w:name="_Toc91107883"/>
      <w:bookmarkStart w:id="44" w:name="_Toc91438047"/>
      <w:r w:rsidRPr="00032DA6">
        <w:rPr>
          <w:lang w:val="en-GB"/>
        </w:rPr>
        <w:t>Government Real</w:t>
      </w:r>
      <w:r w:rsidR="00F07759" w:rsidRPr="00032DA6">
        <w:rPr>
          <w:lang w:val="en-GB"/>
        </w:rPr>
        <w:t>-</w:t>
      </w:r>
      <w:r w:rsidRPr="00032DA6">
        <w:rPr>
          <w:lang w:val="en-GB"/>
        </w:rPr>
        <w:t>Estate and Housing Policies</w:t>
      </w:r>
      <w:bookmarkEnd w:id="43"/>
      <w:bookmarkEnd w:id="44"/>
    </w:p>
    <w:p w14:paraId="76E05CF9" w14:textId="0D1815BD" w:rsidR="005B5B74" w:rsidRPr="00032DA6" w:rsidRDefault="00F12B0F" w:rsidP="00DE108C">
      <w:pPr>
        <w:spacing w:line="276" w:lineRule="auto"/>
        <w:ind w:firstLine="340"/>
        <w:jc w:val="both"/>
        <w:rPr>
          <w:rFonts w:eastAsia="Times New Roman" w:cstheme="majorBidi"/>
          <w:lang w:val="en-GB"/>
        </w:rPr>
      </w:pPr>
      <w:r w:rsidRPr="00032DA6">
        <w:rPr>
          <w:rFonts w:cstheme="majorBidi"/>
          <w:lang w:val="en-GB"/>
        </w:rPr>
        <w:t xml:space="preserve">Respondents from both surveys </w:t>
      </w:r>
      <w:r w:rsidR="00A1470A" w:rsidRPr="00032DA6">
        <w:rPr>
          <w:rFonts w:cstheme="majorBidi"/>
          <w:lang w:val="en-GB"/>
        </w:rPr>
        <w:t>affirmed</w:t>
      </w:r>
      <w:r w:rsidRPr="00032DA6">
        <w:rPr>
          <w:rFonts w:cstheme="majorBidi"/>
          <w:lang w:val="en-GB"/>
        </w:rPr>
        <w:t xml:space="preserve"> that s</w:t>
      </w:r>
      <w:bookmarkStart w:id="45" w:name="_Hlk91327395"/>
      <w:r w:rsidRPr="00032DA6">
        <w:rPr>
          <w:rFonts w:cstheme="majorBidi"/>
          <w:lang w:val="en-GB"/>
        </w:rPr>
        <w:t xml:space="preserve">tate projects and new cities </w:t>
      </w:r>
      <w:r w:rsidR="00F34FFA" w:rsidRPr="00032DA6">
        <w:rPr>
          <w:rFonts w:cstheme="majorBidi"/>
          <w:lang w:val="en-GB"/>
        </w:rPr>
        <w:t>were</w:t>
      </w:r>
      <w:r w:rsidRPr="00032DA6">
        <w:rPr>
          <w:rFonts w:cstheme="majorBidi"/>
          <w:lang w:val="en-GB"/>
        </w:rPr>
        <w:t xml:space="preserve"> key determinant</w:t>
      </w:r>
      <w:r w:rsidR="00F34FFA" w:rsidRPr="00032DA6">
        <w:rPr>
          <w:rFonts w:cstheme="majorBidi"/>
          <w:lang w:val="en-GB"/>
        </w:rPr>
        <w:t>s</w:t>
      </w:r>
      <w:r w:rsidRPr="00032DA6">
        <w:rPr>
          <w:rFonts w:cstheme="majorBidi"/>
          <w:lang w:val="en-GB"/>
        </w:rPr>
        <w:t xml:space="preserve"> of housing prices in Egypt over the past </w:t>
      </w:r>
      <w:r w:rsidR="00A1470A" w:rsidRPr="00032DA6">
        <w:rPr>
          <w:rFonts w:cstheme="majorBidi"/>
          <w:lang w:val="en-GB"/>
        </w:rPr>
        <w:t xml:space="preserve">five </w:t>
      </w:r>
      <w:r w:rsidRPr="00032DA6">
        <w:rPr>
          <w:rFonts w:cstheme="majorBidi"/>
          <w:lang w:val="en-GB"/>
        </w:rPr>
        <w:t>years</w:t>
      </w:r>
      <w:bookmarkEnd w:id="45"/>
      <w:r w:rsidRPr="00032DA6">
        <w:rPr>
          <w:rFonts w:cstheme="majorBidi"/>
          <w:lang w:val="en-GB"/>
        </w:rPr>
        <w:t xml:space="preserve"> (table</w:t>
      </w:r>
      <w:r w:rsidR="00626BF2" w:rsidRPr="00032DA6">
        <w:rPr>
          <w:rFonts w:cstheme="majorBidi"/>
          <w:lang w:val="en-GB"/>
        </w:rPr>
        <w:t xml:space="preserve"> </w:t>
      </w:r>
      <w:r w:rsidR="00064D91">
        <w:rPr>
          <w:rFonts w:cstheme="majorBidi"/>
          <w:lang w:val="en-GB"/>
        </w:rPr>
        <w:t>2</w:t>
      </w:r>
      <w:r w:rsidRPr="00032DA6">
        <w:rPr>
          <w:rFonts w:cstheme="majorBidi"/>
          <w:lang w:val="en-GB"/>
        </w:rPr>
        <w:t>). Findings from the developer</w:t>
      </w:r>
      <w:r w:rsidR="00A1470A" w:rsidRPr="00032DA6">
        <w:rPr>
          <w:rFonts w:cstheme="majorBidi"/>
          <w:lang w:val="en-GB"/>
        </w:rPr>
        <w:t>s and brokers</w:t>
      </w:r>
      <w:r w:rsidRPr="00032DA6">
        <w:rPr>
          <w:rFonts w:cstheme="majorBidi"/>
          <w:lang w:val="en-GB"/>
        </w:rPr>
        <w:t xml:space="preserve"> survey also emphasised that new </w:t>
      </w:r>
      <w:bookmarkStart w:id="46" w:name="_Hlk91327430"/>
      <w:r w:rsidRPr="00032DA6">
        <w:rPr>
          <w:rFonts w:cstheme="majorBidi"/>
          <w:lang w:val="en-GB"/>
        </w:rPr>
        <w:t>public housing projects was a chief challenge facing housing sales in Egypt during 2020</w:t>
      </w:r>
      <w:r w:rsidR="003B50B8" w:rsidRPr="00032DA6">
        <w:rPr>
          <w:rFonts w:cstheme="majorBidi"/>
          <w:lang w:val="en-GB"/>
        </w:rPr>
        <w:t xml:space="preserve">, </w:t>
      </w:r>
      <w:r w:rsidR="00A1470A" w:rsidRPr="00032DA6">
        <w:rPr>
          <w:rFonts w:cstheme="majorBidi"/>
          <w:lang w:val="en-GB"/>
        </w:rPr>
        <w:t>affirming</w:t>
      </w:r>
      <w:r w:rsidR="00A1470A" w:rsidRPr="00032DA6">
        <w:rPr>
          <w:rFonts w:cstheme="majorBidi"/>
          <w:shd w:val="clear" w:color="auto" w:fill="FFFFFF"/>
          <w:lang w:val="en-GB"/>
        </w:rPr>
        <w:t xml:space="preserve"> Milcheva &amp; Sebastian (2010) and Belke &amp; Keil (2018)</w:t>
      </w:r>
      <w:r w:rsidR="003B50B8" w:rsidRPr="00032DA6">
        <w:rPr>
          <w:rFonts w:cstheme="majorBidi"/>
          <w:lang w:val="en-GB"/>
        </w:rPr>
        <w:t xml:space="preserve"> </w:t>
      </w:r>
      <w:r w:rsidR="00A1470A" w:rsidRPr="00032DA6">
        <w:rPr>
          <w:rFonts w:cstheme="majorBidi"/>
          <w:shd w:val="clear" w:color="auto" w:fill="FFFFFF"/>
          <w:lang w:val="en-GB"/>
        </w:rPr>
        <w:t>earlier results</w:t>
      </w:r>
      <w:r w:rsidR="00A1470A" w:rsidRPr="00032DA6">
        <w:rPr>
          <w:rFonts w:cstheme="majorBidi"/>
          <w:lang w:val="en-GB"/>
        </w:rPr>
        <w:t xml:space="preserve"> </w:t>
      </w:r>
      <w:r w:rsidR="003B50B8" w:rsidRPr="00032DA6">
        <w:rPr>
          <w:rFonts w:cstheme="majorBidi"/>
          <w:lang w:val="en-GB"/>
        </w:rPr>
        <w:t xml:space="preserve">that the supply-side of the housing market is influenced by the government real-estate decisions including </w:t>
      </w:r>
      <w:r w:rsidR="00CF6A8F" w:rsidRPr="00032DA6">
        <w:rPr>
          <w:rFonts w:cstheme="majorBidi"/>
          <w:lang w:val="en-GB"/>
        </w:rPr>
        <w:t xml:space="preserve">the provision of </w:t>
      </w:r>
      <w:r w:rsidR="003B50B8" w:rsidRPr="00032DA6">
        <w:rPr>
          <w:rFonts w:cstheme="majorBidi"/>
          <w:lang w:val="en-GB"/>
        </w:rPr>
        <w:t>social housing</w:t>
      </w:r>
      <w:bookmarkEnd w:id="46"/>
      <w:r w:rsidR="00A1470A" w:rsidRPr="00032DA6">
        <w:rPr>
          <w:rFonts w:cstheme="majorBidi"/>
          <w:lang w:val="en-GB"/>
        </w:rPr>
        <w:t>.</w:t>
      </w:r>
      <w:r w:rsidR="008C527D" w:rsidRPr="00032DA6">
        <w:rPr>
          <w:rFonts w:cstheme="majorBidi"/>
          <w:shd w:val="clear" w:color="auto" w:fill="FFFFFF"/>
          <w:lang w:val="en-GB"/>
        </w:rPr>
        <w:t xml:space="preserve"> It </w:t>
      </w:r>
      <w:bookmarkStart w:id="47" w:name="_Hlk91328425"/>
      <w:r w:rsidR="008C527D" w:rsidRPr="00032DA6">
        <w:rPr>
          <w:rFonts w:cstheme="majorBidi"/>
          <w:shd w:val="clear" w:color="auto" w:fill="FFFFFF"/>
          <w:lang w:val="en-GB"/>
        </w:rPr>
        <w:t>is important to note, however, that a</w:t>
      </w:r>
      <w:r w:rsidR="008C527D" w:rsidRPr="00032DA6">
        <w:rPr>
          <w:rFonts w:cstheme="majorBidi"/>
          <w:lang w:val="en-GB"/>
        </w:rPr>
        <w:t xml:space="preserve">round </w:t>
      </w:r>
      <w:r w:rsidR="009D16D6" w:rsidRPr="00032DA6">
        <w:rPr>
          <w:rFonts w:cstheme="majorBidi"/>
          <w:lang w:val="en-GB"/>
        </w:rPr>
        <w:t>one</w:t>
      </w:r>
      <w:r w:rsidR="008C527D" w:rsidRPr="00032DA6">
        <w:rPr>
          <w:rFonts w:cstheme="majorBidi"/>
          <w:lang w:val="en-GB"/>
        </w:rPr>
        <w:t xml:space="preserve"> third of the surveyed developers</w:t>
      </w:r>
      <w:r w:rsidR="000672C2" w:rsidRPr="00032DA6">
        <w:rPr>
          <w:rFonts w:cstheme="majorBidi"/>
          <w:lang w:val="en-GB"/>
        </w:rPr>
        <w:t xml:space="preserve"> and brokers</w:t>
      </w:r>
      <w:r w:rsidR="008C527D" w:rsidRPr="00032DA6">
        <w:rPr>
          <w:rFonts w:cstheme="majorBidi"/>
          <w:lang w:val="en-GB"/>
        </w:rPr>
        <w:t xml:space="preserve"> believe that </w:t>
      </w:r>
      <w:r w:rsidR="009D16D6" w:rsidRPr="00032DA6">
        <w:rPr>
          <w:rFonts w:cstheme="majorBidi"/>
          <w:lang w:val="en-GB"/>
        </w:rPr>
        <w:t>government</w:t>
      </w:r>
      <w:r w:rsidR="008C527D" w:rsidRPr="00032DA6">
        <w:rPr>
          <w:rFonts w:cstheme="majorBidi"/>
          <w:lang w:val="en-GB"/>
        </w:rPr>
        <w:t xml:space="preserve"> social housing projects </w:t>
      </w:r>
      <w:r w:rsidR="009D16D6" w:rsidRPr="00032DA6">
        <w:rPr>
          <w:rFonts w:cstheme="majorBidi"/>
          <w:lang w:val="en-GB"/>
        </w:rPr>
        <w:t>do</w:t>
      </w:r>
      <w:r w:rsidR="008C527D" w:rsidRPr="00032DA6">
        <w:rPr>
          <w:rFonts w:cstheme="majorBidi"/>
          <w:lang w:val="en-GB"/>
        </w:rPr>
        <w:t xml:space="preserve"> impact the demand on housing demand</w:t>
      </w:r>
      <w:r w:rsidR="00626BF2" w:rsidRPr="00032DA6">
        <w:rPr>
          <w:rFonts w:cstheme="majorBidi"/>
          <w:lang w:val="en-GB"/>
        </w:rPr>
        <w:t xml:space="preserve"> (table </w:t>
      </w:r>
      <w:r w:rsidR="00064D91">
        <w:rPr>
          <w:rFonts w:cstheme="majorBidi"/>
          <w:lang w:val="en-GB"/>
        </w:rPr>
        <w:t>6</w:t>
      </w:r>
      <w:r w:rsidR="00626BF2" w:rsidRPr="00032DA6">
        <w:rPr>
          <w:rFonts w:cstheme="majorBidi"/>
          <w:lang w:val="en-GB"/>
        </w:rPr>
        <w:t>)</w:t>
      </w:r>
      <w:r w:rsidR="008C527D" w:rsidRPr="00032DA6">
        <w:rPr>
          <w:rFonts w:cstheme="majorBidi"/>
          <w:lang w:val="en-GB"/>
        </w:rPr>
        <w:t xml:space="preserve">.  </w:t>
      </w:r>
      <w:r w:rsidR="003D560A" w:rsidRPr="00032DA6">
        <w:rPr>
          <w:rFonts w:cstheme="majorBidi"/>
          <w:lang w:val="en-GB"/>
        </w:rPr>
        <w:t>The majority of those who believe that the government’s social housing projects have an impact argue that they tend to decrease the demand on housing in the private sector</w:t>
      </w:r>
      <w:bookmarkEnd w:id="47"/>
      <w:r w:rsidR="003D560A" w:rsidRPr="00032DA6">
        <w:rPr>
          <w:rFonts w:cstheme="majorBidi"/>
          <w:lang w:val="en-GB"/>
        </w:rPr>
        <w:t>.</w:t>
      </w:r>
      <w:r w:rsidR="005B5B74" w:rsidRPr="00032DA6">
        <w:rPr>
          <w:rFonts w:eastAsia="Times New Roman" w:cstheme="majorBidi"/>
          <w:lang w:val="en-GB"/>
        </w:rPr>
        <w:t xml:space="preserve"> </w:t>
      </w:r>
    </w:p>
    <w:p w14:paraId="02363CA0" w14:textId="35C14628" w:rsidR="008C527D" w:rsidRPr="00032DA6" w:rsidRDefault="005B5B74" w:rsidP="00DE108C">
      <w:pPr>
        <w:spacing w:after="0" w:line="276" w:lineRule="auto"/>
        <w:ind w:hanging="90"/>
        <w:rPr>
          <w:rFonts w:cstheme="majorBidi"/>
          <w:b/>
          <w:bCs/>
          <w:lang w:val="en-GB"/>
        </w:rPr>
      </w:pPr>
      <w:r w:rsidRPr="00032DA6">
        <w:rPr>
          <w:rFonts w:eastAsia="Times New Roman" w:cstheme="majorBidi"/>
          <w:b/>
          <w:bCs/>
          <w:lang w:val="en-GB"/>
        </w:rPr>
        <w:t>Table (</w:t>
      </w:r>
      <w:r w:rsidR="00064D91">
        <w:rPr>
          <w:rFonts w:eastAsia="Times New Roman" w:cstheme="majorBidi"/>
          <w:b/>
          <w:bCs/>
          <w:lang w:val="en-GB"/>
        </w:rPr>
        <w:t>6</w:t>
      </w:r>
      <w:r w:rsidRPr="00032DA6">
        <w:rPr>
          <w:rFonts w:eastAsia="Times New Roman" w:cstheme="majorBidi"/>
          <w:b/>
          <w:bCs/>
          <w:lang w:val="en-GB"/>
        </w:rPr>
        <w:t xml:space="preserve">): Social </w:t>
      </w:r>
      <w:r w:rsidR="00766B47" w:rsidRPr="00032DA6">
        <w:rPr>
          <w:rFonts w:eastAsia="Times New Roman" w:cstheme="majorBidi"/>
          <w:b/>
          <w:bCs/>
          <w:lang w:val="en-GB"/>
        </w:rPr>
        <w:t>H</w:t>
      </w:r>
      <w:r w:rsidRPr="00032DA6">
        <w:rPr>
          <w:rFonts w:eastAsia="Times New Roman" w:cstheme="majorBidi"/>
          <w:b/>
          <w:bCs/>
          <w:lang w:val="en-GB"/>
        </w:rPr>
        <w:t xml:space="preserve">ousing Impact on </w:t>
      </w:r>
      <w:r w:rsidR="00766B47" w:rsidRPr="00032DA6">
        <w:rPr>
          <w:rFonts w:eastAsia="Times New Roman" w:cstheme="majorBidi"/>
          <w:b/>
          <w:bCs/>
          <w:lang w:val="en-GB"/>
        </w:rPr>
        <w:t>H</w:t>
      </w:r>
      <w:r w:rsidRPr="00032DA6">
        <w:rPr>
          <w:rFonts w:eastAsia="Times New Roman" w:cstheme="majorBidi"/>
          <w:b/>
          <w:bCs/>
          <w:lang w:val="en-GB"/>
        </w:rPr>
        <w:t xml:space="preserve">ousing </w:t>
      </w:r>
      <w:r w:rsidR="00766B47" w:rsidRPr="00032DA6">
        <w:rPr>
          <w:rFonts w:eastAsia="Times New Roman" w:cstheme="majorBidi"/>
          <w:b/>
          <w:bCs/>
          <w:lang w:val="en-GB"/>
        </w:rPr>
        <w:t>D</w:t>
      </w:r>
      <w:r w:rsidRPr="00032DA6">
        <w:rPr>
          <w:rFonts w:eastAsia="Times New Roman" w:cstheme="majorBidi"/>
          <w:b/>
          <w:bCs/>
          <w:lang w:val="en-GB"/>
        </w:rPr>
        <w:t>emand in Egyp</w:t>
      </w:r>
      <w:r w:rsidR="009D16D6" w:rsidRPr="00032DA6">
        <w:rPr>
          <w:rFonts w:eastAsia="Times New Roman" w:cstheme="majorBidi"/>
          <w:b/>
          <w:bCs/>
          <w:lang w:val="en-GB"/>
        </w:rPr>
        <w:t>t</w:t>
      </w:r>
    </w:p>
    <w:tbl>
      <w:tblPr>
        <w:tblStyle w:val="GridTable5Dark-Accent3"/>
        <w:tblW w:w="0" w:type="auto"/>
        <w:tblInd w:w="-5" w:type="dxa"/>
        <w:tblLook w:val="06A0" w:firstRow="1" w:lastRow="0" w:firstColumn="1" w:lastColumn="0" w:noHBand="1" w:noVBand="1"/>
      </w:tblPr>
      <w:tblGrid>
        <w:gridCol w:w="4866"/>
        <w:gridCol w:w="1614"/>
        <w:gridCol w:w="1350"/>
        <w:gridCol w:w="1525"/>
      </w:tblGrid>
      <w:tr w:rsidR="00644CB5" w:rsidRPr="00032DA6" w14:paraId="3B7DC116" w14:textId="77777777" w:rsidTr="00317FAB">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hideMark/>
          </w:tcPr>
          <w:p w14:paraId="75C066CA" w14:textId="2A8B540D" w:rsidR="008C527D" w:rsidRPr="00032DA6" w:rsidRDefault="008C527D" w:rsidP="00DE108C">
            <w:pPr>
              <w:pStyle w:val="NoSpacing"/>
              <w:spacing w:line="276" w:lineRule="auto"/>
              <w:rPr>
                <w:rFonts w:asciiTheme="majorBidi" w:hAnsiTheme="majorBidi" w:cstheme="majorBidi"/>
                <w:color w:val="auto"/>
                <w:lang w:val="en-GB"/>
              </w:rPr>
            </w:pPr>
          </w:p>
        </w:tc>
        <w:tc>
          <w:tcPr>
            <w:tcW w:w="2964" w:type="dxa"/>
            <w:gridSpan w:val="2"/>
            <w:hideMark/>
          </w:tcPr>
          <w:p w14:paraId="71345B14" w14:textId="77777777" w:rsidR="008C527D" w:rsidRPr="00032DA6" w:rsidRDefault="008C527D" w:rsidP="00DE108C">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lang w:val="en-GB"/>
              </w:rPr>
            </w:pPr>
            <w:r w:rsidRPr="00032DA6">
              <w:rPr>
                <w:rFonts w:asciiTheme="majorBidi" w:hAnsiTheme="majorBidi" w:cstheme="majorBidi"/>
                <w:color w:val="auto"/>
                <w:lang w:val="en-GB"/>
              </w:rPr>
              <w:t>Yes</w:t>
            </w:r>
          </w:p>
        </w:tc>
        <w:tc>
          <w:tcPr>
            <w:tcW w:w="1525" w:type="dxa"/>
            <w:noWrap/>
            <w:hideMark/>
          </w:tcPr>
          <w:p w14:paraId="0096FD3D" w14:textId="77777777" w:rsidR="008C527D" w:rsidRPr="00032DA6" w:rsidRDefault="008C527D" w:rsidP="00DE108C">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lang w:val="en-GB"/>
              </w:rPr>
            </w:pPr>
            <w:r w:rsidRPr="00032DA6">
              <w:rPr>
                <w:rFonts w:asciiTheme="majorBidi" w:hAnsiTheme="majorBidi" w:cstheme="majorBidi"/>
                <w:color w:val="auto"/>
                <w:lang w:val="en-GB"/>
              </w:rPr>
              <w:t>No</w:t>
            </w:r>
          </w:p>
        </w:tc>
      </w:tr>
      <w:tr w:rsidR="001D2299" w:rsidRPr="00032DA6" w14:paraId="083A7E43" w14:textId="77777777" w:rsidTr="00317FAB">
        <w:trPr>
          <w:trHeight w:val="32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2653E1C" w14:textId="45F94910" w:rsidR="008C527D" w:rsidRPr="00032DA6" w:rsidRDefault="005B5B74" w:rsidP="00DE108C">
            <w:pPr>
              <w:pStyle w:val="NoSpacing"/>
              <w:spacing w:line="276" w:lineRule="auto"/>
              <w:jc w:val="center"/>
              <w:rPr>
                <w:rFonts w:asciiTheme="majorBidi" w:hAnsiTheme="majorBidi" w:cstheme="majorBidi"/>
                <w:color w:val="auto"/>
                <w:lang w:val="en-GB"/>
              </w:rPr>
            </w:pPr>
            <w:r w:rsidRPr="00032DA6">
              <w:rPr>
                <w:rFonts w:asciiTheme="majorBidi" w:eastAsia="Times New Roman" w:hAnsiTheme="majorBidi" w:cstheme="majorBidi"/>
                <w:color w:val="auto"/>
                <w:lang w:val="en-GB"/>
              </w:rPr>
              <w:t>In your opinion, did social housing projects affect demand on housing in the Egyptian market?</w:t>
            </w:r>
          </w:p>
        </w:tc>
        <w:tc>
          <w:tcPr>
            <w:tcW w:w="2964" w:type="dxa"/>
            <w:gridSpan w:val="2"/>
            <w:noWrap/>
            <w:hideMark/>
          </w:tcPr>
          <w:p w14:paraId="610CAAA9" w14:textId="77777777" w:rsidR="008C527D" w:rsidRPr="00032DA6" w:rsidRDefault="008C527D" w:rsidP="00DE108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032DA6">
              <w:rPr>
                <w:rFonts w:asciiTheme="majorBidi" w:hAnsiTheme="majorBidi" w:cstheme="majorBidi"/>
                <w:lang w:val="en-GB"/>
              </w:rPr>
              <w:t>28.9</w:t>
            </w:r>
          </w:p>
        </w:tc>
        <w:tc>
          <w:tcPr>
            <w:tcW w:w="1525" w:type="dxa"/>
            <w:vMerge w:val="restart"/>
            <w:noWrap/>
            <w:vAlign w:val="center"/>
            <w:hideMark/>
          </w:tcPr>
          <w:p w14:paraId="3DFC0437" w14:textId="77777777" w:rsidR="008C527D" w:rsidRPr="00032DA6" w:rsidRDefault="008C527D" w:rsidP="00DE108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032DA6">
              <w:rPr>
                <w:rFonts w:asciiTheme="majorBidi" w:hAnsiTheme="majorBidi" w:cstheme="majorBidi"/>
                <w:lang w:val="en-GB"/>
              </w:rPr>
              <w:t>71</w:t>
            </w:r>
          </w:p>
        </w:tc>
      </w:tr>
      <w:tr w:rsidR="00D369EB" w:rsidRPr="00032DA6" w14:paraId="24AF304D" w14:textId="77777777" w:rsidTr="00317FAB">
        <w:trPr>
          <w:trHeight w:val="290"/>
        </w:trPr>
        <w:tc>
          <w:tcPr>
            <w:cnfStyle w:val="001000000000" w:firstRow="0" w:lastRow="0" w:firstColumn="1" w:lastColumn="0" w:oddVBand="0" w:evenVBand="0" w:oddHBand="0" w:evenHBand="0" w:firstRowFirstColumn="0" w:firstRowLastColumn="0" w:lastRowFirstColumn="0" w:lastRowLastColumn="0"/>
            <w:tcW w:w="0" w:type="auto"/>
            <w:vMerge w:val="restart"/>
            <w:noWrap/>
            <w:vAlign w:val="center"/>
            <w:hideMark/>
          </w:tcPr>
          <w:p w14:paraId="470A805E" w14:textId="77777777" w:rsidR="008C527D" w:rsidRPr="00032DA6" w:rsidRDefault="008C527D" w:rsidP="00DE108C">
            <w:pPr>
              <w:pStyle w:val="NoSpacing"/>
              <w:spacing w:before="240" w:line="276" w:lineRule="auto"/>
              <w:jc w:val="center"/>
              <w:rPr>
                <w:rFonts w:asciiTheme="majorBidi" w:hAnsiTheme="majorBidi" w:cstheme="majorBidi"/>
                <w:color w:val="auto"/>
                <w:lang w:val="en-GB"/>
              </w:rPr>
            </w:pPr>
            <w:r w:rsidRPr="00032DA6">
              <w:rPr>
                <w:rFonts w:asciiTheme="majorBidi" w:hAnsiTheme="majorBidi" w:cstheme="majorBidi"/>
                <w:color w:val="auto"/>
                <w:lang w:val="en-GB"/>
              </w:rPr>
              <w:t>In which direction was the effect?</w:t>
            </w:r>
          </w:p>
        </w:tc>
        <w:tc>
          <w:tcPr>
            <w:tcW w:w="1614" w:type="dxa"/>
            <w:noWrap/>
            <w:hideMark/>
          </w:tcPr>
          <w:p w14:paraId="78EB808B" w14:textId="77777777" w:rsidR="008C527D" w:rsidRPr="00032DA6" w:rsidRDefault="008C527D" w:rsidP="00DE108C">
            <w:pPr>
              <w:pStyle w:val="NoSpacing"/>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lang w:val="en-GB"/>
              </w:rPr>
            </w:pPr>
            <w:r w:rsidRPr="00032DA6">
              <w:rPr>
                <w:rFonts w:asciiTheme="majorBidi" w:hAnsiTheme="majorBidi" w:cstheme="majorBidi"/>
                <w:b/>
                <w:bCs/>
                <w:lang w:val="en-GB"/>
              </w:rPr>
              <w:t>Increase in demand</w:t>
            </w:r>
          </w:p>
        </w:tc>
        <w:tc>
          <w:tcPr>
            <w:tcW w:w="1350" w:type="dxa"/>
            <w:noWrap/>
            <w:hideMark/>
          </w:tcPr>
          <w:p w14:paraId="7DAF51FF" w14:textId="77777777" w:rsidR="008C527D" w:rsidRPr="00032DA6" w:rsidRDefault="008C527D" w:rsidP="00DE108C">
            <w:pPr>
              <w:pStyle w:val="NoSpacing"/>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lang w:val="en-GB"/>
              </w:rPr>
            </w:pPr>
            <w:r w:rsidRPr="00032DA6">
              <w:rPr>
                <w:rFonts w:asciiTheme="majorBidi" w:hAnsiTheme="majorBidi" w:cstheme="majorBidi"/>
                <w:b/>
                <w:bCs/>
                <w:lang w:val="en-GB"/>
              </w:rPr>
              <w:t>Decrease in demand</w:t>
            </w:r>
          </w:p>
        </w:tc>
        <w:tc>
          <w:tcPr>
            <w:tcW w:w="1525" w:type="dxa"/>
            <w:vMerge/>
            <w:hideMark/>
          </w:tcPr>
          <w:p w14:paraId="49E9AD6E" w14:textId="77777777" w:rsidR="008C527D" w:rsidRPr="00032DA6" w:rsidRDefault="008C527D" w:rsidP="00DE108C">
            <w:pPr>
              <w:pStyle w:val="NoSpacing"/>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p>
        </w:tc>
      </w:tr>
      <w:tr w:rsidR="006A5CE8" w:rsidRPr="00032DA6" w14:paraId="6C828FCF" w14:textId="77777777" w:rsidTr="00317FAB">
        <w:trPr>
          <w:trHeight w:val="290"/>
        </w:trPr>
        <w:tc>
          <w:tcPr>
            <w:cnfStyle w:val="001000000000" w:firstRow="0" w:lastRow="0" w:firstColumn="1" w:lastColumn="0" w:oddVBand="0" w:evenVBand="0" w:oddHBand="0" w:evenHBand="0" w:firstRowFirstColumn="0" w:firstRowLastColumn="0" w:lastRowFirstColumn="0" w:lastRowLastColumn="0"/>
            <w:tcW w:w="0" w:type="auto"/>
            <w:vMerge/>
            <w:hideMark/>
          </w:tcPr>
          <w:p w14:paraId="6FDCBD8E" w14:textId="77777777" w:rsidR="008C527D" w:rsidRPr="00032DA6" w:rsidRDefault="008C527D" w:rsidP="00DE108C">
            <w:pPr>
              <w:pStyle w:val="NoSpacing"/>
              <w:spacing w:before="240" w:line="276" w:lineRule="auto"/>
              <w:jc w:val="center"/>
              <w:rPr>
                <w:rFonts w:asciiTheme="majorBidi" w:hAnsiTheme="majorBidi" w:cstheme="majorBidi"/>
                <w:color w:val="auto"/>
                <w:lang w:val="en-GB"/>
              </w:rPr>
            </w:pPr>
          </w:p>
        </w:tc>
        <w:tc>
          <w:tcPr>
            <w:tcW w:w="1614" w:type="dxa"/>
            <w:noWrap/>
            <w:hideMark/>
          </w:tcPr>
          <w:p w14:paraId="0260EAA6" w14:textId="77777777" w:rsidR="008C527D" w:rsidRPr="00032DA6" w:rsidRDefault="008C527D" w:rsidP="00DE108C">
            <w:pPr>
              <w:pStyle w:val="NoSpacing"/>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032DA6">
              <w:rPr>
                <w:rFonts w:asciiTheme="majorBidi" w:hAnsiTheme="majorBidi" w:cstheme="majorBidi"/>
                <w:lang w:val="en-GB"/>
              </w:rPr>
              <w:t>30.3</w:t>
            </w:r>
          </w:p>
        </w:tc>
        <w:tc>
          <w:tcPr>
            <w:tcW w:w="1350" w:type="dxa"/>
            <w:noWrap/>
            <w:hideMark/>
          </w:tcPr>
          <w:p w14:paraId="5B1691BC" w14:textId="77777777" w:rsidR="008C527D" w:rsidRPr="00032DA6" w:rsidRDefault="008C527D" w:rsidP="00DE108C">
            <w:pPr>
              <w:pStyle w:val="NoSpacing"/>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r w:rsidRPr="00032DA6">
              <w:rPr>
                <w:rFonts w:asciiTheme="majorBidi" w:hAnsiTheme="majorBidi" w:cstheme="majorBidi"/>
                <w:lang w:val="en-GB"/>
              </w:rPr>
              <w:t>69.7</w:t>
            </w:r>
          </w:p>
        </w:tc>
        <w:tc>
          <w:tcPr>
            <w:tcW w:w="1525" w:type="dxa"/>
            <w:vMerge/>
            <w:hideMark/>
          </w:tcPr>
          <w:p w14:paraId="0BE1B251" w14:textId="77777777" w:rsidR="008C527D" w:rsidRPr="00032DA6" w:rsidRDefault="008C527D" w:rsidP="00DE108C">
            <w:pPr>
              <w:pStyle w:val="NoSpacing"/>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rPr>
            </w:pPr>
          </w:p>
        </w:tc>
      </w:tr>
    </w:tbl>
    <w:p w14:paraId="7FC7A59D" w14:textId="77777777" w:rsidR="008B7B37" w:rsidRPr="00032DA6" w:rsidRDefault="008B7B37" w:rsidP="00DE108C">
      <w:pPr>
        <w:tabs>
          <w:tab w:val="left" w:pos="1710"/>
        </w:tabs>
        <w:spacing w:line="276" w:lineRule="auto"/>
        <w:jc w:val="both"/>
        <w:rPr>
          <w:rFonts w:cstheme="majorBidi"/>
          <w:lang w:val="en-GB"/>
        </w:rPr>
      </w:pPr>
    </w:p>
    <w:p w14:paraId="7599769D" w14:textId="6E81588E" w:rsidR="008B7B37" w:rsidRPr="00032DA6" w:rsidRDefault="008B7B37" w:rsidP="00DE108C">
      <w:pPr>
        <w:tabs>
          <w:tab w:val="left" w:pos="270"/>
        </w:tabs>
        <w:spacing w:line="276" w:lineRule="auto"/>
        <w:jc w:val="both"/>
        <w:rPr>
          <w:rFonts w:cstheme="majorBidi"/>
          <w:lang w:val="en-GB"/>
        </w:rPr>
      </w:pPr>
      <w:r w:rsidRPr="00032DA6">
        <w:rPr>
          <w:rFonts w:cstheme="majorBidi"/>
          <w:lang w:val="en-GB"/>
        </w:rPr>
        <w:tab/>
      </w:r>
      <w:r w:rsidR="009D16D6" w:rsidRPr="00032DA6">
        <w:rPr>
          <w:rFonts w:cstheme="majorBidi"/>
          <w:lang w:val="en-GB"/>
        </w:rPr>
        <w:t>A</w:t>
      </w:r>
      <w:r w:rsidR="00982BC2" w:rsidRPr="00032DA6">
        <w:rPr>
          <w:rFonts w:cstheme="majorBidi"/>
          <w:lang w:val="en-GB"/>
        </w:rPr>
        <w:t>round 40% of the surveyed developers</w:t>
      </w:r>
      <w:r w:rsidR="009D16D6" w:rsidRPr="00032DA6">
        <w:rPr>
          <w:rFonts w:cstheme="majorBidi"/>
          <w:lang w:val="en-GB"/>
        </w:rPr>
        <w:t xml:space="preserve"> and brokers</w:t>
      </w:r>
      <w:r w:rsidR="00982BC2" w:rsidRPr="00032DA6">
        <w:rPr>
          <w:rFonts w:cstheme="majorBidi"/>
          <w:lang w:val="en-GB"/>
        </w:rPr>
        <w:t xml:space="preserve"> </w:t>
      </w:r>
      <w:r w:rsidR="009D16D6" w:rsidRPr="00032DA6">
        <w:rPr>
          <w:rFonts w:cstheme="majorBidi"/>
          <w:lang w:val="en-GB"/>
        </w:rPr>
        <w:t>responded</w:t>
      </w:r>
      <w:r w:rsidR="00982BC2" w:rsidRPr="00032DA6">
        <w:rPr>
          <w:rFonts w:cstheme="majorBidi"/>
          <w:lang w:val="en-GB"/>
        </w:rPr>
        <w:t xml:space="preserve"> that the housing market is overpriced</w:t>
      </w:r>
      <w:r w:rsidR="00626BF2" w:rsidRPr="00032DA6">
        <w:rPr>
          <w:rFonts w:cstheme="majorBidi"/>
          <w:lang w:val="en-GB"/>
        </w:rPr>
        <w:t xml:space="preserve"> (table </w:t>
      </w:r>
      <w:r w:rsidR="00064D91">
        <w:rPr>
          <w:rFonts w:cstheme="majorBidi"/>
          <w:lang w:val="en-GB"/>
        </w:rPr>
        <w:t>7</w:t>
      </w:r>
      <w:r w:rsidR="00626BF2" w:rsidRPr="00032DA6">
        <w:rPr>
          <w:rFonts w:cstheme="majorBidi"/>
          <w:lang w:val="en-GB"/>
        </w:rPr>
        <w:t>)</w:t>
      </w:r>
      <w:r w:rsidR="00982BC2" w:rsidRPr="00032DA6">
        <w:rPr>
          <w:rFonts w:cstheme="majorBidi"/>
          <w:lang w:val="en-GB"/>
        </w:rPr>
        <w:t>. When asked about the possible reasons behind this assumed overpricing, a</w:t>
      </w:r>
      <w:r w:rsidR="00F07759" w:rsidRPr="00032DA6">
        <w:rPr>
          <w:rFonts w:cstheme="majorBidi"/>
          <w:lang w:val="en-GB"/>
        </w:rPr>
        <w:t xml:space="preserve"> </w:t>
      </w:r>
      <w:r w:rsidR="00982BC2" w:rsidRPr="00032DA6">
        <w:rPr>
          <w:rFonts w:cstheme="majorBidi"/>
          <w:lang w:val="en-GB"/>
        </w:rPr>
        <w:t>good majority indicated that government policies and regulations are important reasons behind the overpricing in the housing sector, followed by easy access to finance then the exaggeration in advertising and marketing campaigns.</w:t>
      </w:r>
      <w:r w:rsidR="00F07759" w:rsidRPr="00032DA6">
        <w:rPr>
          <w:rFonts w:cstheme="majorBidi"/>
          <w:lang w:val="en-GB"/>
        </w:rPr>
        <w:t xml:space="preserve"> </w:t>
      </w:r>
      <w:r w:rsidRPr="00032DA6">
        <w:rPr>
          <w:rFonts w:cstheme="majorBidi"/>
          <w:lang w:val="en-GB"/>
        </w:rPr>
        <w:t>As indicated earlier in table (</w:t>
      </w:r>
      <w:r w:rsidR="00064D91">
        <w:rPr>
          <w:rFonts w:cstheme="majorBidi"/>
          <w:lang w:val="en-GB"/>
        </w:rPr>
        <w:t>4</w:t>
      </w:r>
      <w:r w:rsidRPr="00032DA6">
        <w:rPr>
          <w:rFonts w:cstheme="majorBidi"/>
          <w:lang w:val="en-GB"/>
        </w:rPr>
        <w:t>), respondents from the real-estate survey affirmed that the recent government decisions on suspending housing construction permits had significant negative implications on the Egyptian housing market</w:t>
      </w:r>
      <w:r w:rsidRPr="00032DA6">
        <w:rPr>
          <w:rStyle w:val="FootnoteReference"/>
          <w:rFonts w:cstheme="majorBidi"/>
          <w:lang w:val="en-GB"/>
        </w:rPr>
        <w:footnoteReference w:id="14"/>
      </w:r>
      <w:r w:rsidRPr="00032DA6">
        <w:rPr>
          <w:rFonts w:cstheme="majorBidi"/>
          <w:lang w:val="en-GB"/>
        </w:rPr>
        <w:t>.</w:t>
      </w:r>
    </w:p>
    <w:tbl>
      <w:tblPr>
        <w:tblStyle w:val="GridTable5Dark-Accent3"/>
        <w:tblpPr w:leftFromText="180" w:rightFromText="180" w:vertAnchor="text" w:horzAnchor="margin" w:tblpY="306"/>
        <w:tblW w:w="9087" w:type="dxa"/>
        <w:tblLook w:val="04A0" w:firstRow="1" w:lastRow="0" w:firstColumn="1" w:lastColumn="0" w:noHBand="0" w:noVBand="1"/>
      </w:tblPr>
      <w:tblGrid>
        <w:gridCol w:w="5644"/>
        <w:gridCol w:w="1105"/>
        <w:gridCol w:w="872"/>
        <w:gridCol w:w="1466"/>
      </w:tblGrid>
      <w:tr w:rsidR="00313E51" w:rsidRPr="00032DA6" w14:paraId="12653760" w14:textId="77777777" w:rsidTr="00313E51">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hideMark/>
          </w:tcPr>
          <w:p w14:paraId="5E0FA162" w14:textId="77777777" w:rsidR="00313E51" w:rsidRPr="00032DA6" w:rsidRDefault="00313E51" w:rsidP="00DE108C">
            <w:pPr>
              <w:spacing w:line="276" w:lineRule="auto"/>
              <w:rPr>
                <w:rFonts w:eastAsia="Times New Roman" w:cstheme="majorBidi"/>
                <w:b w:val="0"/>
                <w:bCs w:val="0"/>
                <w:i/>
                <w:iCs/>
                <w:color w:val="000000"/>
                <w:sz w:val="20"/>
                <w:szCs w:val="20"/>
                <w:lang w:val="en-GB"/>
              </w:rPr>
            </w:pPr>
            <w:r w:rsidRPr="00032DA6">
              <w:rPr>
                <w:rFonts w:eastAsia="Times New Roman" w:cstheme="majorBidi"/>
                <w:color w:val="000000"/>
                <w:sz w:val="20"/>
                <w:szCs w:val="20"/>
                <w:lang w:val="en-GB"/>
              </w:rPr>
              <w:t>In your opinion, are housing prices in Egypt overpriced?</w:t>
            </w:r>
          </w:p>
        </w:tc>
        <w:tc>
          <w:tcPr>
            <w:tcW w:w="0" w:type="auto"/>
            <w:gridSpan w:val="3"/>
            <w:hideMark/>
          </w:tcPr>
          <w:p w14:paraId="18AF2683" w14:textId="77777777" w:rsidR="00313E51" w:rsidRPr="00032DA6" w:rsidRDefault="00313E51" w:rsidP="00DE108C">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ajorBidi"/>
                <w:b w:val="0"/>
                <w:bCs w:val="0"/>
                <w:color w:val="000000"/>
                <w:sz w:val="20"/>
                <w:szCs w:val="20"/>
                <w:lang w:val="en-GB"/>
              </w:rPr>
            </w:pPr>
            <w:r w:rsidRPr="00032DA6">
              <w:rPr>
                <w:rFonts w:eastAsia="Times New Roman" w:cstheme="majorBidi"/>
                <w:color w:val="000000"/>
                <w:sz w:val="20"/>
                <w:szCs w:val="20"/>
                <w:lang w:val="en-GB"/>
              </w:rPr>
              <w:t>Responses</w:t>
            </w:r>
          </w:p>
        </w:tc>
      </w:tr>
      <w:tr w:rsidR="00313E51" w:rsidRPr="00032DA6" w14:paraId="665819E1" w14:textId="77777777" w:rsidTr="00313E5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0" w:type="auto"/>
            <w:hideMark/>
          </w:tcPr>
          <w:p w14:paraId="500A11CD" w14:textId="77777777" w:rsidR="00313E51" w:rsidRPr="00032DA6" w:rsidRDefault="00313E51" w:rsidP="00DE108C">
            <w:pPr>
              <w:spacing w:line="276" w:lineRule="auto"/>
              <w:ind w:left="720"/>
              <w:rPr>
                <w:rFonts w:eastAsia="Times New Roman" w:cstheme="majorBidi"/>
                <w:color w:val="000000"/>
                <w:sz w:val="20"/>
                <w:szCs w:val="20"/>
                <w:lang w:val="en-GB"/>
              </w:rPr>
            </w:pPr>
            <w:r w:rsidRPr="00032DA6">
              <w:rPr>
                <w:rFonts w:eastAsia="Times New Roman" w:cstheme="majorBidi"/>
                <w:color w:val="000000"/>
                <w:sz w:val="20"/>
                <w:szCs w:val="20"/>
                <w:lang w:val="en-GB"/>
              </w:rPr>
              <w:t>Yes</w:t>
            </w:r>
          </w:p>
        </w:tc>
        <w:tc>
          <w:tcPr>
            <w:tcW w:w="0" w:type="auto"/>
            <w:gridSpan w:val="3"/>
            <w:noWrap/>
            <w:hideMark/>
          </w:tcPr>
          <w:p w14:paraId="2D59BA98" w14:textId="77777777" w:rsidR="00313E51" w:rsidRPr="00032DA6" w:rsidRDefault="00313E51"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20"/>
                <w:szCs w:val="20"/>
                <w:lang w:val="en-GB"/>
              </w:rPr>
            </w:pPr>
            <w:r w:rsidRPr="00032DA6">
              <w:rPr>
                <w:rFonts w:eastAsia="Times New Roman" w:cstheme="majorBidi"/>
                <w:color w:val="000000"/>
                <w:sz w:val="20"/>
                <w:szCs w:val="20"/>
                <w:lang w:val="en-GB"/>
              </w:rPr>
              <w:t>39.2</w:t>
            </w:r>
          </w:p>
        </w:tc>
      </w:tr>
      <w:tr w:rsidR="00313E51" w:rsidRPr="00032DA6" w14:paraId="32FDAEC4" w14:textId="77777777" w:rsidTr="00313E51">
        <w:trPr>
          <w:trHeight w:val="251"/>
        </w:trPr>
        <w:tc>
          <w:tcPr>
            <w:cnfStyle w:val="001000000000" w:firstRow="0" w:lastRow="0" w:firstColumn="1" w:lastColumn="0" w:oddVBand="0" w:evenVBand="0" w:oddHBand="0" w:evenHBand="0" w:firstRowFirstColumn="0" w:firstRowLastColumn="0" w:lastRowFirstColumn="0" w:lastRowLastColumn="0"/>
            <w:tcW w:w="0" w:type="auto"/>
            <w:hideMark/>
          </w:tcPr>
          <w:p w14:paraId="5CE5C393" w14:textId="77777777" w:rsidR="00313E51" w:rsidRPr="00032DA6" w:rsidRDefault="00313E51" w:rsidP="00DE108C">
            <w:pPr>
              <w:spacing w:line="276" w:lineRule="auto"/>
              <w:ind w:left="720"/>
              <w:rPr>
                <w:rFonts w:eastAsia="Times New Roman" w:cstheme="majorBidi"/>
                <w:color w:val="000000"/>
                <w:sz w:val="20"/>
                <w:szCs w:val="20"/>
                <w:lang w:val="en-GB"/>
              </w:rPr>
            </w:pPr>
            <w:r w:rsidRPr="00032DA6">
              <w:rPr>
                <w:rFonts w:eastAsia="Times New Roman" w:cstheme="majorBidi"/>
                <w:color w:val="000000"/>
                <w:sz w:val="20"/>
                <w:szCs w:val="20"/>
                <w:lang w:val="en-GB"/>
              </w:rPr>
              <w:t>No</w:t>
            </w:r>
          </w:p>
        </w:tc>
        <w:tc>
          <w:tcPr>
            <w:tcW w:w="0" w:type="auto"/>
            <w:gridSpan w:val="3"/>
            <w:noWrap/>
            <w:hideMark/>
          </w:tcPr>
          <w:p w14:paraId="758CBB63" w14:textId="77777777" w:rsidR="00313E51" w:rsidRPr="00032DA6" w:rsidRDefault="00313E51"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20"/>
                <w:szCs w:val="20"/>
                <w:lang w:val="en-GB"/>
              </w:rPr>
            </w:pPr>
            <w:r w:rsidRPr="00032DA6">
              <w:rPr>
                <w:rFonts w:eastAsia="Times New Roman" w:cstheme="majorBidi"/>
                <w:color w:val="000000"/>
                <w:sz w:val="20"/>
                <w:szCs w:val="20"/>
                <w:lang w:val="en-GB"/>
              </w:rPr>
              <w:t>60.8</w:t>
            </w:r>
          </w:p>
        </w:tc>
      </w:tr>
      <w:tr w:rsidR="00313E51" w:rsidRPr="00032DA6" w14:paraId="437B00D0" w14:textId="77777777" w:rsidTr="00313E5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0" w:type="auto"/>
            <w:hideMark/>
          </w:tcPr>
          <w:p w14:paraId="49265AF6" w14:textId="77777777" w:rsidR="00313E51" w:rsidRPr="00032DA6" w:rsidRDefault="00313E51" w:rsidP="00DE108C">
            <w:pPr>
              <w:spacing w:line="276" w:lineRule="auto"/>
              <w:ind w:left="720"/>
              <w:rPr>
                <w:rFonts w:eastAsia="Times New Roman" w:cstheme="majorBidi"/>
                <w:color w:val="000000"/>
                <w:sz w:val="20"/>
                <w:szCs w:val="20"/>
                <w:lang w:val="en-GB"/>
              </w:rPr>
            </w:pPr>
            <w:r w:rsidRPr="00032DA6">
              <w:rPr>
                <w:rFonts w:eastAsia="Times New Roman" w:cstheme="majorBidi"/>
                <w:color w:val="000000"/>
                <w:sz w:val="20"/>
                <w:szCs w:val="20"/>
                <w:lang w:val="en-GB"/>
              </w:rPr>
              <w:t>I don’t know</w:t>
            </w:r>
          </w:p>
        </w:tc>
        <w:tc>
          <w:tcPr>
            <w:tcW w:w="0" w:type="auto"/>
            <w:gridSpan w:val="3"/>
            <w:noWrap/>
            <w:hideMark/>
          </w:tcPr>
          <w:p w14:paraId="5F7C6D53" w14:textId="77777777" w:rsidR="00313E51" w:rsidRPr="00032DA6" w:rsidRDefault="00313E51"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20"/>
                <w:szCs w:val="20"/>
                <w:lang w:val="en-GB"/>
              </w:rPr>
            </w:pPr>
            <w:r w:rsidRPr="00032DA6">
              <w:rPr>
                <w:rFonts w:eastAsia="Times New Roman" w:cstheme="majorBidi"/>
                <w:color w:val="000000"/>
                <w:sz w:val="20"/>
                <w:szCs w:val="20"/>
                <w:lang w:val="en-GB"/>
              </w:rPr>
              <w:t>0.1</w:t>
            </w:r>
          </w:p>
        </w:tc>
      </w:tr>
      <w:tr w:rsidR="00313E51" w:rsidRPr="00032DA6" w14:paraId="48E8CB43" w14:textId="77777777" w:rsidTr="00313E51">
        <w:trPr>
          <w:trHeight w:val="251"/>
        </w:trPr>
        <w:tc>
          <w:tcPr>
            <w:cnfStyle w:val="001000000000" w:firstRow="0" w:lastRow="0" w:firstColumn="1" w:lastColumn="0" w:oddVBand="0" w:evenVBand="0" w:oddHBand="0" w:evenHBand="0" w:firstRowFirstColumn="0" w:firstRowLastColumn="0" w:lastRowFirstColumn="0" w:lastRowLastColumn="0"/>
            <w:tcW w:w="0" w:type="auto"/>
            <w:hideMark/>
          </w:tcPr>
          <w:p w14:paraId="60DB0879" w14:textId="77777777" w:rsidR="00313E51" w:rsidRPr="00032DA6" w:rsidRDefault="00313E51" w:rsidP="00DE108C">
            <w:pPr>
              <w:spacing w:line="276" w:lineRule="auto"/>
              <w:rPr>
                <w:rFonts w:eastAsia="Times New Roman" w:cstheme="majorBidi"/>
                <w:color w:val="000000"/>
                <w:sz w:val="20"/>
                <w:szCs w:val="20"/>
                <w:lang w:val="en-GB"/>
              </w:rPr>
            </w:pPr>
            <w:r w:rsidRPr="00032DA6">
              <w:rPr>
                <w:rFonts w:eastAsia="Times New Roman" w:cstheme="majorBidi"/>
                <w:color w:val="000000"/>
                <w:sz w:val="20"/>
                <w:szCs w:val="20"/>
                <w:lang w:val="en-GB"/>
              </w:rPr>
              <w:t>Total</w:t>
            </w:r>
          </w:p>
        </w:tc>
        <w:tc>
          <w:tcPr>
            <w:tcW w:w="0" w:type="auto"/>
            <w:gridSpan w:val="3"/>
            <w:noWrap/>
            <w:hideMark/>
          </w:tcPr>
          <w:p w14:paraId="4DE0ECC9" w14:textId="77777777" w:rsidR="00313E51" w:rsidRPr="00032DA6" w:rsidRDefault="00313E51"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20"/>
                <w:szCs w:val="20"/>
                <w:lang w:val="en-GB"/>
              </w:rPr>
            </w:pPr>
            <w:r w:rsidRPr="00032DA6">
              <w:rPr>
                <w:rFonts w:eastAsia="Times New Roman" w:cstheme="majorBidi"/>
                <w:color w:val="000000"/>
                <w:sz w:val="20"/>
                <w:szCs w:val="20"/>
                <w:lang w:val="en-GB"/>
              </w:rPr>
              <w:t>100</w:t>
            </w:r>
          </w:p>
        </w:tc>
      </w:tr>
      <w:tr w:rsidR="00313E51" w:rsidRPr="00032DA6" w14:paraId="1A9519B4" w14:textId="77777777" w:rsidTr="00313E51">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0" w:type="auto"/>
            <w:hideMark/>
          </w:tcPr>
          <w:p w14:paraId="25CAA6ED" w14:textId="77777777" w:rsidR="00313E51" w:rsidRPr="00032DA6" w:rsidRDefault="00313E51" w:rsidP="00DE108C">
            <w:pPr>
              <w:spacing w:line="276" w:lineRule="auto"/>
              <w:rPr>
                <w:rFonts w:eastAsia="Times New Roman" w:cstheme="majorBidi"/>
                <w:b w:val="0"/>
                <w:bCs w:val="0"/>
                <w:i/>
                <w:iCs/>
                <w:color w:val="000000"/>
                <w:sz w:val="20"/>
                <w:szCs w:val="20"/>
                <w:lang w:val="en-GB"/>
              </w:rPr>
            </w:pPr>
            <w:r w:rsidRPr="00032DA6">
              <w:rPr>
                <w:rFonts w:eastAsia="Times New Roman" w:cstheme="majorBidi"/>
                <w:color w:val="000000"/>
                <w:sz w:val="20"/>
                <w:szCs w:val="20"/>
                <w:lang w:val="en-GB"/>
              </w:rPr>
              <w:t>If you believe that the housing market in Egypt is overpriced, in your opinion, what is the relative importance of the following factors in this overpricing?</w:t>
            </w:r>
          </w:p>
        </w:tc>
        <w:tc>
          <w:tcPr>
            <w:tcW w:w="0" w:type="auto"/>
            <w:noWrap/>
            <w:vAlign w:val="center"/>
            <w:hideMark/>
          </w:tcPr>
          <w:p w14:paraId="6A72A6EA" w14:textId="77777777" w:rsidR="00313E51" w:rsidRPr="00032DA6" w:rsidRDefault="00313E51"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b/>
                <w:bCs/>
                <w:color w:val="000000"/>
                <w:sz w:val="20"/>
                <w:szCs w:val="20"/>
                <w:lang w:val="en-GB"/>
              </w:rPr>
            </w:pPr>
            <w:r w:rsidRPr="00032DA6">
              <w:rPr>
                <w:rFonts w:eastAsia="Times New Roman" w:cstheme="majorBidi"/>
                <w:b/>
                <w:bCs/>
                <w:color w:val="000000"/>
                <w:sz w:val="20"/>
                <w:szCs w:val="20"/>
                <w:lang w:val="en-GB"/>
              </w:rPr>
              <w:t>Important</w:t>
            </w:r>
          </w:p>
        </w:tc>
        <w:tc>
          <w:tcPr>
            <w:tcW w:w="0" w:type="auto"/>
            <w:noWrap/>
            <w:vAlign w:val="center"/>
            <w:hideMark/>
          </w:tcPr>
          <w:p w14:paraId="4B7A5086" w14:textId="77777777" w:rsidR="00313E51" w:rsidRPr="00032DA6" w:rsidRDefault="00313E51"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b/>
                <w:bCs/>
                <w:color w:val="000000"/>
                <w:sz w:val="20"/>
                <w:szCs w:val="20"/>
                <w:lang w:val="en-GB"/>
              </w:rPr>
            </w:pPr>
            <w:r w:rsidRPr="00032DA6">
              <w:rPr>
                <w:rFonts w:eastAsia="Times New Roman" w:cstheme="majorBidi"/>
                <w:b/>
                <w:bCs/>
                <w:color w:val="000000"/>
                <w:sz w:val="20"/>
                <w:szCs w:val="20"/>
                <w:lang w:val="en-GB"/>
              </w:rPr>
              <w:t>Neutral</w:t>
            </w:r>
          </w:p>
        </w:tc>
        <w:tc>
          <w:tcPr>
            <w:tcW w:w="0" w:type="auto"/>
            <w:noWrap/>
            <w:vAlign w:val="center"/>
            <w:hideMark/>
          </w:tcPr>
          <w:p w14:paraId="2E7005A3" w14:textId="77777777" w:rsidR="00313E51" w:rsidRPr="00032DA6" w:rsidRDefault="00313E51"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b/>
                <w:bCs/>
                <w:color w:val="000000"/>
                <w:sz w:val="20"/>
                <w:szCs w:val="20"/>
                <w:lang w:val="en-GB"/>
              </w:rPr>
            </w:pPr>
            <w:r w:rsidRPr="00032DA6">
              <w:rPr>
                <w:rFonts w:eastAsia="Times New Roman" w:cstheme="majorBidi"/>
                <w:b/>
                <w:bCs/>
                <w:color w:val="000000"/>
                <w:sz w:val="20"/>
                <w:szCs w:val="20"/>
                <w:lang w:val="en-GB"/>
              </w:rPr>
              <w:t>Not Important</w:t>
            </w:r>
          </w:p>
        </w:tc>
      </w:tr>
      <w:tr w:rsidR="00313E51" w:rsidRPr="00032DA6" w14:paraId="176101A7" w14:textId="77777777" w:rsidTr="00313E51">
        <w:trPr>
          <w:trHeight w:val="251"/>
        </w:trPr>
        <w:tc>
          <w:tcPr>
            <w:cnfStyle w:val="001000000000" w:firstRow="0" w:lastRow="0" w:firstColumn="1" w:lastColumn="0" w:oddVBand="0" w:evenVBand="0" w:oddHBand="0" w:evenHBand="0" w:firstRowFirstColumn="0" w:firstRowLastColumn="0" w:lastRowFirstColumn="0" w:lastRowLastColumn="0"/>
            <w:tcW w:w="0" w:type="auto"/>
            <w:hideMark/>
          </w:tcPr>
          <w:p w14:paraId="6507DFE9" w14:textId="77777777" w:rsidR="00313E51" w:rsidRPr="00032DA6" w:rsidRDefault="00313E51" w:rsidP="00DE108C">
            <w:pPr>
              <w:spacing w:line="276" w:lineRule="auto"/>
              <w:rPr>
                <w:rFonts w:eastAsia="Times New Roman" w:cstheme="majorBidi"/>
                <w:color w:val="000000"/>
                <w:sz w:val="20"/>
                <w:szCs w:val="20"/>
                <w:lang w:val="en-GB"/>
              </w:rPr>
            </w:pPr>
            <w:r w:rsidRPr="00032DA6">
              <w:rPr>
                <w:rFonts w:eastAsia="Times New Roman" w:cstheme="majorBidi"/>
                <w:color w:val="000000"/>
                <w:sz w:val="20"/>
                <w:szCs w:val="20"/>
                <w:lang w:val="en-GB"/>
              </w:rPr>
              <w:t>Government Policies and Regulations in the Housing and Real-Estate Sector</w:t>
            </w:r>
          </w:p>
        </w:tc>
        <w:tc>
          <w:tcPr>
            <w:tcW w:w="0" w:type="auto"/>
            <w:noWrap/>
            <w:hideMark/>
          </w:tcPr>
          <w:p w14:paraId="7A25DF75" w14:textId="77777777" w:rsidR="00313E51" w:rsidRPr="00032DA6" w:rsidRDefault="00313E51"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20"/>
                <w:szCs w:val="20"/>
                <w:lang w:val="en-GB"/>
              </w:rPr>
            </w:pPr>
            <w:r w:rsidRPr="00032DA6">
              <w:rPr>
                <w:rFonts w:eastAsia="Times New Roman" w:cstheme="majorBidi"/>
                <w:color w:val="000000"/>
                <w:sz w:val="20"/>
                <w:szCs w:val="20"/>
                <w:lang w:val="en-GB"/>
              </w:rPr>
              <w:t>64.1</w:t>
            </w:r>
          </w:p>
        </w:tc>
        <w:tc>
          <w:tcPr>
            <w:tcW w:w="0" w:type="auto"/>
            <w:noWrap/>
            <w:hideMark/>
          </w:tcPr>
          <w:p w14:paraId="19FA8856" w14:textId="77777777" w:rsidR="00313E51" w:rsidRPr="00032DA6" w:rsidRDefault="00313E51"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20"/>
                <w:szCs w:val="20"/>
                <w:lang w:val="en-GB"/>
              </w:rPr>
            </w:pPr>
            <w:r w:rsidRPr="00032DA6">
              <w:rPr>
                <w:rFonts w:eastAsia="Times New Roman" w:cstheme="majorBidi"/>
                <w:color w:val="000000"/>
                <w:sz w:val="20"/>
                <w:szCs w:val="20"/>
                <w:lang w:val="en-GB"/>
              </w:rPr>
              <w:t>13.4</w:t>
            </w:r>
          </w:p>
        </w:tc>
        <w:tc>
          <w:tcPr>
            <w:tcW w:w="0" w:type="auto"/>
            <w:noWrap/>
            <w:hideMark/>
          </w:tcPr>
          <w:p w14:paraId="3B4D1665" w14:textId="77777777" w:rsidR="00313E51" w:rsidRPr="00032DA6" w:rsidRDefault="00313E51"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20"/>
                <w:szCs w:val="20"/>
                <w:lang w:val="en-GB"/>
              </w:rPr>
            </w:pPr>
            <w:r w:rsidRPr="00032DA6">
              <w:rPr>
                <w:rFonts w:eastAsia="Times New Roman" w:cstheme="majorBidi"/>
                <w:color w:val="000000"/>
                <w:sz w:val="20"/>
                <w:szCs w:val="20"/>
                <w:lang w:val="en-GB"/>
              </w:rPr>
              <w:t>22.5</w:t>
            </w:r>
          </w:p>
        </w:tc>
      </w:tr>
      <w:tr w:rsidR="00313E51" w:rsidRPr="00032DA6" w14:paraId="68829905" w14:textId="77777777" w:rsidTr="00313E5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0" w:type="auto"/>
          </w:tcPr>
          <w:p w14:paraId="7F8918CA" w14:textId="77777777" w:rsidR="00313E51" w:rsidRPr="00032DA6" w:rsidRDefault="00313E51" w:rsidP="00DE108C">
            <w:pPr>
              <w:spacing w:line="276" w:lineRule="auto"/>
              <w:rPr>
                <w:rFonts w:eastAsia="Times New Roman" w:cstheme="majorBidi"/>
                <w:color w:val="000000"/>
                <w:sz w:val="20"/>
                <w:szCs w:val="20"/>
                <w:lang w:val="en-GB"/>
              </w:rPr>
            </w:pPr>
            <w:r w:rsidRPr="00032DA6">
              <w:rPr>
                <w:rFonts w:eastAsia="Times New Roman" w:cstheme="majorBidi"/>
                <w:color w:val="000000"/>
                <w:sz w:val="20"/>
                <w:szCs w:val="20"/>
                <w:lang w:val="en-GB"/>
              </w:rPr>
              <w:t xml:space="preserve">Easy Access to Finance </w:t>
            </w:r>
          </w:p>
        </w:tc>
        <w:tc>
          <w:tcPr>
            <w:tcW w:w="0" w:type="auto"/>
            <w:noWrap/>
          </w:tcPr>
          <w:p w14:paraId="4988F545" w14:textId="77777777" w:rsidR="00313E51" w:rsidRPr="00032DA6" w:rsidRDefault="00313E51"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20"/>
                <w:szCs w:val="20"/>
                <w:lang w:val="en-GB"/>
              </w:rPr>
            </w:pPr>
            <w:r w:rsidRPr="00032DA6">
              <w:rPr>
                <w:rFonts w:eastAsia="Times New Roman" w:cstheme="majorBidi"/>
                <w:color w:val="000000"/>
                <w:sz w:val="20"/>
                <w:szCs w:val="20"/>
                <w:lang w:val="en-GB"/>
              </w:rPr>
              <w:t>56.3</w:t>
            </w:r>
          </w:p>
        </w:tc>
        <w:tc>
          <w:tcPr>
            <w:tcW w:w="0" w:type="auto"/>
            <w:noWrap/>
          </w:tcPr>
          <w:p w14:paraId="26362385" w14:textId="77777777" w:rsidR="00313E51" w:rsidRPr="00032DA6" w:rsidRDefault="00313E51"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20"/>
                <w:szCs w:val="20"/>
                <w:lang w:val="en-GB"/>
              </w:rPr>
            </w:pPr>
            <w:r w:rsidRPr="00032DA6">
              <w:rPr>
                <w:rFonts w:eastAsia="Times New Roman" w:cstheme="majorBidi"/>
                <w:color w:val="000000"/>
                <w:sz w:val="20"/>
                <w:szCs w:val="20"/>
                <w:lang w:val="en-GB"/>
              </w:rPr>
              <w:t>16.2</w:t>
            </w:r>
          </w:p>
        </w:tc>
        <w:tc>
          <w:tcPr>
            <w:tcW w:w="0" w:type="auto"/>
            <w:noWrap/>
          </w:tcPr>
          <w:p w14:paraId="05FD7BCA" w14:textId="77777777" w:rsidR="00313E51" w:rsidRPr="00032DA6" w:rsidRDefault="00313E51"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20"/>
                <w:szCs w:val="20"/>
                <w:lang w:val="en-GB"/>
              </w:rPr>
            </w:pPr>
            <w:r w:rsidRPr="00032DA6">
              <w:rPr>
                <w:rFonts w:eastAsia="Times New Roman" w:cstheme="majorBidi"/>
                <w:color w:val="000000"/>
                <w:sz w:val="20"/>
                <w:szCs w:val="20"/>
                <w:lang w:val="en-GB"/>
              </w:rPr>
              <w:t>27.5</w:t>
            </w:r>
          </w:p>
        </w:tc>
      </w:tr>
      <w:tr w:rsidR="00313E51" w:rsidRPr="00032DA6" w14:paraId="744D9617" w14:textId="77777777" w:rsidTr="00313E51">
        <w:trPr>
          <w:trHeight w:val="251"/>
        </w:trPr>
        <w:tc>
          <w:tcPr>
            <w:cnfStyle w:val="001000000000" w:firstRow="0" w:lastRow="0" w:firstColumn="1" w:lastColumn="0" w:oddVBand="0" w:evenVBand="0" w:oddHBand="0" w:evenHBand="0" w:firstRowFirstColumn="0" w:firstRowLastColumn="0" w:lastRowFirstColumn="0" w:lastRowLastColumn="0"/>
            <w:tcW w:w="0" w:type="auto"/>
          </w:tcPr>
          <w:p w14:paraId="75354E33" w14:textId="77777777" w:rsidR="00313E51" w:rsidRPr="00032DA6" w:rsidRDefault="00313E51" w:rsidP="00DE108C">
            <w:pPr>
              <w:spacing w:line="276" w:lineRule="auto"/>
              <w:rPr>
                <w:rFonts w:eastAsia="Times New Roman" w:cstheme="majorBidi"/>
                <w:color w:val="000000"/>
                <w:sz w:val="20"/>
                <w:szCs w:val="20"/>
                <w:lang w:val="en-GB"/>
              </w:rPr>
            </w:pPr>
            <w:r w:rsidRPr="00032DA6">
              <w:rPr>
                <w:rFonts w:eastAsia="Times New Roman" w:cstheme="majorBidi"/>
                <w:color w:val="000000"/>
                <w:sz w:val="20"/>
                <w:szCs w:val="20"/>
                <w:lang w:val="en-GB"/>
              </w:rPr>
              <w:t xml:space="preserve">Exaggeration in Advertising and Marketing Campaigns </w:t>
            </w:r>
          </w:p>
        </w:tc>
        <w:tc>
          <w:tcPr>
            <w:tcW w:w="0" w:type="auto"/>
            <w:noWrap/>
          </w:tcPr>
          <w:p w14:paraId="1905DE42" w14:textId="77777777" w:rsidR="00313E51" w:rsidRPr="00032DA6" w:rsidRDefault="00313E51"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20"/>
                <w:szCs w:val="20"/>
                <w:lang w:val="en-GB"/>
              </w:rPr>
            </w:pPr>
            <w:r w:rsidRPr="00032DA6">
              <w:rPr>
                <w:rFonts w:eastAsia="Times New Roman" w:cstheme="majorBidi"/>
                <w:color w:val="000000"/>
                <w:sz w:val="20"/>
                <w:szCs w:val="20"/>
                <w:lang w:val="en-GB"/>
              </w:rPr>
              <w:t>53.5</w:t>
            </w:r>
          </w:p>
        </w:tc>
        <w:tc>
          <w:tcPr>
            <w:tcW w:w="0" w:type="auto"/>
            <w:noWrap/>
          </w:tcPr>
          <w:p w14:paraId="112C5AD4" w14:textId="77777777" w:rsidR="00313E51" w:rsidRPr="00032DA6" w:rsidRDefault="00313E51"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20"/>
                <w:szCs w:val="20"/>
                <w:lang w:val="en-GB"/>
              </w:rPr>
            </w:pPr>
            <w:r w:rsidRPr="00032DA6">
              <w:rPr>
                <w:rFonts w:eastAsia="Times New Roman" w:cstheme="majorBidi"/>
                <w:color w:val="000000"/>
                <w:sz w:val="20"/>
                <w:szCs w:val="20"/>
                <w:lang w:val="en-GB"/>
              </w:rPr>
              <w:t>16.2</w:t>
            </w:r>
          </w:p>
        </w:tc>
        <w:tc>
          <w:tcPr>
            <w:tcW w:w="0" w:type="auto"/>
            <w:noWrap/>
          </w:tcPr>
          <w:p w14:paraId="6DA52A1D" w14:textId="77777777" w:rsidR="00313E51" w:rsidRPr="00032DA6" w:rsidRDefault="00313E51"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20"/>
                <w:szCs w:val="20"/>
                <w:lang w:val="en-GB"/>
              </w:rPr>
            </w:pPr>
            <w:r w:rsidRPr="00032DA6">
              <w:rPr>
                <w:rFonts w:eastAsia="Times New Roman" w:cstheme="majorBidi"/>
                <w:color w:val="000000"/>
                <w:sz w:val="20"/>
                <w:szCs w:val="20"/>
                <w:lang w:val="en-GB"/>
              </w:rPr>
              <w:t>30.3</w:t>
            </w:r>
          </w:p>
        </w:tc>
      </w:tr>
    </w:tbl>
    <w:p w14:paraId="7AEDA509" w14:textId="4D6B972D" w:rsidR="0037411B" w:rsidRPr="00032DA6" w:rsidRDefault="00313E51" w:rsidP="00DE108C">
      <w:pPr>
        <w:tabs>
          <w:tab w:val="left" w:pos="270"/>
        </w:tabs>
        <w:spacing w:line="276" w:lineRule="auto"/>
        <w:jc w:val="both"/>
        <w:rPr>
          <w:rFonts w:eastAsia="Times New Roman" w:cstheme="majorBidi"/>
          <w:b/>
          <w:bCs/>
          <w:color w:val="000000"/>
          <w:lang w:val="en-GB"/>
        </w:rPr>
      </w:pPr>
      <w:r w:rsidRPr="00032DA6">
        <w:rPr>
          <w:rFonts w:eastAsia="Times New Roman" w:cstheme="majorBidi"/>
          <w:b/>
          <w:bCs/>
          <w:color w:val="000000"/>
          <w:lang w:val="en-GB"/>
        </w:rPr>
        <w:t>Table (</w:t>
      </w:r>
      <w:r w:rsidR="00064D91">
        <w:rPr>
          <w:rFonts w:eastAsia="Times New Roman" w:cstheme="majorBidi"/>
          <w:b/>
          <w:bCs/>
          <w:color w:val="000000"/>
          <w:lang w:val="en-GB"/>
        </w:rPr>
        <w:t>7</w:t>
      </w:r>
      <w:r w:rsidRPr="00032DA6">
        <w:rPr>
          <w:rFonts w:eastAsia="Times New Roman" w:cstheme="majorBidi"/>
          <w:b/>
          <w:bCs/>
          <w:color w:val="000000"/>
          <w:lang w:val="en-GB"/>
        </w:rPr>
        <w:t>): Is Housing in Egypt Overpriced?</w:t>
      </w:r>
    </w:p>
    <w:p w14:paraId="3175F55A" w14:textId="77777777" w:rsidR="00313E51" w:rsidRPr="00032DA6" w:rsidRDefault="00313E51" w:rsidP="00DE108C">
      <w:pPr>
        <w:tabs>
          <w:tab w:val="left" w:pos="270"/>
        </w:tabs>
        <w:spacing w:line="276" w:lineRule="auto"/>
        <w:jc w:val="both"/>
        <w:rPr>
          <w:rFonts w:cstheme="majorBidi"/>
          <w:lang w:val="en-GB"/>
        </w:rPr>
      </w:pPr>
    </w:p>
    <w:p w14:paraId="0B046855" w14:textId="5D323813" w:rsidR="00870F19" w:rsidRPr="00032DA6" w:rsidRDefault="00155284" w:rsidP="00DE108C">
      <w:pPr>
        <w:pStyle w:val="Heading2"/>
        <w:numPr>
          <w:ilvl w:val="0"/>
          <w:numId w:val="23"/>
        </w:numPr>
        <w:spacing w:line="276" w:lineRule="auto"/>
        <w:rPr>
          <w:lang w:val="en-GB"/>
        </w:rPr>
      </w:pPr>
      <w:bookmarkStart w:id="48" w:name="_Toc91107881"/>
      <w:bookmarkStart w:id="49" w:name="_Toc91438048"/>
      <w:r w:rsidRPr="00032DA6">
        <w:rPr>
          <w:lang w:val="en-GB"/>
        </w:rPr>
        <w:t>Access to Mortgage Finance</w:t>
      </w:r>
      <w:bookmarkEnd w:id="48"/>
      <w:bookmarkEnd w:id="49"/>
      <w:r w:rsidRPr="00032DA6">
        <w:rPr>
          <w:lang w:val="en-GB"/>
        </w:rPr>
        <w:t xml:space="preserve"> </w:t>
      </w:r>
    </w:p>
    <w:p w14:paraId="4D46E226" w14:textId="76E2B7CC" w:rsidR="008A21D6" w:rsidRPr="00032DA6" w:rsidRDefault="00870F19" w:rsidP="00DE108C">
      <w:pPr>
        <w:spacing w:line="276" w:lineRule="auto"/>
        <w:ind w:firstLine="340"/>
        <w:jc w:val="lowKashida"/>
        <w:rPr>
          <w:rFonts w:cstheme="majorBidi"/>
          <w:lang w:val="en-GB"/>
        </w:rPr>
      </w:pPr>
      <w:r w:rsidRPr="00032DA6">
        <w:rPr>
          <w:rFonts w:cstheme="majorBidi"/>
          <w:lang w:val="en-GB"/>
        </w:rPr>
        <w:t>Around half of the surveyed sample believe that unfamiliarity and insufficient information on mortgage finance is also an important reason behind favo</w:t>
      </w:r>
      <w:r w:rsidR="00617CC3" w:rsidRPr="00032DA6">
        <w:rPr>
          <w:rFonts w:cstheme="majorBidi"/>
          <w:lang w:val="en-GB"/>
        </w:rPr>
        <w:t>u</w:t>
      </w:r>
      <w:r w:rsidRPr="00032DA6">
        <w:rPr>
          <w:rFonts w:cstheme="majorBidi"/>
          <w:lang w:val="en-GB"/>
        </w:rPr>
        <w:t xml:space="preserve">ring direct </w:t>
      </w:r>
      <w:r w:rsidR="008B7B37" w:rsidRPr="00032DA6">
        <w:rPr>
          <w:rFonts w:cstheme="majorBidi"/>
          <w:lang w:val="en-GB"/>
        </w:rPr>
        <w:t>instalments</w:t>
      </w:r>
      <w:r w:rsidRPr="00032DA6">
        <w:rPr>
          <w:rFonts w:cstheme="majorBidi"/>
          <w:lang w:val="en-GB"/>
        </w:rPr>
        <w:t xml:space="preserve"> to banking services and mortgage finance</w:t>
      </w:r>
      <w:r w:rsidR="00626BF2" w:rsidRPr="00032DA6">
        <w:rPr>
          <w:rFonts w:cstheme="majorBidi"/>
          <w:lang w:val="en-GB"/>
        </w:rPr>
        <w:t xml:space="preserve"> (table </w:t>
      </w:r>
      <w:r w:rsidR="00064D91">
        <w:rPr>
          <w:rFonts w:cstheme="majorBidi"/>
          <w:lang w:val="en-GB"/>
        </w:rPr>
        <w:t>8</w:t>
      </w:r>
      <w:r w:rsidR="00626BF2" w:rsidRPr="00032DA6">
        <w:rPr>
          <w:rFonts w:cstheme="majorBidi"/>
          <w:lang w:val="en-GB"/>
        </w:rPr>
        <w:t>)</w:t>
      </w:r>
      <w:r w:rsidRPr="00032DA6">
        <w:rPr>
          <w:rFonts w:cstheme="majorBidi"/>
          <w:lang w:val="en-GB"/>
        </w:rPr>
        <w:t>. Interestingly, interest rates</w:t>
      </w:r>
      <w:r w:rsidR="00617CC3" w:rsidRPr="00032DA6">
        <w:rPr>
          <w:rFonts w:cstheme="majorBidi"/>
          <w:lang w:val="en-GB"/>
        </w:rPr>
        <w:t xml:space="preserve">, </w:t>
      </w:r>
      <w:r w:rsidRPr="00032DA6">
        <w:rPr>
          <w:rFonts w:cstheme="majorBidi"/>
          <w:lang w:val="en-GB"/>
        </w:rPr>
        <w:t>difficulty of banking procedures</w:t>
      </w:r>
      <w:r w:rsidR="00617CC3" w:rsidRPr="00032DA6">
        <w:rPr>
          <w:rFonts w:cstheme="majorBidi"/>
          <w:lang w:val="en-GB"/>
        </w:rPr>
        <w:t xml:space="preserve">, </w:t>
      </w:r>
      <w:r w:rsidR="00526FFA" w:rsidRPr="00032DA6">
        <w:rPr>
          <w:rFonts w:cstheme="majorBidi"/>
          <w:lang w:val="en-GB"/>
        </w:rPr>
        <w:t xml:space="preserve">and </w:t>
      </w:r>
      <w:r w:rsidRPr="00032DA6">
        <w:rPr>
          <w:rFonts w:cstheme="majorBidi"/>
          <w:lang w:val="en-GB"/>
        </w:rPr>
        <w:t>required guarantees are perceived as not important by</w:t>
      </w:r>
      <w:r w:rsidR="00617CC3" w:rsidRPr="00032DA6">
        <w:rPr>
          <w:rFonts w:cstheme="majorBidi"/>
          <w:lang w:val="en-GB"/>
        </w:rPr>
        <w:t xml:space="preserve"> </w:t>
      </w:r>
      <w:r w:rsidR="008B7B37" w:rsidRPr="00032DA6">
        <w:rPr>
          <w:rFonts w:cstheme="majorBidi"/>
          <w:lang w:val="en-GB"/>
        </w:rPr>
        <w:t>most of</w:t>
      </w:r>
      <w:r w:rsidRPr="00032DA6">
        <w:rPr>
          <w:rFonts w:cstheme="majorBidi"/>
          <w:lang w:val="en-GB"/>
        </w:rPr>
        <w:t xml:space="preserve"> the surveyed sample </w:t>
      </w:r>
      <w:r w:rsidR="008B7B37" w:rsidRPr="00032DA6">
        <w:rPr>
          <w:rFonts w:cstheme="majorBidi"/>
          <w:lang w:val="en-GB"/>
        </w:rPr>
        <w:t>of developers and brokers</w:t>
      </w:r>
      <w:r w:rsidRPr="00032DA6">
        <w:rPr>
          <w:rFonts w:cstheme="majorBidi"/>
          <w:lang w:val="en-GB"/>
        </w:rPr>
        <w:t>.</w:t>
      </w:r>
    </w:p>
    <w:tbl>
      <w:tblPr>
        <w:tblStyle w:val="GridTable5Dark-Accent3"/>
        <w:tblpPr w:leftFromText="180" w:rightFromText="180" w:vertAnchor="text" w:tblpY="326"/>
        <w:tblW w:w="9117" w:type="dxa"/>
        <w:tblLook w:val="06A0" w:firstRow="1" w:lastRow="0" w:firstColumn="1" w:lastColumn="0" w:noHBand="1" w:noVBand="1"/>
      </w:tblPr>
      <w:tblGrid>
        <w:gridCol w:w="5669"/>
        <w:gridCol w:w="1194"/>
        <w:gridCol w:w="937"/>
        <w:gridCol w:w="1317"/>
      </w:tblGrid>
      <w:tr w:rsidR="004434FE" w:rsidRPr="00032DA6" w14:paraId="7B147C39" w14:textId="77777777" w:rsidTr="004434FE">
        <w:trPr>
          <w:cnfStyle w:val="100000000000" w:firstRow="1" w:lastRow="0" w:firstColumn="0" w:lastColumn="0" w:oddVBand="0" w:evenVBand="0" w:oddHBand="0" w:evenHBand="0"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5669" w:type="dxa"/>
            <w:hideMark/>
          </w:tcPr>
          <w:p w14:paraId="3CF8F365" w14:textId="38D91040" w:rsidR="004434FE" w:rsidRPr="00032DA6" w:rsidRDefault="004434FE" w:rsidP="00DE108C">
            <w:pPr>
              <w:spacing w:line="276" w:lineRule="auto"/>
              <w:jc w:val="both"/>
              <w:rPr>
                <w:rFonts w:eastAsia="Times New Roman" w:cstheme="majorBidi"/>
                <w:b w:val="0"/>
                <w:bCs w:val="0"/>
                <w:color w:val="000000"/>
                <w:lang w:val="en-GB"/>
              </w:rPr>
            </w:pPr>
            <w:r w:rsidRPr="00032DA6">
              <w:rPr>
                <w:rFonts w:eastAsia="Times New Roman" w:cstheme="majorBidi"/>
                <w:color w:val="000000"/>
                <w:lang w:val="en-GB"/>
              </w:rPr>
              <w:t xml:space="preserve">Determine the importance of the following reasons for the homebuyer's choice of direct </w:t>
            </w:r>
            <w:r w:rsidR="00526FFA" w:rsidRPr="00032DA6">
              <w:rPr>
                <w:rFonts w:eastAsia="Times New Roman" w:cstheme="majorBidi"/>
                <w:color w:val="000000"/>
                <w:lang w:val="en-GB"/>
              </w:rPr>
              <w:t>instalment</w:t>
            </w:r>
            <w:r w:rsidRPr="00032DA6">
              <w:rPr>
                <w:rFonts w:eastAsia="Times New Roman" w:cstheme="majorBidi"/>
                <w:color w:val="000000"/>
                <w:lang w:val="en-GB"/>
              </w:rPr>
              <w:t xml:space="preserve"> instead of banks/mortgage finance</w:t>
            </w:r>
          </w:p>
        </w:tc>
        <w:tc>
          <w:tcPr>
            <w:tcW w:w="0" w:type="auto"/>
            <w:hideMark/>
          </w:tcPr>
          <w:p w14:paraId="359E3D3D" w14:textId="77777777" w:rsidR="004434FE" w:rsidRPr="00032DA6" w:rsidRDefault="004434FE" w:rsidP="00DE108C">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ajorBidi"/>
                <w:b w:val="0"/>
                <w:bCs w:val="0"/>
                <w:color w:val="000000"/>
                <w:lang w:val="en-GB"/>
              </w:rPr>
            </w:pPr>
            <w:r w:rsidRPr="00032DA6">
              <w:rPr>
                <w:rFonts w:eastAsia="Times New Roman" w:cstheme="majorBidi"/>
                <w:color w:val="000000"/>
                <w:lang w:val="en-GB"/>
              </w:rPr>
              <w:t>Important</w:t>
            </w:r>
          </w:p>
        </w:tc>
        <w:tc>
          <w:tcPr>
            <w:tcW w:w="0" w:type="auto"/>
            <w:hideMark/>
          </w:tcPr>
          <w:p w14:paraId="12A014F2" w14:textId="77777777" w:rsidR="004434FE" w:rsidRPr="00032DA6" w:rsidRDefault="004434FE" w:rsidP="00DE108C">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ajorBidi"/>
                <w:b w:val="0"/>
                <w:bCs w:val="0"/>
                <w:color w:val="000000"/>
                <w:lang w:val="en-GB"/>
              </w:rPr>
            </w:pPr>
            <w:r w:rsidRPr="00032DA6">
              <w:rPr>
                <w:rFonts w:eastAsia="Times New Roman" w:cstheme="majorBidi"/>
                <w:color w:val="000000"/>
                <w:lang w:val="en-GB"/>
              </w:rPr>
              <w:t>Neutral</w:t>
            </w:r>
          </w:p>
        </w:tc>
        <w:tc>
          <w:tcPr>
            <w:tcW w:w="0" w:type="auto"/>
            <w:hideMark/>
          </w:tcPr>
          <w:p w14:paraId="22503BD7" w14:textId="77777777" w:rsidR="004434FE" w:rsidRPr="00032DA6" w:rsidRDefault="004434FE" w:rsidP="00DE108C">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ajorBidi"/>
                <w:b w:val="0"/>
                <w:bCs w:val="0"/>
                <w:color w:val="000000"/>
                <w:lang w:val="en-GB"/>
              </w:rPr>
            </w:pPr>
            <w:r w:rsidRPr="00032DA6">
              <w:rPr>
                <w:rFonts w:eastAsia="Times New Roman" w:cstheme="majorBidi"/>
                <w:color w:val="000000"/>
                <w:lang w:val="en-GB"/>
              </w:rPr>
              <w:t>Not important</w:t>
            </w:r>
          </w:p>
        </w:tc>
      </w:tr>
      <w:tr w:rsidR="004434FE" w:rsidRPr="00032DA6" w14:paraId="26A6E624" w14:textId="77777777" w:rsidTr="004434FE">
        <w:trPr>
          <w:trHeight w:val="512"/>
        </w:trPr>
        <w:tc>
          <w:tcPr>
            <w:cnfStyle w:val="001000000000" w:firstRow="0" w:lastRow="0" w:firstColumn="1" w:lastColumn="0" w:oddVBand="0" w:evenVBand="0" w:oddHBand="0" w:evenHBand="0" w:firstRowFirstColumn="0" w:firstRowLastColumn="0" w:lastRowFirstColumn="0" w:lastRowLastColumn="0"/>
            <w:tcW w:w="5669" w:type="dxa"/>
            <w:hideMark/>
          </w:tcPr>
          <w:p w14:paraId="5BEE7DBB" w14:textId="77777777" w:rsidR="004434FE" w:rsidRPr="00032DA6" w:rsidRDefault="004434FE" w:rsidP="00DE108C">
            <w:pPr>
              <w:spacing w:line="276" w:lineRule="auto"/>
              <w:rPr>
                <w:rFonts w:eastAsia="Times New Roman" w:cstheme="majorBidi"/>
                <w:color w:val="000000"/>
                <w:lang w:val="en-GB"/>
              </w:rPr>
            </w:pPr>
            <w:r w:rsidRPr="00032DA6">
              <w:rPr>
                <w:rFonts w:eastAsia="Times New Roman" w:cstheme="majorBidi"/>
                <w:color w:val="000000"/>
                <w:lang w:val="en-GB"/>
              </w:rPr>
              <w:t>Dealing with banks is not Shariah-compliant</w:t>
            </w:r>
          </w:p>
        </w:tc>
        <w:tc>
          <w:tcPr>
            <w:tcW w:w="0" w:type="auto"/>
            <w:hideMark/>
          </w:tcPr>
          <w:p w14:paraId="675A65D8" w14:textId="77777777" w:rsidR="004434FE" w:rsidRPr="00032DA6" w:rsidRDefault="004434FE"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71.9%</w:t>
            </w:r>
          </w:p>
        </w:tc>
        <w:tc>
          <w:tcPr>
            <w:tcW w:w="0" w:type="auto"/>
            <w:hideMark/>
          </w:tcPr>
          <w:p w14:paraId="1201F36D" w14:textId="77777777" w:rsidR="004434FE" w:rsidRPr="00032DA6" w:rsidRDefault="004434FE"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16.9%</w:t>
            </w:r>
          </w:p>
        </w:tc>
        <w:tc>
          <w:tcPr>
            <w:tcW w:w="0" w:type="auto"/>
            <w:hideMark/>
          </w:tcPr>
          <w:p w14:paraId="6FE45BE9" w14:textId="77777777" w:rsidR="004434FE" w:rsidRPr="00032DA6" w:rsidRDefault="004434FE"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11.3%</w:t>
            </w:r>
          </w:p>
        </w:tc>
      </w:tr>
      <w:tr w:rsidR="004434FE" w:rsidRPr="00032DA6" w14:paraId="2B68B64A" w14:textId="77777777" w:rsidTr="004434FE">
        <w:trPr>
          <w:trHeight w:val="512"/>
        </w:trPr>
        <w:tc>
          <w:tcPr>
            <w:cnfStyle w:val="001000000000" w:firstRow="0" w:lastRow="0" w:firstColumn="1" w:lastColumn="0" w:oddVBand="0" w:evenVBand="0" w:oddHBand="0" w:evenHBand="0" w:firstRowFirstColumn="0" w:firstRowLastColumn="0" w:lastRowFirstColumn="0" w:lastRowLastColumn="0"/>
            <w:tcW w:w="5669" w:type="dxa"/>
            <w:hideMark/>
          </w:tcPr>
          <w:p w14:paraId="6BD7CD84" w14:textId="77777777" w:rsidR="004434FE" w:rsidRPr="00032DA6" w:rsidRDefault="004434FE" w:rsidP="00DE108C">
            <w:pPr>
              <w:spacing w:line="276" w:lineRule="auto"/>
              <w:rPr>
                <w:rFonts w:eastAsia="Times New Roman" w:cstheme="majorBidi"/>
                <w:color w:val="000000"/>
                <w:lang w:val="en-GB"/>
              </w:rPr>
            </w:pPr>
            <w:r w:rsidRPr="00032DA6">
              <w:rPr>
                <w:rFonts w:eastAsia="Times New Roman" w:cstheme="majorBidi"/>
                <w:color w:val="000000"/>
                <w:lang w:val="en-GB"/>
              </w:rPr>
              <w:t>Interest rates</w:t>
            </w:r>
          </w:p>
        </w:tc>
        <w:tc>
          <w:tcPr>
            <w:tcW w:w="0" w:type="auto"/>
            <w:hideMark/>
          </w:tcPr>
          <w:p w14:paraId="50F42402" w14:textId="77777777" w:rsidR="004434FE" w:rsidRPr="00032DA6" w:rsidRDefault="004434FE"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15.0%</w:t>
            </w:r>
          </w:p>
        </w:tc>
        <w:tc>
          <w:tcPr>
            <w:tcW w:w="0" w:type="auto"/>
            <w:hideMark/>
          </w:tcPr>
          <w:p w14:paraId="41163FA9" w14:textId="77777777" w:rsidR="004434FE" w:rsidRPr="00032DA6" w:rsidRDefault="004434FE"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8.1%</w:t>
            </w:r>
          </w:p>
        </w:tc>
        <w:tc>
          <w:tcPr>
            <w:tcW w:w="0" w:type="auto"/>
            <w:hideMark/>
          </w:tcPr>
          <w:p w14:paraId="0D95158F" w14:textId="77777777" w:rsidR="004434FE" w:rsidRPr="00032DA6" w:rsidRDefault="004434FE"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rtl/>
                <w:lang w:val="en-GB"/>
              </w:rPr>
              <w:t>76.9%</w:t>
            </w:r>
          </w:p>
        </w:tc>
      </w:tr>
      <w:tr w:rsidR="004434FE" w:rsidRPr="00032DA6" w14:paraId="6CC612F6" w14:textId="77777777" w:rsidTr="004434FE">
        <w:trPr>
          <w:trHeight w:val="512"/>
        </w:trPr>
        <w:tc>
          <w:tcPr>
            <w:cnfStyle w:val="001000000000" w:firstRow="0" w:lastRow="0" w:firstColumn="1" w:lastColumn="0" w:oddVBand="0" w:evenVBand="0" w:oddHBand="0" w:evenHBand="0" w:firstRowFirstColumn="0" w:firstRowLastColumn="0" w:lastRowFirstColumn="0" w:lastRowLastColumn="0"/>
            <w:tcW w:w="5669" w:type="dxa"/>
            <w:hideMark/>
          </w:tcPr>
          <w:p w14:paraId="6B25F638" w14:textId="77777777" w:rsidR="004434FE" w:rsidRPr="00032DA6" w:rsidRDefault="004434FE" w:rsidP="00DE108C">
            <w:pPr>
              <w:spacing w:line="276" w:lineRule="auto"/>
              <w:rPr>
                <w:rFonts w:eastAsia="Times New Roman" w:cstheme="majorBidi"/>
                <w:color w:val="000000"/>
                <w:lang w:val="en-GB"/>
              </w:rPr>
            </w:pPr>
            <w:r w:rsidRPr="00032DA6">
              <w:rPr>
                <w:rFonts w:eastAsia="Times New Roman" w:cstheme="majorBidi"/>
                <w:color w:val="000000"/>
                <w:lang w:val="en-GB"/>
              </w:rPr>
              <w:t xml:space="preserve">Difficulty of banking procedures and guarantees </w:t>
            </w:r>
          </w:p>
        </w:tc>
        <w:tc>
          <w:tcPr>
            <w:tcW w:w="0" w:type="auto"/>
            <w:hideMark/>
          </w:tcPr>
          <w:p w14:paraId="2A63AB2C" w14:textId="77777777" w:rsidR="004434FE" w:rsidRPr="00032DA6" w:rsidRDefault="004434FE"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9.7%</w:t>
            </w:r>
          </w:p>
        </w:tc>
        <w:tc>
          <w:tcPr>
            <w:tcW w:w="0" w:type="auto"/>
            <w:hideMark/>
          </w:tcPr>
          <w:p w14:paraId="4CAA6EF5" w14:textId="77777777" w:rsidR="004434FE" w:rsidRPr="00032DA6" w:rsidRDefault="004434FE"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8.2%</w:t>
            </w:r>
          </w:p>
        </w:tc>
        <w:tc>
          <w:tcPr>
            <w:tcW w:w="0" w:type="auto"/>
            <w:hideMark/>
          </w:tcPr>
          <w:p w14:paraId="416F7AC8" w14:textId="77777777" w:rsidR="004434FE" w:rsidRPr="00032DA6" w:rsidRDefault="004434FE"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82.2%</w:t>
            </w:r>
          </w:p>
        </w:tc>
      </w:tr>
      <w:tr w:rsidR="004434FE" w:rsidRPr="00032DA6" w14:paraId="73779A36" w14:textId="77777777" w:rsidTr="004434FE">
        <w:trPr>
          <w:trHeight w:val="512"/>
        </w:trPr>
        <w:tc>
          <w:tcPr>
            <w:cnfStyle w:val="001000000000" w:firstRow="0" w:lastRow="0" w:firstColumn="1" w:lastColumn="0" w:oddVBand="0" w:evenVBand="0" w:oddHBand="0" w:evenHBand="0" w:firstRowFirstColumn="0" w:firstRowLastColumn="0" w:lastRowFirstColumn="0" w:lastRowLastColumn="0"/>
            <w:tcW w:w="5669" w:type="dxa"/>
            <w:hideMark/>
          </w:tcPr>
          <w:p w14:paraId="05D24C13" w14:textId="77777777" w:rsidR="004434FE" w:rsidRPr="00032DA6" w:rsidRDefault="004434FE" w:rsidP="00DE108C">
            <w:pPr>
              <w:spacing w:line="276" w:lineRule="auto"/>
              <w:rPr>
                <w:rFonts w:eastAsia="Times New Roman" w:cstheme="majorBidi"/>
                <w:color w:val="000000"/>
                <w:lang w:val="en-GB"/>
              </w:rPr>
            </w:pPr>
            <w:r w:rsidRPr="00032DA6">
              <w:rPr>
                <w:rFonts w:eastAsia="Times New Roman" w:cstheme="majorBidi"/>
                <w:color w:val="000000"/>
                <w:lang w:val="en-GB"/>
              </w:rPr>
              <w:t>Unfamiliarity and insufficient information on mortgage finance services</w:t>
            </w:r>
          </w:p>
        </w:tc>
        <w:tc>
          <w:tcPr>
            <w:tcW w:w="0" w:type="auto"/>
            <w:hideMark/>
          </w:tcPr>
          <w:p w14:paraId="6FBD2D2C" w14:textId="77777777" w:rsidR="004434FE" w:rsidRPr="00032DA6" w:rsidRDefault="004434FE"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55.6%</w:t>
            </w:r>
          </w:p>
        </w:tc>
        <w:tc>
          <w:tcPr>
            <w:tcW w:w="0" w:type="auto"/>
            <w:hideMark/>
          </w:tcPr>
          <w:p w14:paraId="477ADAA2" w14:textId="77777777" w:rsidR="004434FE" w:rsidRPr="00032DA6" w:rsidRDefault="004434FE"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18.1%</w:t>
            </w:r>
          </w:p>
        </w:tc>
        <w:tc>
          <w:tcPr>
            <w:tcW w:w="0" w:type="auto"/>
            <w:hideMark/>
          </w:tcPr>
          <w:p w14:paraId="4F225730" w14:textId="77777777" w:rsidR="004434FE" w:rsidRPr="00032DA6" w:rsidRDefault="004434FE"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26.3%</w:t>
            </w:r>
          </w:p>
        </w:tc>
      </w:tr>
    </w:tbl>
    <w:p w14:paraId="300DC92D" w14:textId="3A384FCD" w:rsidR="006757A3" w:rsidRPr="00032DA6" w:rsidRDefault="008B7B37" w:rsidP="00DE108C">
      <w:pPr>
        <w:spacing w:line="276" w:lineRule="auto"/>
        <w:ind w:firstLine="90"/>
        <w:rPr>
          <w:rFonts w:cstheme="majorBidi"/>
          <w:b/>
          <w:bCs/>
          <w:lang w:val="en-GB"/>
        </w:rPr>
      </w:pPr>
      <w:r w:rsidRPr="00032DA6">
        <w:rPr>
          <w:rFonts w:cstheme="majorBidi"/>
          <w:b/>
          <w:bCs/>
          <w:lang w:val="en-GB"/>
        </w:rPr>
        <w:t>Table (</w:t>
      </w:r>
      <w:r w:rsidR="00064D91">
        <w:rPr>
          <w:rFonts w:cstheme="majorBidi"/>
          <w:b/>
          <w:bCs/>
          <w:lang w:val="en-GB"/>
        </w:rPr>
        <w:t>8</w:t>
      </w:r>
      <w:r w:rsidRPr="00032DA6">
        <w:rPr>
          <w:rFonts w:cstheme="majorBidi"/>
          <w:b/>
          <w:bCs/>
          <w:lang w:val="en-GB"/>
        </w:rPr>
        <w:t xml:space="preserve">): Mortgage </w:t>
      </w:r>
      <w:r w:rsidR="00766B47" w:rsidRPr="00032DA6">
        <w:rPr>
          <w:rFonts w:cstheme="majorBidi"/>
          <w:b/>
          <w:bCs/>
          <w:lang w:val="en-GB"/>
        </w:rPr>
        <w:t>F</w:t>
      </w:r>
      <w:r w:rsidRPr="00032DA6">
        <w:rPr>
          <w:rFonts w:cstheme="majorBidi"/>
          <w:b/>
          <w:bCs/>
          <w:lang w:val="en-GB"/>
        </w:rPr>
        <w:t xml:space="preserve">inance versus </w:t>
      </w:r>
      <w:r w:rsidR="00766B47" w:rsidRPr="00032DA6">
        <w:rPr>
          <w:rFonts w:cstheme="majorBidi"/>
          <w:b/>
          <w:bCs/>
          <w:lang w:val="en-GB"/>
        </w:rPr>
        <w:t>D</w:t>
      </w:r>
      <w:r w:rsidRPr="00032DA6">
        <w:rPr>
          <w:rFonts w:cstheme="majorBidi"/>
          <w:b/>
          <w:bCs/>
          <w:lang w:val="en-GB"/>
        </w:rPr>
        <w:t xml:space="preserve">irect </w:t>
      </w:r>
      <w:r w:rsidR="00526FFA" w:rsidRPr="00032DA6">
        <w:rPr>
          <w:rFonts w:cstheme="majorBidi"/>
          <w:b/>
          <w:bCs/>
          <w:lang w:val="en-GB"/>
        </w:rPr>
        <w:t>Instalments</w:t>
      </w:r>
      <w:r w:rsidRPr="00032DA6">
        <w:rPr>
          <w:rFonts w:cstheme="majorBidi"/>
          <w:b/>
          <w:bCs/>
          <w:lang w:val="en-GB"/>
        </w:rPr>
        <w:t xml:space="preserve"> in the Egyptian </w:t>
      </w:r>
      <w:r w:rsidR="00766B47" w:rsidRPr="00032DA6">
        <w:rPr>
          <w:rFonts w:cstheme="majorBidi"/>
          <w:b/>
          <w:bCs/>
          <w:lang w:val="en-GB"/>
        </w:rPr>
        <w:t>H</w:t>
      </w:r>
      <w:r w:rsidRPr="00032DA6">
        <w:rPr>
          <w:rFonts w:cstheme="majorBidi"/>
          <w:b/>
          <w:bCs/>
          <w:lang w:val="en-GB"/>
        </w:rPr>
        <w:t xml:space="preserve">ousing </w:t>
      </w:r>
      <w:r w:rsidR="00766B47" w:rsidRPr="00032DA6">
        <w:rPr>
          <w:rFonts w:cstheme="majorBidi"/>
          <w:b/>
          <w:bCs/>
          <w:lang w:val="en-GB"/>
        </w:rPr>
        <w:t>M</w:t>
      </w:r>
      <w:r w:rsidRPr="00032DA6">
        <w:rPr>
          <w:rFonts w:cstheme="majorBidi"/>
          <w:b/>
          <w:bCs/>
          <w:lang w:val="en-GB"/>
        </w:rPr>
        <w:t>arket</w:t>
      </w:r>
    </w:p>
    <w:p w14:paraId="5EF46236" w14:textId="77777777" w:rsidR="004434FE" w:rsidRPr="00032DA6" w:rsidRDefault="004434FE" w:rsidP="00DE108C">
      <w:pPr>
        <w:spacing w:line="276" w:lineRule="auto"/>
        <w:ind w:firstLine="90"/>
        <w:rPr>
          <w:rFonts w:cstheme="majorBidi"/>
          <w:b/>
          <w:bCs/>
          <w:lang w:val="en-GB"/>
        </w:rPr>
      </w:pPr>
    </w:p>
    <w:p w14:paraId="64FA1952" w14:textId="5E9D3415" w:rsidR="00F4748D" w:rsidRPr="00032DA6" w:rsidRDefault="00155284" w:rsidP="00DE108C">
      <w:pPr>
        <w:pStyle w:val="Heading2"/>
        <w:numPr>
          <w:ilvl w:val="0"/>
          <w:numId w:val="23"/>
        </w:numPr>
        <w:spacing w:line="276" w:lineRule="auto"/>
        <w:rPr>
          <w:lang w:val="en-GB"/>
        </w:rPr>
      </w:pPr>
      <w:bookmarkStart w:id="50" w:name="_Toc91107885"/>
      <w:bookmarkStart w:id="51" w:name="_Toc91438049"/>
      <w:r w:rsidRPr="00032DA6">
        <w:rPr>
          <w:lang w:val="en-GB"/>
        </w:rPr>
        <w:t>Uncertainty, Expectations, and Shocks</w:t>
      </w:r>
      <w:bookmarkEnd w:id="50"/>
      <w:bookmarkEnd w:id="51"/>
      <w:r w:rsidRPr="00032DA6">
        <w:rPr>
          <w:lang w:val="en-GB"/>
        </w:rPr>
        <w:t xml:space="preserve"> </w:t>
      </w:r>
    </w:p>
    <w:p w14:paraId="29144268" w14:textId="0E63E2AB" w:rsidR="005E3C8E" w:rsidRPr="009644FC" w:rsidRDefault="00F4748D" w:rsidP="00DE108C">
      <w:pPr>
        <w:spacing w:line="276" w:lineRule="auto"/>
        <w:ind w:firstLine="340"/>
        <w:jc w:val="both"/>
        <w:rPr>
          <w:rFonts w:cstheme="majorBidi"/>
          <w:lang w:val="en-GB"/>
        </w:rPr>
      </w:pPr>
      <w:r w:rsidRPr="005D12A2">
        <w:rPr>
          <w:rFonts w:cstheme="majorBidi"/>
          <w:lang w:val="en-GB"/>
        </w:rPr>
        <w:t xml:space="preserve">As </w:t>
      </w:r>
      <w:r w:rsidRPr="005D12A2">
        <w:rPr>
          <w:rFonts w:cstheme="majorBidi"/>
          <w:shd w:val="clear" w:color="auto" w:fill="FFFFFF"/>
          <w:lang w:val="en-GB"/>
        </w:rPr>
        <w:t xml:space="preserve">Case and Shiller (2003) maintain, investment motivations also serve as a key behavioural determinant of housing prices. </w:t>
      </w:r>
      <w:r w:rsidRPr="005D12A2">
        <w:rPr>
          <w:rFonts w:cstheme="majorBidi"/>
          <w:lang w:val="en-GB"/>
        </w:rPr>
        <w:t xml:space="preserve">35% of the respondents buy a new housing unit for investment motives while around 65% buy it for occupation motives. </w:t>
      </w:r>
      <w:r w:rsidR="00DB3D42" w:rsidRPr="005D12A2">
        <w:rPr>
          <w:rFonts w:cstheme="majorBidi"/>
          <w:lang w:val="en-GB"/>
        </w:rPr>
        <w:t xml:space="preserve">Investment </w:t>
      </w:r>
      <w:r w:rsidR="00DB3D42" w:rsidRPr="00032DA6">
        <w:rPr>
          <w:rFonts w:cstheme="majorBidi"/>
          <w:lang w:val="en-GB"/>
        </w:rPr>
        <w:t>preferences change significantly during uncertainty periods as compared to normal times. According to the surveyed sample, while 64% of the</w:t>
      </w:r>
      <w:r w:rsidR="00526FFA" w:rsidRPr="00032DA6">
        <w:rPr>
          <w:rFonts w:cstheme="majorBidi"/>
          <w:lang w:val="en-GB"/>
        </w:rPr>
        <w:t xml:space="preserve"> respondents</w:t>
      </w:r>
      <w:r w:rsidR="00DB3D42" w:rsidRPr="00032DA6">
        <w:rPr>
          <w:rFonts w:cstheme="majorBidi"/>
          <w:lang w:val="en-GB"/>
        </w:rPr>
        <w:t xml:space="preserve"> would invest their savings in bank deposits and certificates during normal times, only one third of respondents would prefer this form of investment during uncertainty periods</w:t>
      </w:r>
      <w:r w:rsidR="005B1DC9" w:rsidRPr="00032DA6">
        <w:rPr>
          <w:rFonts w:cstheme="majorBidi"/>
          <w:lang w:val="en-GB"/>
        </w:rPr>
        <w:t xml:space="preserve"> (figure 1)</w:t>
      </w:r>
      <w:r w:rsidR="00DB3D42" w:rsidRPr="00032DA6">
        <w:rPr>
          <w:rFonts w:cstheme="majorBidi"/>
          <w:lang w:val="en-GB"/>
        </w:rPr>
        <w:t>. Housing investments appear to be the safest form of investment during uncertainty episodes as perceived by almost half of the respondents although in normal times this form of investment is not as preferred (</w:t>
      </w:r>
      <w:r w:rsidR="00526FFA" w:rsidRPr="00032DA6">
        <w:rPr>
          <w:rFonts w:cstheme="majorBidi"/>
          <w:lang w:val="en-GB"/>
        </w:rPr>
        <w:t>a</w:t>
      </w:r>
      <w:r w:rsidR="00DB3D42" w:rsidRPr="00032DA6">
        <w:rPr>
          <w:rFonts w:cstheme="majorBidi"/>
          <w:lang w:val="en-GB"/>
        </w:rPr>
        <w:t xml:space="preserve">round 20% of the surveyed </w:t>
      </w:r>
      <w:r w:rsidR="00DB3D42" w:rsidRPr="009644FC">
        <w:rPr>
          <w:rFonts w:cstheme="majorBidi"/>
          <w:lang w:val="en-GB"/>
        </w:rPr>
        <w:t>sample).</w:t>
      </w:r>
      <w:r w:rsidR="008E4495" w:rsidRPr="009644FC">
        <w:rPr>
          <w:rFonts w:cstheme="majorBidi"/>
          <w:lang w:val="en-GB"/>
        </w:rPr>
        <w:t xml:space="preserve"> </w:t>
      </w:r>
      <w:r w:rsidR="00754EE6" w:rsidRPr="009644FC">
        <w:rPr>
          <w:rFonts w:cstheme="majorBidi"/>
          <w:lang w:val="en-GB"/>
        </w:rPr>
        <w:t xml:space="preserve">This emphasises </w:t>
      </w:r>
      <w:r w:rsidR="00754EE6" w:rsidRPr="009644FC">
        <w:rPr>
          <w:rFonts w:cstheme="majorBidi"/>
          <w:shd w:val="clear" w:color="auto" w:fill="FFFFFF"/>
          <w:lang w:val="en-GB"/>
        </w:rPr>
        <w:t xml:space="preserve">Case’s and Shiller’s (2003) focus on the significance of </w:t>
      </w:r>
      <w:r w:rsidR="004D272F" w:rsidRPr="009644FC">
        <w:rPr>
          <w:rFonts w:cstheme="majorBidi"/>
          <w:shd w:val="clear" w:color="auto" w:fill="FFFFFF"/>
          <w:lang w:val="en-GB"/>
        </w:rPr>
        <w:t>behaviour-based determinants and</w:t>
      </w:r>
      <w:r w:rsidR="00754EE6" w:rsidRPr="009644FC">
        <w:rPr>
          <w:rFonts w:cstheme="majorBidi"/>
          <w:shd w:val="clear" w:color="auto" w:fill="FFFFFF"/>
          <w:lang w:val="en-GB"/>
        </w:rPr>
        <w:t xml:space="preserve"> </w:t>
      </w:r>
      <w:r w:rsidR="00754EE6" w:rsidRPr="009644FC">
        <w:rPr>
          <w:rFonts w:cstheme="majorBidi"/>
          <w:i/>
          <w:iCs/>
          <w:shd w:val="clear" w:color="auto" w:fill="FFFFFF"/>
          <w:lang w:val="en-GB"/>
        </w:rPr>
        <w:t>“how people think</w:t>
      </w:r>
      <w:r w:rsidR="004D272F" w:rsidRPr="009644FC">
        <w:rPr>
          <w:rFonts w:cstheme="majorBidi"/>
          <w:i/>
          <w:iCs/>
          <w:shd w:val="clear" w:color="auto" w:fill="FFFFFF"/>
          <w:lang w:val="en-GB"/>
        </w:rPr>
        <w:t>,</w:t>
      </w:r>
      <w:r w:rsidR="00754EE6" w:rsidRPr="009644FC">
        <w:rPr>
          <w:rFonts w:cstheme="majorBidi"/>
          <w:i/>
          <w:iCs/>
          <w:shd w:val="clear" w:color="auto" w:fill="FFFFFF"/>
          <w:lang w:val="en-GB"/>
        </w:rPr>
        <w:t>”</w:t>
      </w:r>
      <w:r w:rsidR="004D272F" w:rsidRPr="009644FC">
        <w:rPr>
          <w:rFonts w:cstheme="majorBidi"/>
          <w:shd w:val="clear" w:color="auto" w:fill="FFFFFF"/>
          <w:lang w:val="en-GB"/>
        </w:rPr>
        <w:t xml:space="preserve"> especially with regards to risk perceptions and expectations,</w:t>
      </w:r>
      <w:r w:rsidR="00754EE6" w:rsidRPr="009644FC">
        <w:rPr>
          <w:rFonts w:cstheme="majorBidi"/>
          <w:i/>
          <w:iCs/>
          <w:shd w:val="clear" w:color="auto" w:fill="FFFFFF"/>
          <w:lang w:val="en-GB"/>
        </w:rPr>
        <w:t xml:space="preserve"> </w:t>
      </w:r>
      <w:r w:rsidR="00754EE6" w:rsidRPr="009644FC">
        <w:rPr>
          <w:rFonts w:cstheme="majorBidi"/>
          <w:shd w:val="clear" w:color="auto" w:fill="FFFFFF"/>
          <w:lang w:val="en-GB"/>
        </w:rPr>
        <w:t>in making housing decisions.</w:t>
      </w:r>
      <w:r w:rsidR="004D272F" w:rsidRPr="009644FC">
        <w:rPr>
          <w:rFonts w:cstheme="majorBidi"/>
          <w:lang w:val="en-GB"/>
        </w:rPr>
        <w:t xml:space="preserve"> </w:t>
      </w:r>
      <w:r w:rsidR="005E3C8E" w:rsidRPr="009644FC">
        <w:rPr>
          <w:rFonts w:cstheme="majorBidi"/>
          <w:lang w:val="en-GB"/>
        </w:rPr>
        <w:t xml:space="preserve">This might </w:t>
      </w:r>
      <w:r w:rsidR="004D272F" w:rsidRPr="009644FC">
        <w:rPr>
          <w:rFonts w:cstheme="majorBidi"/>
          <w:lang w:val="en-GB"/>
        </w:rPr>
        <w:t xml:space="preserve">also </w:t>
      </w:r>
      <w:r w:rsidR="005E3C8E" w:rsidRPr="009644FC">
        <w:rPr>
          <w:rFonts w:cstheme="majorBidi"/>
          <w:lang w:val="en-GB"/>
        </w:rPr>
        <w:t xml:space="preserve">support the </w:t>
      </w:r>
      <w:r w:rsidR="008E2794" w:rsidRPr="009644FC">
        <w:rPr>
          <w:rFonts w:cstheme="majorBidi"/>
          <w:lang w:val="en-GB"/>
        </w:rPr>
        <w:t>literature strand maintain</w:t>
      </w:r>
      <w:r w:rsidR="00526FFA" w:rsidRPr="009644FC">
        <w:rPr>
          <w:rFonts w:cstheme="majorBidi"/>
          <w:lang w:val="en-GB"/>
        </w:rPr>
        <w:t>ing</w:t>
      </w:r>
      <w:r w:rsidR="008E2794" w:rsidRPr="009644FC">
        <w:rPr>
          <w:rFonts w:cstheme="majorBidi"/>
          <w:lang w:val="en-GB"/>
        </w:rPr>
        <w:t xml:space="preserve"> that individuals perceive investment in real-estate as a good hedge against inflation and thus increase housing investments </w:t>
      </w:r>
      <w:r w:rsidR="008E2794" w:rsidRPr="009644FC">
        <w:rPr>
          <w:rFonts w:cstheme="majorBidi"/>
          <w:shd w:val="clear" w:color="auto" w:fill="FFFFFF"/>
          <w:lang w:val="en-GB"/>
        </w:rPr>
        <w:t>in the presence of inflationary pressures to safeguard their wealth (Demary, 2010; Zhang et al., 2012; Alkali et al., 2018)</w:t>
      </w:r>
      <w:r w:rsidR="00AE24AD" w:rsidRPr="009644FC">
        <w:rPr>
          <w:rFonts w:cstheme="majorBidi"/>
          <w:shd w:val="clear" w:color="auto" w:fill="FFFFFF"/>
          <w:lang w:val="en-GB"/>
        </w:rPr>
        <w:t>.</w:t>
      </w:r>
    </w:p>
    <w:p w14:paraId="58F9D231" w14:textId="38B46430" w:rsidR="003166BD" w:rsidRPr="00032DA6" w:rsidRDefault="00766B47" w:rsidP="00DE108C">
      <w:pPr>
        <w:spacing w:line="276" w:lineRule="auto"/>
        <w:ind w:left="340"/>
        <w:jc w:val="center"/>
        <w:rPr>
          <w:rFonts w:cstheme="majorBidi"/>
          <w:b/>
          <w:bCs/>
          <w:i/>
          <w:iCs/>
          <w:lang w:val="en-GB"/>
        </w:rPr>
      </w:pPr>
      <w:r w:rsidRPr="00032DA6">
        <w:rPr>
          <w:b/>
          <w:bCs/>
          <w:noProof/>
          <w:lang w:val="en-GB"/>
        </w:rPr>
        <w:drawing>
          <wp:anchor distT="0" distB="0" distL="114300" distR="114300" simplePos="0" relativeHeight="251658242" behindDoc="0" locked="0" layoutInCell="1" allowOverlap="1" wp14:anchorId="422AC098" wp14:editId="7A5B901E">
            <wp:simplePos x="0" y="0"/>
            <wp:positionH relativeFrom="column">
              <wp:posOffset>967105</wp:posOffset>
            </wp:positionH>
            <wp:positionV relativeFrom="paragraph">
              <wp:posOffset>379095</wp:posOffset>
            </wp:positionV>
            <wp:extent cx="4198620" cy="2179320"/>
            <wp:effectExtent l="0" t="0" r="17780" b="17780"/>
            <wp:wrapSquare wrapText="bothSides"/>
            <wp:docPr id="5" name="Chart 5">
              <a:extLst xmlns:a="http://schemas.openxmlformats.org/drawingml/2006/main">
                <a:ext uri="{FF2B5EF4-FFF2-40B4-BE49-F238E27FC236}">
                  <a16:creationId xmlns:a16="http://schemas.microsoft.com/office/drawing/2014/main" id="{92A6F456-8B50-494E-A86B-ED99BB8BAD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3166BD" w:rsidRPr="00032DA6">
        <w:rPr>
          <w:rFonts w:cstheme="majorBidi"/>
          <w:b/>
          <w:bCs/>
          <w:i/>
          <w:iCs/>
          <w:lang w:val="en-GB"/>
        </w:rPr>
        <w:t xml:space="preserve">Figure </w:t>
      </w:r>
      <w:r w:rsidR="005B1DC9" w:rsidRPr="00032DA6">
        <w:rPr>
          <w:rFonts w:cstheme="majorBidi"/>
          <w:b/>
          <w:bCs/>
          <w:i/>
          <w:iCs/>
          <w:lang w:val="en-GB"/>
        </w:rPr>
        <w:t>(1</w:t>
      </w:r>
      <w:r w:rsidR="003166BD" w:rsidRPr="00032DA6">
        <w:rPr>
          <w:rFonts w:cstheme="majorBidi"/>
          <w:b/>
          <w:bCs/>
          <w:i/>
          <w:iCs/>
          <w:lang w:val="en-GB"/>
        </w:rPr>
        <w:t>): Investment Preferences Among the Sample Respondents During Normal Times Versus Uncertainty Periods</w:t>
      </w:r>
    </w:p>
    <w:p w14:paraId="03018589" w14:textId="17732DE5" w:rsidR="003166BD" w:rsidRPr="00032DA6" w:rsidRDefault="003166BD" w:rsidP="00DE108C">
      <w:pPr>
        <w:spacing w:line="276" w:lineRule="auto"/>
        <w:ind w:left="340"/>
        <w:jc w:val="center"/>
        <w:rPr>
          <w:rFonts w:cstheme="majorBidi"/>
          <w:b/>
          <w:bCs/>
          <w:lang w:val="en-GB"/>
        </w:rPr>
      </w:pPr>
    </w:p>
    <w:p w14:paraId="6C6C832D" w14:textId="77777777" w:rsidR="003166BD" w:rsidRPr="00032DA6" w:rsidRDefault="003166BD" w:rsidP="00DE108C">
      <w:pPr>
        <w:spacing w:line="276" w:lineRule="auto"/>
        <w:ind w:left="340"/>
        <w:jc w:val="both"/>
        <w:rPr>
          <w:rFonts w:cstheme="majorBidi"/>
          <w:lang w:val="en-GB"/>
        </w:rPr>
      </w:pPr>
    </w:p>
    <w:p w14:paraId="19F14E36" w14:textId="77777777" w:rsidR="003166BD" w:rsidRPr="00032DA6" w:rsidRDefault="003166BD" w:rsidP="00DE108C">
      <w:pPr>
        <w:spacing w:line="276" w:lineRule="auto"/>
        <w:ind w:left="340"/>
        <w:jc w:val="both"/>
        <w:rPr>
          <w:rFonts w:cstheme="majorBidi"/>
          <w:lang w:val="en-GB"/>
        </w:rPr>
      </w:pPr>
    </w:p>
    <w:p w14:paraId="59523792" w14:textId="77777777" w:rsidR="003166BD" w:rsidRPr="00032DA6" w:rsidRDefault="003166BD" w:rsidP="00DE108C">
      <w:pPr>
        <w:spacing w:line="276" w:lineRule="auto"/>
        <w:ind w:left="340"/>
        <w:jc w:val="both"/>
        <w:rPr>
          <w:rFonts w:cstheme="majorBidi"/>
          <w:lang w:val="en-GB"/>
        </w:rPr>
      </w:pPr>
    </w:p>
    <w:p w14:paraId="65C5311B" w14:textId="02D89DE7" w:rsidR="003166BD" w:rsidRPr="00032DA6" w:rsidRDefault="003166BD" w:rsidP="00DE108C">
      <w:pPr>
        <w:spacing w:line="276" w:lineRule="auto"/>
        <w:ind w:firstLine="340"/>
        <w:jc w:val="both"/>
        <w:rPr>
          <w:rFonts w:cstheme="majorBidi"/>
          <w:lang w:val="en-GB"/>
        </w:rPr>
      </w:pPr>
    </w:p>
    <w:p w14:paraId="2D8508EE" w14:textId="63B4699A" w:rsidR="003166BD" w:rsidRPr="00032DA6" w:rsidRDefault="003166BD" w:rsidP="00DE108C">
      <w:pPr>
        <w:spacing w:line="276" w:lineRule="auto"/>
        <w:jc w:val="both"/>
        <w:rPr>
          <w:rFonts w:cstheme="majorBidi"/>
          <w:lang w:val="en-GB"/>
        </w:rPr>
      </w:pPr>
    </w:p>
    <w:p w14:paraId="66516CA9" w14:textId="77777777" w:rsidR="0003098B" w:rsidRPr="00032DA6" w:rsidRDefault="0003098B" w:rsidP="00DE108C">
      <w:pPr>
        <w:spacing w:line="276" w:lineRule="auto"/>
        <w:ind w:firstLine="340"/>
        <w:jc w:val="both"/>
        <w:rPr>
          <w:rFonts w:cstheme="majorBidi"/>
          <w:lang w:val="en-GB"/>
        </w:rPr>
      </w:pPr>
    </w:p>
    <w:p w14:paraId="3FF7624F" w14:textId="6A5627A4" w:rsidR="005317FF" w:rsidRPr="00731058" w:rsidRDefault="00DB3D42" w:rsidP="00731058">
      <w:pPr>
        <w:spacing w:after="0" w:line="276" w:lineRule="auto"/>
        <w:ind w:firstLine="380"/>
        <w:jc w:val="both"/>
        <w:rPr>
          <w:rFonts w:cstheme="majorBidi"/>
          <w:lang w:val="en-GB"/>
        </w:rPr>
      </w:pPr>
      <w:r w:rsidRPr="00032DA6">
        <w:rPr>
          <w:rFonts w:cstheme="majorBidi"/>
          <w:lang w:val="en-GB"/>
        </w:rPr>
        <w:t xml:space="preserve">Investment in gold, foreign exchange, and land altogether account for 10% of the respondents’ investments in normal times while this form of investment would increase to </w:t>
      </w:r>
      <w:r w:rsidR="00766B5E" w:rsidRPr="00032DA6">
        <w:rPr>
          <w:rFonts w:cstheme="majorBidi"/>
          <w:lang w:val="en-GB"/>
        </w:rPr>
        <w:t>around 25.8</w:t>
      </w:r>
      <w:r w:rsidR="00F65EE5" w:rsidRPr="00032DA6">
        <w:rPr>
          <w:rFonts w:cstheme="majorBidi"/>
          <w:lang w:val="en-GB"/>
        </w:rPr>
        <w:t xml:space="preserve">% </w:t>
      </w:r>
      <w:r w:rsidRPr="00032DA6">
        <w:rPr>
          <w:rFonts w:cstheme="majorBidi"/>
          <w:lang w:val="en-GB"/>
        </w:rPr>
        <w:t>during uncertainty periods</w:t>
      </w:r>
      <w:r w:rsidR="005B1DC9" w:rsidRPr="00032DA6">
        <w:rPr>
          <w:rFonts w:cstheme="majorBidi"/>
          <w:lang w:val="en-GB"/>
        </w:rPr>
        <w:t xml:space="preserve"> (figure 1).</w:t>
      </w:r>
      <w:r w:rsidRPr="00032DA6">
        <w:rPr>
          <w:rFonts w:cstheme="majorBidi"/>
          <w:lang w:val="en-GB"/>
        </w:rPr>
        <w:t xml:space="preserve"> It is worth noting that around 62-64% of the respondents – both household</w:t>
      </w:r>
      <w:r w:rsidR="005E3C8E" w:rsidRPr="00032DA6">
        <w:rPr>
          <w:rFonts w:cstheme="majorBidi"/>
          <w:lang w:val="en-GB"/>
        </w:rPr>
        <w:t>s</w:t>
      </w:r>
      <w:r w:rsidRPr="00032DA6">
        <w:rPr>
          <w:rFonts w:cstheme="majorBidi"/>
          <w:lang w:val="en-GB"/>
        </w:rPr>
        <w:t xml:space="preserve"> and real estate developers – prefer to take no investment decision during a crisis time and less than 30% of both surveyed samples have a tendency towards buying</w:t>
      </w:r>
      <w:r w:rsidR="005B1DC9" w:rsidRPr="00032DA6">
        <w:rPr>
          <w:rFonts w:cstheme="majorBidi"/>
          <w:lang w:val="en-GB"/>
        </w:rPr>
        <w:t xml:space="preserve"> (table </w:t>
      </w:r>
      <w:r w:rsidR="00064D91">
        <w:rPr>
          <w:rFonts w:cstheme="majorBidi"/>
          <w:lang w:val="en-GB"/>
        </w:rPr>
        <w:t>9</w:t>
      </w:r>
      <w:r w:rsidR="005B1DC9" w:rsidRPr="00032DA6">
        <w:rPr>
          <w:rFonts w:cstheme="majorBidi"/>
          <w:lang w:val="en-GB"/>
        </w:rPr>
        <w:t>)</w:t>
      </w:r>
      <w:r w:rsidRPr="00032DA6">
        <w:rPr>
          <w:rFonts w:cstheme="majorBidi"/>
          <w:lang w:val="en-GB"/>
        </w:rPr>
        <w:t>. This again re-affirms the previous finding that housing is believed to be a safe form of investment during uncertainty times.</w:t>
      </w:r>
      <w:r w:rsidR="005317FF">
        <w:rPr>
          <w:rFonts w:cstheme="majorBidi"/>
          <w:lang w:val="en-GB"/>
        </w:rPr>
        <w:t xml:space="preserve"> Results are interesting </w:t>
      </w:r>
      <w:r w:rsidR="005E7532">
        <w:rPr>
          <w:rFonts w:cstheme="majorBidi"/>
          <w:lang w:val="en-GB"/>
        </w:rPr>
        <w:t xml:space="preserve">from a behavioural perspective </w:t>
      </w:r>
      <w:r w:rsidR="00884C1D">
        <w:rPr>
          <w:rFonts w:cstheme="majorBidi"/>
          <w:lang w:val="en-GB"/>
        </w:rPr>
        <w:t xml:space="preserve">as indicated in the literature section where </w:t>
      </w:r>
      <w:r w:rsidR="00136635">
        <w:rPr>
          <w:rFonts w:cstheme="majorBidi"/>
          <w:lang w:val="en-GB"/>
        </w:rPr>
        <w:t>public could prefer housing investment</w:t>
      </w:r>
      <w:r w:rsidR="00731058">
        <w:rPr>
          <w:rFonts w:cstheme="majorBidi"/>
          <w:lang w:val="en-GB"/>
        </w:rPr>
        <w:t xml:space="preserve"> since</w:t>
      </w:r>
      <w:r w:rsidR="005317FF" w:rsidRPr="004427FB">
        <w:rPr>
          <w:rFonts w:cstheme="majorBidi"/>
          <w:color w:val="000000" w:themeColor="text1"/>
          <w:shd w:val="clear" w:color="auto" w:fill="FFFFFF"/>
          <w:lang w:val="en-GB"/>
        </w:rPr>
        <w:t xml:space="preserve"> if individuals believe that purchasing a house </w:t>
      </w:r>
      <w:r w:rsidR="00731058">
        <w:rPr>
          <w:rFonts w:cstheme="majorBidi"/>
          <w:color w:val="000000" w:themeColor="text1"/>
          <w:shd w:val="clear" w:color="auto" w:fill="FFFFFF"/>
          <w:lang w:val="en-GB"/>
        </w:rPr>
        <w:t>is</w:t>
      </w:r>
      <w:r w:rsidR="005317FF" w:rsidRPr="004427FB">
        <w:rPr>
          <w:rFonts w:cstheme="majorBidi"/>
          <w:color w:val="000000" w:themeColor="text1"/>
          <w:shd w:val="clear" w:color="auto" w:fill="FFFFFF"/>
          <w:lang w:val="en-GB"/>
        </w:rPr>
        <w:t xml:space="preserve"> a safe rather than risky investment.</w:t>
      </w:r>
    </w:p>
    <w:p w14:paraId="382D6138" w14:textId="77777777" w:rsidR="005317FF" w:rsidRPr="00032DA6" w:rsidRDefault="005317FF" w:rsidP="00EB4864">
      <w:pPr>
        <w:spacing w:after="0" w:line="276" w:lineRule="auto"/>
        <w:ind w:firstLine="380"/>
        <w:jc w:val="both"/>
        <w:rPr>
          <w:rFonts w:cstheme="majorBidi"/>
          <w:lang w:val="en-GB"/>
        </w:rPr>
      </w:pPr>
    </w:p>
    <w:p w14:paraId="6A66FAB0" w14:textId="77777777" w:rsidR="00CF79D7" w:rsidRDefault="00CF79D7" w:rsidP="00EB4864">
      <w:pPr>
        <w:spacing w:after="0" w:line="276" w:lineRule="auto"/>
        <w:rPr>
          <w:rFonts w:cstheme="majorBidi"/>
          <w:b/>
          <w:bCs/>
          <w:lang w:val="en-GB"/>
        </w:rPr>
      </w:pPr>
    </w:p>
    <w:p w14:paraId="6A525B7A" w14:textId="35143808" w:rsidR="00313E51" w:rsidRPr="00EB4864" w:rsidRDefault="00313E51" w:rsidP="00EB4864">
      <w:pPr>
        <w:spacing w:after="0" w:line="276" w:lineRule="auto"/>
        <w:rPr>
          <w:rFonts w:cstheme="majorBidi"/>
          <w:b/>
          <w:bCs/>
          <w:lang w:val="en-GB"/>
        </w:rPr>
      </w:pPr>
      <w:r w:rsidRPr="00EB4864">
        <w:rPr>
          <w:rFonts w:cstheme="majorBidi"/>
          <w:b/>
          <w:bCs/>
          <w:lang w:val="en-GB"/>
        </w:rPr>
        <w:t>Table (</w:t>
      </w:r>
      <w:r w:rsidR="00064D91" w:rsidRPr="00EB4864">
        <w:rPr>
          <w:rFonts w:cstheme="majorBidi"/>
          <w:b/>
          <w:bCs/>
          <w:lang w:val="en-GB"/>
        </w:rPr>
        <w:t>9</w:t>
      </w:r>
      <w:r w:rsidRPr="00EB4864">
        <w:rPr>
          <w:rFonts w:cstheme="majorBidi"/>
          <w:b/>
          <w:bCs/>
          <w:lang w:val="en-GB"/>
        </w:rPr>
        <w:t>): Housing Preferences During a Crisis</w:t>
      </w:r>
    </w:p>
    <w:tbl>
      <w:tblPr>
        <w:tblStyle w:val="GridTable5Dark-Accent3"/>
        <w:tblpPr w:leftFromText="180" w:rightFromText="180" w:vertAnchor="text" w:horzAnchor="margin" w:tblpY="278"/>
        <w:tblW w:w="9645" w:type="dxa"/>
        <w:tblLook w:val="04A0" w:firstRow="1" w:lastRow="0" w:firstColumn="1" w:lastColumn="0" w:noHBand="0" w:noVBand="1"/>
      </w:tblPr>
      <w:tblGrid>
        <w:gridCol w:w="3071"/>
        <w:gridCol w:w="3521"/>
        <w:gridCol w:w="3053"/>
      </w:tblGrid>
      <w:tr w:rsidR="004434FE" w:rsidRPr="00032DA6" w14:paraId="7E98ABB6" w14:textId="77777777" w:rsidTr="00CF284E">
        <w:trPr>
          <w:cnfStyle w:val="100000000000" w:firstRow="1" w:lastRow="0" w:firstColumn="0" w:lastColumn="0" w:oddVBand="0" w:evenVBand="0" w:oddHBand="0"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3071" w:type="dxa"/>
            <w:vMerge w:val="restart"/>
            <w:noWrap/>
            <w:hideMark/>
          </w:tcPr>
          <w:p w14:paraId="0DE95FF9" w14:textId="77777777" w:rsidR="004434FE" w:rsidRPr="00032DA6" w:rsidRDefault="004434FE" w:rsidP="00DE108C">
            <w:pPr>
              <w:spacing w:line="276" w:lineRule="auto"/>
              <w:rPr>
                <w:rFonts w:eastAsia="Times New Roman" w:cstheme="majorBidi"/>
                <w:lang w:val="en-GB"/>
              </w:rPr>
            </w:pPr>
          </w:p>
        </w:tc>
        <w:tc>
          <w:tcPr>
            <w:tcW w:w="3521" w:type="dxa"/>
            <w:hideMark/>
          </w:tcPr>
          <w:p w14:paraId="4D13856F" w14:textId="77777777" w:rsidR="004434FE" w:rsidRPr="00032DA6" w:rsidRDefault="004434FE" w:rsidP="00DE108C">
            <w:pPr>
              <w:spacing w:line="276" w:lineRule="auto"/>
              <w:ind w:left="340"/>
              <w:jc w:val="center"/>
              <w:cnfStyle w:val="100000000000" w:firstRow="1" w:lastRow="0" w:firstColumn="0" w:lastColumn="0" w:oddVBand="0" w:evenVBand="0" w:oddHBand="0" w:evenHBand="0" w:firstRowFirstColumn="0" w:firstRowLastColumn="0" w:lastRowFirstColumn="0" w:lastRowLastColumn="0"/>
              <w:rPr>
                <w:rFonts w:eastAsia="Times New Roman" w:cstheme="majorBidi"/>
                <w:b w:val="0"/>
                <w:bCs w:val="0"/>
                <w:i/>
                <w:iCs/>
                <w:color w:val="000000"/>
                <w:lang w:val="en-GB"/>
              </w:rPr>
            </w:pPr>
            <w:r w:rsidRPr="00032DA6">
              <w:rPr>
                <w:rFonts w:eastAsia="Times New Roman" w:cstheme="majorBidi"/>
                <w:i/>
                <w:iCs/>
                <w:color w:val="000000"/>
                <w:lang w:val="en-GB"/>
              </w:rPr>
              <w:t>If you invest in housing, what is your preference with regards to housing investment during a crisis?</w:t>
            </w:r>
          </w:p>
        </w:tc>
        <w:tc>
          <w:tcPr>
            <w:tcW w:w="3053" w:type="dxa"/>
            <w:hideMark/>
          </w:tcPr>
          <w:p w14:paraId="00F2D316" w14:textId="77777777" w:rsidR="004434FE" w:rsidRPr="00032DA6" w:rsidRDefault="004434FE" w:rsidP="00DE108C">
            <w:pPr>
              <w:spacing w:line="276" w:lineRule="auto"/>
              <w:ind w:left="340"/>
              <w:jc w:val="center"/>
              <w:cnfStyle w:val="100000000000" w:firstRow="1" w:lastRow="0" w:firstColumn="0" w:lastColumn="0" w:oddVBand="0" w:evenVBand="0" w:oddHBand="0" w:evenHBand="0" w:firstRowFirstColumn="0" w:firstRowLastColumn="0" w:lastRowFirstColumn="0" w:lastRowLastColumn="0"/>
              <w:rPr>
                <w:rFonts w:eastAsia="Times New Roman" w:cstheme="majorBidi"/>
                <w:b w:val="0"/>
                <w:bCs w:val="0"/>
                <w:i/>
                <w:iCs/>
                <w:color w:val="000000"/>
                <w:lang w:val="en-GB"/>
              </w:rPr>
            </w:pPr>
            <w:r w:rsidRPr="00032DA6">
              <w:rPr>
                <w:rFonts w:eastAsia="Times New Roman" w:cstheme="majorBidi"/>
                <w:i/>
                <w:iCs/>
                <w:color w:val="000000"/>
                <w:lang w:val="en-GB"/>
              </w:rPr>
              <w:t>During a crisis, how do you perceive the investment behaviour in the housing market?</w:t>
            </w:r>
          </w:p>
        </w:tc>
      </w:tr>
      <w:tr w:rsidR="004434FE" w:rsidRPr="00032DA6" w14:paraId="574515A8" w14:textId="77777777" w:rsidTr="00CF284E">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3071" w:type="dxa"/>
            <w:vMerge/>
            <w:hideMark/>
          </w:tcPr>
          <w:p w14:paraId="42005237" w14:textId="77777777" w:rsidR="004434FE" w:rsidRPr="00032DA6" w:rsidRDefault="004434FE" w:rsidP="00DE108C">
            <w:pPr>
              <w:spacing w:line="276" w:lineRule="auto"/>
              <w:ind w:left="340"/>
              <w:jc w:val="center"/>
              <w:rPr>
                <w:rFonts w:eastAsia="Times New Roman" w:cstheme="majorBidi"/>
                <w:b w:val="0"/>
                <w:bCs w:val="0"/>
                <w:color w:val="000000"/>
                <w:lang w:val="en-GB"/>
              </w:rPr>
            </w:pPr>
          </w:p>
        </w:tc>
        <w:tc>
          <w:tcPr>
            <w:tcW w:w="3521" w:type="dxa"/>
            <w:hideMark/>
          </w:tcPr>
          <w:p w14:paraId="215ED8FB" w14:textId="77777777" w:rsidR="004434FE" w:rsidRPr="00032DA6" w:rsidRDefault="004434FE" w:rsidP="00DE108C">
            <w:pPr>
              <w:spacing w:line="276" w:lineRule="auto"/>
              <w:ind w:left="340"/>
              <w:jc w:val="center"/>
              <w:cnfStyle w:val="000000100000" w:firstRow="0" w:lastRow="0" w:firstColumn="0" w:lastColumn="0" w:oddVBand="0" w:evenVBand="0" w:oddHBand="1" w:evenHBand="0" w:firstRowFirstColumn="0" w:firstRowLastColumn="0" w:lastRowFirstColumn="0" w:lastRowLastColumn="0"/>
              <w:rPr>
                <w:rFonts w:eastAsia="Times New Roman" w:cstheme="majorBidi"/>
                <w:b/>
                <w:bCs/>
                <w:color w:val="000000"/>
                <w:lang w:val="en-GB"/>
              </w:rPr>
            </w:pPr>
            <w:r w:rsidRPr="00032DA6">
              <w:rPr>
                <w:rFonts w:eastAsia="Times New Roman" w:cstheme="majorBidi"/>
                <w:b/>
                <w:bCs/>
                <w:color w:val="000000"/>
                <w:lang w:val="en-GB"/>
              </w:rPr>
              <w:t>Household Survey</w:t>
            </w:r>
          </w:p>
        </w:tc>
        <w:tc>
          <w:tcPr>
            <w:tcW w:w="3053" w:type="dxa"/>
            <w:hideMark/>
          </w:tcPr>
          <w:p w14:paraId="4EB6D639" w14:textId="014897B2" w:rsidR="004434FE" w:rsidRPr="00032DA6" w:rsidRDefault="004434FE" w:rsidP="00DE108C">
            <w:pPr>
              <w:spacing w:line="276" w:lineRule="auto"/>
              <w:ind w:left="340"/>
              <w:jc w:val="center"/>
              <w:cnfStyle w:val="000000100000" w:firstRow="0" w:lastRow="0" w:firstColumn="0" w:lastColumn="0" w:oddVBand="0" w:evenVBand="0" w:oddHBand="1" w:evenHBand="0" w:firstRowFirstColumn="0" w:firstRowLastColumn="0" w:lastRowFirstColumn="0" w:lastRowLastColumn="0"/>
              <w:rPr>
                <w:rFonts w:eastAsia="Times New Roman" w:cstheme="majorBidi"/>
                <w:b/>
                <w:bCs/>
                <w:color w:val="000000"/>
                <w:lang w:val="en-GB"/>
              </w:rPr>
            </w:pPr>
            <w:r w:rsidRPr="00032DA6">
              <w:rPr>
                <w:rFonts w:eastAsia="Times New Roman" w:cstheme="majorBidi"/>
                <w:b/>
                <w:bCs/>
                <w:color w:val="000000"/>
                <w:lang w:val="en-GB"/>
              </w:rPr>
              <w:t>Real</w:t>
            </w:r>
            <w:r w:rsidR="0090412E" w:rsidRPr="00032DA6">
              <w:rPr>
                <w:rFonts w:eastAsia="Times New Roman" w:cstheme="majorBidi"/>
                <w:b/>
                <w:bCs/>
                <w:color w:val="000000"/>
                <w:lang w:val="en-GB"/>
              </w:rPr>
              <w:t>-</w:t>
            </w:r>
            <w:r w:rsidRPr="00032DA6">
              <w:rPr>
                <w:rFonts w:eastAsia="Times New Roman" w:cstheme="majorBidi"/>
                <w:b/>
                <w:bCs/>
                <w:color w:val="000000"/>
                <w:lang w:val="en-GB"/>
              </w:rPr>
              <w:t xml:space="preserve">Estate Developers </w:t>
            </w:r>
            <w:r w:rsidR="0090412E" w:rsidRPr="00032DA6">
              <w:rPr>
                <w:rFonts w:eastAsia="Times New Roman" w:cstheme="majorBidi"/>
                <w:b/>
                <w:bCs/>
                <w:color w:val="000000"/>
                <w:lang w:val="en-GB"/>
              </w:rPr>
              <w:t xml:space="preserve">and Brokers </w:t>
            </w:r>
            <w:r w:rsidRPr="00032DA6">
              <w:rPr>
                <w:rFonts w:eastAsia="Times New Roman" w:cstheme="majorBidi"/>
                <w:b/>
                <w:bCs/>
                <w:color w:val="000000"/>
                <w:lang w:val="en-GB"/>
              </w:rPr>
              <w:t>Survey</w:t>
            </w:r>
          </w:p>
        </w:tc>
      </w:tr>
      <w:tr w:rsidR="004434FE" w:rsidRPr="00032DA6" w14:paraId="741B2386" w14:textId="77777777" w:rsidTr="00CF284E">
        <w:trPr>
          <w:trHeight w:val="321"/>
        </w:trPr>
        <w:tc>
          <w:tcPr>
            <w:cnfStyle w:val="001000000000" w:firstRow="0" w:lastRow="0" w:firstColumn="1" w:lastColumn="0" w:oddVBand="0" w:evenVBand="0" w:oddHBand="0" w:evenHBand="0" w:firstRowFirstColumn="0" w:firstRowLastColumn="0" w:lastRowFirstColumn="0" w:lastRowLastColumn="0"/>
            <w:tcW w:w="3071" w:type="dxa"/>
            <w:hideMark/>
          </w:tcPr>
          <w:p w14:paraId="105CBCC7" w14:textId="77777777" w:rsidR="004434FE" w:rsidRPr="00032DA6" w:rsidRDefault="004434FE" w:rsidP="00DE108C">
            <w:pPr>
              <w:spacing w:line="276" w:lineRule="auto"/>
              <w:ind w:left="340"/>
              <w:jc w:val="center"/>
              <w:rPr>
                <w:rFonts w:eastAsia="Times New Roman" w:cstheme="majorBidi"/>
                <w:b w:val="0"/>
                <w:bCs w:val="0"/>
                <w:color w:val="000000"/>
                <w:lang w:val="en-GB"/>
              </w:rPr>
            </w:pPr>
            <w:r w:rsidRPr="00032DA6">
              <w:rPr>
                <w:rFonts w:eastAsia="Times New Roman" w:cstheme="majorBidi"/>
                <w:color w:val="000000"/>
                <w:lang w:val="en-GB"/>
              </w:rPr>
              <w:t>More preferences to sell</w:t>
            </w:r>
          </w:p>
        </w:tc>
        <w:tc>
          <w:tcPr>
            <w:tcW w:w="3521" w:type="dxa"/>
            <w:hideMark/>
          </w:tcPr>
          <w:p w14:paraId="50C2E39A" w14:textId="77777777" w:rsidR="004434FE" w:rsidRPr="00032DA6" w:rsidRDefault="004434FE" w:rsidP="00DE108C">
            <w:pPr>
              <w:spacing w:line="276" w:lineRule="auto"/>
              <w:ind w:left="340"/>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9.3</w:t>
            </w:r>
          </w:p>
        </w:tc>
        <w:tc>
          <w:tcPr>
            <w:tcW w:w="3053" w:type="dxa"/>
            <w:noWrap/>
            <w:hideMark/>
          </w:tcPr>
          <w:p w14:paraId="5FA26575" w14:textId="77777777" w:rsidR="004434FE" w:rsidRPr="00032DA6" w:rsidRDefault="004434FE" w:rsidP="00DE108C">
            <w:pPr>
              <w:spacing w:line="276" w:lineRule="auto"/>
              <w:ind w:left="340"/>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10.9</w:t>
            </w:r>
          </w:p>
        </w:tc>
      </w:tr>
      <w:tr w:rsidR="004434FE" w:rsidRPr="00032DA6" w14:paraId="1A7A0D07" w14:textId="77777777" w:rsidTr="00CF284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071" w:type="dxa"/>
            <w:hideMark/>
          </w:tcPr>
          <w:p w14:paraId="502ECCB5" w14:textId="77777777" w:rsidR="004434FE" w:rsidRPr="00032DA6" w:rsidRDefault="004434FE" w:rsidP="00DE108C">
            <w:pPr>
              <w:spacing w:line="276" w:lineRule="auto"/>
              <w:ind w:left="340"/>
              <w:jc w:val="center"/>
              <w:rPr>
                <w:rFonts w:eastAsia="Times New Roman" w:cstheme="majorBidi"/>
                <w:b w:val="0"/>
                <w:bCs w:val="0"/>
                <w:color w:val="000000"/>
                <w:lang w:val="en-GB"/>
              </w:rPr>
            </w:pPr>
            <w:r w:rsidRPr="00032DA6">
              <w:rPr>
                <w:rFonts w:eastAsia="Times New Roman" w:cstheme="majorBidi"/>
                <w:color w:val="000000"/>
                <w:lang w:val="en-GB"/>
              </w:rPr>
              <w:t>More preferences to buy</w:t>
            </w:r>
          </w:p>
        </w:tc>
        <w:tc>
          <w:tcPr>
            <w:tcW w:w="3521" w:type="dxa"/>
            <w:hideMark/>
          </w:tcPr>
          <w:p w14:paraId="2E700D81" w14:textId="77777777" w:rsidR="004434FE" w:rsidRPr="00032DA6" w:rsidRDefault="004434FE" w:rsidP="00DE108C">
            <w:pPr>
              <w:spacing w:line="276" w:lineRule="auto"/>
              <w:ind w:left="340"/>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29.3</w:t>
            </w:r>
          </w:p>
        </w:tc>
        <w:tc>
          <w:tcPr>
            <w:tcW w:w="3053" w:type="dxa"/>
            <w:noWrap/>
            <w:hideMark/>
          </w:tcPr>
          <w:p w14:paraId="1BC2C7DC" w14:textId="77777777" w:rsidR="004434FE" w:rsidRPr="00032DA6" w:rsidRDefault="004434FE" w:rsidP="00DE108C">
            <w:pPr>
              <w:spacing w:line="276" w:lineRule="auto"/>
              <w:ind w:left="340"/>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22.0</w:t>
            </w:r>
          </w:p>
        </w:tc>
      </w:tr>
      <w:tr w:rsidR="004434FE" w:rsidRPr="00032DA6" w14:paraId="31879369" w14:textId="77777777" w:rsidTr="00CF284E">
        <w:trPr>
          <w:trHeight w:val="349"/>
        </w:trPr>
        <w:tc>
          <w:tcPr>
            <w:cnfStyle w:val="001000000000" w:firstRow="0" w:lastRow="0" w:firstColumn="1" w:lastColumn="0" w:oddVBand="0" w:evenVBand="0" w:oddHBand="0" w:evenHBand="0" w:firstRowFirstColumn="0" w:firstRowLastColumn="0" w:lastRowFirstColumn="0" w:lastRowLastColumn="0"/>
            <w:tcW w:w="3071" w:type="dxa"/>
            <w:hideMark/>
          </w:tcPr>
          <w:p w14:paraId="575291AB" w14:textId="77777777" w:rsidR="004434FE" w:rsidRPr="00032DA6" w:rsidRDefault="004434FE" w:rsidP="00DE108C">
            <w:pPr>
              <w:spacing w:line="276" w:lineRule="auto"/>
              <w:ind w:left="340"/>
              <w:jc w:val="center"/>
              <w:rPr>
                <w:rFonts w:eastAsia="Times New Roman" w:cstheme="majorBidi"/>
                <w:b w:val="0"/>
                <w:bCs w:val="0"/>
                <w:color w:val="000000"/>
                <w:lang w:val="en-GB"/>
              </w:rPr>
            </w:pPr>
            <w:r w:rsidRPr="00032DA6">
              <w:rPr>
                <w:rFonts w:eastAsia="Times New Roman" w:cstheme="majorBidi"/>
                <w:color w:val="000000"/>
                <w:lang w:val="en-GB"/>
              </w:rPr>
              <w:t>More preferences to wait</w:t>
            </w:r>
          </w:p>
        </w:tc>
        <w:tc>
          <w:tcPr>
            <w:tcW w:w="3521" w:type="dxa"/>
            <w:hideMark/>
          </w:tcPr>
          <w:p w14:paraId="15AB3BF1" w14:textId="77777777" w:rsidR="004434FE" w:rsidRPr="00032DA6" w:rsidRDefault="004434FE" w:rsidP="00DE108C">
            <w:pPr>
              <w:spacing w:line="276" w:lineRule="auto"/>
              <w:ind w:left="340"/>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61.4</w:t>
            </w:r>
          </w:p>
        </w:tc>
        <w:tc>
          <w:tcPr>
            <w:tcW w:w="3053" w:type="dxa"/>
            <w:noWrap/>
            <w:hideMark/>
          </w:tcPr>
          <w:p w14:paraId="652758D3" w14:textId="77777777" w:rsidR="004434FE" w:rsidRPr="00032DA6" w:rsidRDefault="004434FE" w:rsidP="00DE108C">
            <w:pPr>
              <w:spacing w:line="276" w:lineRule="auto"/>
              <w:ind w:left="340"/>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63.8</w:t>
            </w:r>
          </w:p>
        </w:tc>
      </w:tr>
    </w:tbl>
    <w:p w14:paraId="36D95B73" w14:textId="77777777" w:rsidR="00CF284E" w:rsidRPr="00032DA6" w:rsidRDefault="00CF284E" w:rsidP="00DE108C">
      <w:pPr>
        <w:spacing w:line="276" w:lineRule="auto"/>
        <w:ind w:left="340" w:firstLine="380"/>
        <w:rPr>
          <w:rFonts w:cstheme="majorBidi"/>
          <w:b/>
          <w:bCs/>
          <w:color w:val="FF0000"/>
          <w:lang w:val="en-GB"/>
        </w:rPr>
      </w:pPr>
    </w:p>
    <w:p w14:paraId="64B73B94" w14:textId="0EDF4CE5" w:rsidR="004434FE" w:rsidRPr="00032DA6" w:rsidRDefault="000C024B" w:rsidP="00DE108C">
      <w:pPr>
        <w:spacing w:line="276" w:lineRule="auto"/>
        <w:jc w:val="both"/>
        <w:rPr>
          <w:rFonts w:cstheme="majorBidi"/>
          <w:lang w:val="en-GB"/>
        </w:rPr>
      </w:pPr>
      <w:r w:rsidRPr="00032DA6">
        <w:rPr>
          <w:rFonts w:cstheme="majorBidi"/>
          <w:lang w:val="en-GB"/>
        </w:rPr>
        <w:t xml:space="preserve">Table </w:t>
      </w:r>
      <w:r w:rsidR="005B1DC9" w:rsidRPr="00032DA6">
        <w:rPr>
          <w:rFonts w:cstheme="majorBidi"/>
          <w:lang w:val="en-GB"/>
        </w:rPr>
        <w:t>(</w:t>
      </w:r>
      <w:r w:rsidR="00064D91">
        <w:rPr>
          <w:rFonts w:cstheme="majorBidi"/>
          <w:lang w:val="en-GB"/>
        </w:rPr>
        <w:t>10</w:t>
      </w:r>
      <w:r w:rsidR="005B1DC9" w:rsidRPr="00032DA6">
        <w:rPr>
          <w:rFonts w:cstheme="majorBidi"/>
          <w:lang w:val="en-GB"/>
        </w:rPr>
        <w:t>)</w:t>
      </w:r>
      <w:r w:rsidRPr="00032DA6">
        <w:rPr>
          <w:rFonts w:cstheme="majorBidi"/>
          <w:lang w:val="en-GB"/>
        </w:rPr>
        <w:t xml:space="preserve"> below shows that, according to the surveyed sample, housing prices are expected to witness future increase, constitute a good and safe opportunity for future investment</w:t>
      </w:r>
      <w:r w:rsidR="00526FFA" w:rsidRPr="00032DA6">
        <w:rPr>
          <w:rFonts w:cstheme="majorBidi"/>
          <w:lang w:val="en-GB"/>
        </w:rPr>
        <w:t>,</w:t>
      </w:r>
      <w:r w:rsidRPr="00032DA6">
        <w:rPr>
          <w:rFonts w:cstheme="majorBidi"/>
          <w:lang w:val="en-GB"/>
        </w:rPr>
        <w:t xml:space="preserve"> and hence housing investment will remain to be a preferred option for safe investment by Egyptians. </w:t>
      </w:r>
    </w:p>
    <w:p w14:paraId="11802883" w14:textId="7E7A9425" w:rsidR="000C024B" w:rsidRPr="00032DA6" w:rsidRDefault="005B1DC9" w:rsidP="00DE108C">
      <w:pPr>
        <w:spacing w:after="0" w:line="276" w:lineRule="auto"/>
        <w:rPr>
          <w:rFonts w:eastAsia="Times New Roman" w:cstheme="majorBidi"/>
          <w:b/>
          <w:bCs/>
          <w:color w:val="000000"/>
          <w:lang w:val="en-GB"/>
        </w:rPr>
      </w:pPr>
      <w:r w:rsidRPr="00032DA6">
        <w:rPr>
          <w:rFonts w:eastAsia="Times New Roman" w:cstheme="majorBidi"/>
          <w:b/>
          <w:bCs/>
          <w:color w:val="000000"/>
          <w:lang w:val="en-GB"/>
        </w:rPr>
        <w:t>Table (</w:t>
      </w:r>
      <w:r w:rsidR="00064D91">
        <w:rPr>
          <w:rFonts w:eastAsia="Times New Roman" w:cstheme="majorBidi"/>
          <w:b/>
          <w:bCs/>
          <w:color w:val="000000"/>
          <w:lang w:val="en-GB"/>
        </w:rPr>
        <w:t>10</w:t>
      </w:r>
      <w:r w:rsidR="000C024B" w:rsidRPr="00032DA6">
        <w:rPr>
          <w:rFonts w:eastAsia="Times New Roman" w:cstheme="majorBidi"/>
          <w:b/>
          <w:bCs/>
          <w:color w:val="000000"/>
          <w:lang w:val="en-GB"/>
        </w:rPr>
        <w:t>): To what extent do you agree with the following statements</w:t>
      </w:r>
      <w:r w:rsidR="00766B47" w:rsidRPr="00032DA6">
        <w:rPr>
          <w:rFonts w:eastAsia="Times New Roman" w:cstheme="majorBidi"/>
          <w:b/>
          <w:bCs/>
          <w:color w:val="000000"/>
          <w:lang w:val="en-GB"/>
        </w:rPr>
        <w:t>?</w:t>
      </w:r>
    </w:p>
    <w:tbl>
      <w:tblPr>
        <w:tblStyle w:val="GridTable5Dark-Accent3"/>
        <w:tblpPr w:leftFromText="180" w:rightFromText="180" w:vertAnchor="text" w:horzAnchor="margin" w:tblpY="11"/>
        <w:tblW w:w="10118" w:type="dxa"/>
        <w:tblLook w:val="04A0" w:firstRow="1" w:lastRow="0" w:firstColumn="1" w:lastColumn="0" w:noHBand="0" w:noVBand="1"/>
      </w:tblPr>
      <w:tblGrid>
        <w:gridCol w:w="1686"/>
        <w:gridCol w:w="1862"/>
        <w:gridCol w:w="2238"/>
        <w:gridCol w:w="1861"/>
        <w:gridCol w:w="2471"/>
      </w:tblGrid>
      <w:tr w:rsidR="004B44C9" w:rsidRPr="00032DA6" w14:paraId="2EAFC614" w14:textId="77777777" w:rsidTr="004434FE">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86" w:type="dxa"/>
            <w:hideMark/>
          </w:tcPr>
          <w:p w14:paraId="44F65127" w14:textId="77777777" w:rsidR="004434FE" w:rsidRPr="00032DA6" w:rsidRDefault="004434FE" w:rsidP="00DE108C">
            <w:pPr>
              <w:spacing w:line="276" w:lineRule="auto"/>
              <w:jc w:val="center"/>
              <w:rPr>
                <w:rFonts w:eastAsia="Times New Roman" w:cstheme="majorBidi"/>
                <w:b w:val="0"/>
                <w:bCs w:val="0"/>
                <w:color w:val="000000"/>
                <w:lang w:val="en-GB"/>
              </w:rPr>
            </w:pPr>
          </w:p>
        </w:tc>
        <w:tc>
          <w:tcPr>
            <w:tcW w:w="1862" w:type="dxa"/>
          </w:tcPr>
          <w:p w14:paraId="38941292" w14:textId="77777777" w:rsidR="004434FE" w:rsidRPr="00032DA6" w:rsidRDefault="004434FE" w:rsidP="00DE108C">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ajorBidi"/>
                <w:i/>
                <w:iCs/>
                <w:color w:val="000000"/>
                <w:lang w:val="en-GB"/>
              </w:rPr>
            </w:pPr>
            <w:r w:rsidRPr="00032DA6">
              <w:rPr>
                <w:rFonts w:cstheme="majorBidi"/>
                <w:i/>
                <w:iCs/>
                <w:color w:val="000000"/>
                <w:lang w:val="en-GB"/>
              </w:rPr>
              <w:t>It is very likely that housing prices will sharply increase and thus, if I do not buy now, I will not be able to buy anytime soon</w:t>
            </w:r>
          </w:p>
        </w:tc>
        <w:tc>
          <w:tcPr>
            <w:tcW w:w="2238" w:type="dxa"/>
            <w:hideMark/>
          </w:tcPr>
          <w:p w14:paraId="239936DE" w14:textId="77777777" w:rsidR="004434FE" w:rsidRPr="00032DA6" w:rsidRDefault="004434FE" w:rsidP="00DE108C">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ajorBidi"/>
                <w:i/>
                <w:iCs/>
                <w:color w:val="000000"/>
                <w:lang w:val="en-GB"/>
              </w:rPr>
            </w:pPr>
            <w:r w:rsidRPr="00032DA6">
              <w:rPr>
                <w:rFonts w:eastAsia="Times New Roman" w:cstheme="majorBidi"/>
                <w:i/>
                <w:iCs/>
                <w:color w:val="000000"/>
                <w:lang w:val="en-GB"/>
              </w:rPr>
              <w:t>Economic conditions are mostly stable that make investing in housing a good opportunity</w:t>
            </w:r>
          </w:p>
        </w:tc>
        <w:tc>
          <w:tcPr>
            <w:tcW w:w="1861" w:type="dxa"/>
            <w:hideMark/>
          </w:tcPr>
          <w:p w14:paraId="47DAB598" w14:textId="77777777" w:rsidR="004434FE" w:rsidRPr="00032DA6" w:rsidRDefault="004434FE" w:rsidP="00DE108C">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ajorBidi"/>
                <w:i/>
                <w:iCs/>
                <w:color w:val="000000"/>
                <w:lang w:val="en-GB"/>
              </w:rPr>
            </w:pPr>
            <w:r w:rsidRPr="00032DA6">
              <w:rPr>
                <w:rFonts w:eastAsia="Times New Roman" w:cstheme="majorBidi"/>
                <w:i/>
                <w:iCs/>
                <w:color w:val="000000"/>
                <w:lang w:val="en-GB"/>
              </w:rPr>
              <w:t>The high cost of living makes keeping cash better than investing it in housing market</w:t>
            </w:r>
          </w:p>
        </w:tc>
        <w:tc>
          <w:tcPr>
            <w:tcW w:w="2471" w:type="dxa"/>
            <w:hideMark/>
          </w:tcPr>
          <w:p w14:paraId="2C7564FB" w14:textId="77777777" w:rsidR="004434FE" w:rsidRPr="00032DA6" w:rsidRDefault="004434FE" w:rsidP="00DE108C">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ajorBidi"/>
                <w:i/>
                <w:iCs/>
                <w:color w:val="000000"/>
                <w:lang w:val="en-GB"/>
              </w:rPr>
            </w:pPr>
            <w:r w:rsidRPr="00032DA6">
              <w:rPr>
                <w:rFonts w:eastAsia="Times New Roman" w:cstheme="majorBidi"/>
                <w:i/>
                <w:iCs/>
                <w:color w:val="000000"/>
                <w:lang w:val="en-GB"/>
              </w:rPr>
              <w:t>Housing prices are very high and are expected to decrease in the near future</w:t>
            </w:r>
          </w:p>
        </w:tc>
      </w:tr>
      <w:tr w:rsidR="004B44C9" w:rsidRPr="00032DA6" w14:paraId="7344056A" w14:textId="77777777" w:rsidTr="004434FE">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1686" w:type="dxa"/>
            <w:hideMark/>
          </w:tcPr>
          <w:p w14:paraId="284EBF64" w14:textId="77777777" w:rsidR="004434FE" w:rsidRPr="00032DA6" w:rsidRDefault="004434FE" w:rsidP="00DE108C">
            <w:pPr>
              <w:spacing w:line="276" w:lineRule="auto"/>
              <w:jc w:val="center"/>
              <w:rPr>
                <w:rFonts w:eastAsia="Times New Roman" w:cstheme="majorBidi"/>
                <w:b w:val="0"/>
                <w:bCs w:val="0"/>
                <w:color w:val="000000"/>
                <w:lang w:val="en-GB"/>
              </w:rPr>
            </w:pPr>
            <w:r w:rsidRPr="00032DA6">
              <w:rPr>
                <w:rFonts w:eastAsia="Times New Roman" w:cstheme="majorBidi"/>
                <w:color w:val="000000"/>
                <w:lang w:val="en-GB"/>
              </w:rPr>
              <w:t>Do not agree</w:t>
            </w:r>
          </w:p>
        </w:tc>
        <w:tc>
          <w:tcPr>
            <w:tcW w:w="1862" w:type="dxa"/>
          </w:tcPr>
          <w:p w14:paraId="701115CC" w14:textId="77777777" w:rsidR="004434FE" w:rsidRPr="00032DA6" w:rsidRDefault="004434FE"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val="en-GB"/>
              </w:rPr>
            </w:pPr>
            <w:r w:rsidRPr="00032DA6">
              <w:rPr>
                <w:rFonts w:cstheme="majorBidi"/>
                <w:color w:val="000000"/>
                <w:lang w:val="en-GB"/>
              </w:rPr>
              <w:t>40.8</w:t>
            </w:r>
          </w:p>
        </w:tc>
        <w:tc>
          <w:tcPr>
            <w:tcW w:w="2238" w:type="dxa"/>
            <w:hideMark/>
          </w:tcPr>
          <w:p w14:paraId="5A7E3555" w14:textId="65600C85" w:rsidR="004434FE" w:rsidRPr="00032DA6" w:rsidRDefault="004434FE"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33.3</w:t>
            </w:r>
          </w:p>
        </w:tc>
        <w:tc>
          <w:tcPr>
            <w:tcW w:w="1861" w:type="dxa"/>
            <w:hideMark/>
          </w:tcPr>
          <w:p w14:paraId="36D0F265" w14:textId="77777777" w:rsidR="004434FE" w:rsidRPr="00032DA6" w:rsidRDefault="004434FE"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42.1</w:t>
            </w:r>
          </w:p>
        </w:tc>
        <w:tc>
          <w:tcPr>
            <w:tcW w:w="2471" w:type="dxa"/>
            <w:hideMark/>
          </w:tcPr>
          <w:p w14:paraId="08EFD17B" w14:textId="77777777" w:rsidR="004434FE" w:rsidRPr="00032DA6" w:rsidRDefault="004434FE"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56.7</w:t>
            </w:r>
          </w:p>
        </w:tc>
      </w:tr>
      <w:tr w:rsidR="004434FE" w:rsidRPr="00032DA6" w14:paraId="458D4D8A" w14:textId="77777777" w:rsidTr="004434FE">
        <w:trPr>
          <w:trHeight w:val="83"/>
        </w:trPr>
        <w:tc>
          <w:tcPr>
            <w:cnfStyle w:val="001000000000" w:firstRow="0" w:lastRow="0" w:firstColumn="1" w:lastColumn="0" w:oddVBand="0" w:evenVBand="0" w:oddHBand="0" w:evenHBand="0" w:firstRowFirstColumn="0" w:firstRowLastColumn="0" w:lastRowFirstColumn="0" w:lastRowLastColumn="0"/>
            <w:tcW w:w="1686" w:type="dxa"/>
            <w:hideMark/>
          </w:tcPr>
          <w:p w14:paraId="1390BA62" w14:textId="77777777" w:rsidR="004434FE" w:rsidRPr="00032DA6" w:rsidRDefault="004434FE" w:rsidP="00DE108C">
            <w:pPr>
              <w:spacing w:line="276" w:lineRule="auto"/>
              <w:jc w:val="center"/>
              <w:rPr>
                <w:rFonts w:eastAsia="Times New Roman" w:cstheme="majorBidi"/>
                <w:b w:val="0"/>
                <w:bCs w:val="0"/>
                <w:color w:val="000000"/>
                <w:lang w:val="en-GB"/>
              </w:rPr>
            </w:pPr>
            <w:r w:rsidRPr="00032DA6">
              <w:rPr>
                <w:rFonts w:eastAsia="Times New Roman" w:cstheme="majorBidi"/>
                <w:color w:val="000000"/>
                <w:lang w:val="en-GB"/>
              </w:rPr>
              <w:t>I don't know</w:t>
            </w:r>
          </w:p>
        </w:tc>
        <w:tc>
          <w:tcPr>
            <w:tcW w:w="1862" w:type="dxa"/>
          </w:tcPr>
          <w:p w14:paraId="324AF348" w14:textId="77777777" w:rsidR="004434FE" w:rsidRPr="00032DA6" w:rsidRDefault="004434FE"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cstheme="majorBidi"/>
                <w:color w:val="000000"/>
                <w:lang w:val="en-GB"/>
              </w:rPr>
              <w:t>8.1</w:t>
            </w:r>
          </w:p>
        </w:tc>
        <w:tc>
          <w:tcPr>
            <w:tcW w:w="2238" w:type="dxa"/>
            <w:hideMark/>
          </w:tcPr>
          <w:p w14:paraId="0063D50C" w14:textId="77777777" w:rsidR="004434FE" w:rsidRPr="00032DA6" w:rsidRDefault="004434FE"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9.7</w:t>
            </w:r>
          </w:p>
        </w:tc>
        <w:tc>
          <w:tcPr>
            <w:tcW w:w="1861" w:type="dxa"/>
            <w:hideMark/>
          </w:tcPr>
          <w:p w14:paraId="10F0D034" w14:textId="77777777" w:rsidR="004434FE" w:rsidRPr="00032DA6" w:rsidRDefault="004434FE"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6.9</w:t>
            </w:r>
          </w:p>
        </w:tc>
        <w:tc>
          <w:tcPr>
            <w:tcW w:w="2471" w:type="dxa"/>
            <w:hideMark/>
          </w:tcPr>
          <w:p w14:paraId="01702021" w14:textId="77777777" w:rsidR="004434FE" w:rsidRPr="00032DA6" w:rsidRDefault="004434FE"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7.8</w:t>
            </w:r>
          </w:p>
        </w:tc>
      </w:tr>
      <w:tr w:rsidR="004B44C9" w:rsidRPr="00032DA6" w14:paraId="2FA74ECF" w14:textId="77777777" w:rsidTr="004434FE">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1686" w:type="dxa"/>
            <w:hideMark/>
          </w:tcPr>
          <w:p w14:paraId="58E471F8" w14:textId="77777777" w:rsidR="004434FE" w:rsidRPr="00032DA6" w:rsidRDefault="004434FE" w:rsidP="00DE108C">
            <w:pPr>
              <w:spacing w:line="276" w:lineRule="auto"/>
              <w:jc w:val="center"/>
              <w:rPr>
                <w:rFonts w:eastAsia="Times New Roman" w:cstheme="majorBidi"/>
                <w:b w:val="0"/>
                <w:bCs w:val="0"/>
                <w:color w:val="000000"/>
                <w:lang w:val="en-GB"/>
              </w:rPr>
            </w:pPr>
            <w:r w:rsidRPr="00032DA6">
              <w:rPr>
                <w:rFonts w:eastAsia="Times New Roman" w:cstheme="majorBidi"/>
                <w:color w:val="000000"/>
                <w:lang w:val="en-GB"/>
              </w:rPr>
              <w:t>Agree</w:t>
            </w:r>
          </w:p>
        </w:tc>
        <w:tc>
          <w:tcPr>
            <w:tcW w:w="1862" w:type="dxa"/>
          </w:tcPr>
          <w:p w14:paraId="4EF50F82" w14:textId="77777777" w:rsidR="004434FE" w:rsidRPr="00032DA6" w:rsidRDefault="004434FE"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val="en-GB"/>
              </w:rPr>
            </w:pPr>
            <w:r w:rsidRPr="00032DA6">
              <w:rPr>
                <w:rFonts w:cstheme="majorBidi"/>
                <w:color w:val="000000"/>
                <w:lang w:val="en-GB"/>
              </w:rPr>
              <w:t>51.1</w:t>
            </w:r>
          </w:p>
        </w:tc>
        <w:tc>
          <w:tcPr>
            <w:tcW w:w="2238" w:type="dxa"/>
            <w:hideMark/>
          </w:tcPr>
          <w:p w14:paraId="2A60D4F4" w14:textId="334EB4EA" w:rsidR="004434FE" w:rsidRPr="00032DA6" w:rsidRDefault="004434FE"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57</w:t>
            </w:r>
          </w:p>
        </w:tc>
        <w:tc>
          <w:tcPr>
            <w:tcW w:w="1861" w:type="dxa"/>
            <w:hideMark/>
          </w:tcPr>
          <w:p w14:paraId="5FD66F9A" w14:textId="77777777" w:rsidR="004434FE" w:rsidRPr="00032DA6" w:rsidRDefault="004434FE"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51.1</w:t>
            </w:r>
          </w:p>
        </w:tc>
        <w:tc>
          <w:tcPr>
            <w:tcW w:w="2471" w:type="dxa"/>
            <w:hideMark/>
          </w:tcPr>
          <w:p w14:paraId="4084546A" w14:textId="77777777" w:rsidR="004434FE" w:rsidRPr="00032DA6" w:rsidRDefault="004434FE"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35.5</w:t>
            </w:r>
          </w:p>
        </w:tc>
      </w:tr>
      <w:tr w:rsidR="00313E51" w:rsidRPr="00032DA6" w14:paraId="5C527EBF" w14:textId="77777777" w:rsidTr="004434FE">
        <w:trPr>
          <w:trHeight w:val="83"/>
        </w:trPr>
        <w:tc>
          <w:tcPr>
            <w:cnfStyle w:val="001000000000" w:firstRow="0" w:lastRow="0" w:firstColumn="1" w:lastColumn="0" w:oddVBand="0" w:evenVBand="0" w:oddHBand="0" w:evenHBand="0" w:firstRowFirstColumn="0" w:firstRowLastColumn="0" w:lastRowFirstColumn="0" w:lastRowLastColumn="0"/>
            <w:tcW w:w="1686" w:type="dxa"/>
            <w:hideMark/>
          </w:tcPr>
          <w:p w14:paraId="40872F0B" w14:textId="77777777" w:rsidR="004434FE" w:rsidRPr="00032DA6" w:rsidRDefault="004434FE" w:rsidP="00DE108C">
            <w:pPr>
              <w:spacing w:line="276" w:lineRule="auto"/>
              <w:jc w:val="center"/>
              <w:rPr>
                <w:rFonts w:eastAsia="Times New Roman" w:cstheme="majorBidi"/>
                <w:b w:val="0"/>
                <w:bCs w:val="0"/>
                <w:color w:val="000000"/>
                <w:lang w:val="en-GB"/>
              </w:rPr>
            </w:pPr>
            <w:r w:rsidRPr="00032DA6">
              <w:rPr>
                <w:rFonts w:eastAsia="Times New Roman" w:cstheme="majorBidi"/>
                <w:color w:val="000000"/>
                <w:lang w:val="en-GB"/>
              </w:rPr>
              <w:t>Total</w:t>
            </w:r>
          </w:p>
        </w:tc>
        <w:tc>
          <w:tcPr>
            <w:tcW w:w="1862" w:type="dxa"/>
          </w:tcPr>
          <w:p w14:paraId="1D249CA7" w14:textId="77777777" w:rsidR="004434FE" w:rsidRPr="00032DA6" w:rsidRDefault="004434FE"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cstheme="majorBidi"/>
                <w:color w:val="000000"/>
                <w:lang w:val="en-GB"/>
              </w:rPr>
              <w:t>100.0</w:t>
            </w:r>
          </w:p>
        </w:tc>
        <w:tc>
          <w:tcPr>
            <w:tcW w:w="2238" w:type="dxa"/>
            <w:hideMark/>
          </w:tcPr>
          <w:p w14:paraId="209A7C79" w14:textId="6C0B04FE" w:rsidR="004434FE" w:rsidRPr="00032DA6" w:rsidRDefault="004434FE"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100</w:t>
            </w:r>
          </w:p>
        </w:tc>
        <w:tc>
          <w:tcPr>
            <w:tcW w:w="1861" w:type="dxa"/>
            <w:hideMark/>
          </w:tcPr>
          <w:p w14:paraId="61A60493" w14:textId="77777777" w:rsidR="004434FE" w:rsidRPr="00032DA6" w:rsidRDefault="004434FE"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100</w:t>
            </w:r>
          </w:p>
        </w:tc>
        <w:tc>
          <w:tcPr>
            <w:tcW w:w="2471" w:type="dxa"/>
            <w:hideMark/>
          </w:tcPr>
          <w:p w14:paraId="390A5458" w14:textId="77777777" w:rsidR="004434FE" w:rsidRPr="00032DA6" w:rsidRDefault="004434FE"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100</w:t>
            </w:r>
          </w:p>
        </w:tc>
      </w:tr>
    </w:tbl>
    <w:p w14:paraId="7E6F86A3" w14:textId="5EC8642D" w:rsidR="00745624" w:rsidRPr="00D62A2B" w:rsidRDefault="008A21D6" w:rsidP="00D62A2B">
      <w:pPr>
        <w:spacing w:line="276" w:lineRule="auto"/>
        <w:ind w:firstLine="720"/>
        <w:jc w:val="both"/>
        <w:rPr>
          <w:rFonts w:cstheme="majorBidi"/>
          <w:shd w:val="clear" w:color="auto" w:fill="FFFFFF"/>
          <w:lang w:val="en-GB"/>
        </w:rPr>
      </w:pPr>
      <w:r w:rsidRPr="00032DA6">
        <w:rPr>
          <w:rFonts w:cstheme="majorBidi"/>
          <w:lang w:val="en-GB"/>
        </w:rPr>
        <w:t xml:space="preserve">A good majority of </w:t>
      </w:r>
      <w:r w:rsidR="00A11B56">
        <w:rPr>
          <w:rFonts w:cstheme="majorBidi"/>
          <w:lang w:val="en-GB"/>
        </w:rPr>
        <w:t>household</w:t>
      </w:r>
      <w:r w:rsidRPr="00032DA6">
        <w:rPr>
          <w:rFonts w:cstheme="majorBidi"/>
          <w:lang w:val="en-GB"/>
        </w:rPr>
        <w:t xml:space="preserve"> respondents </w:t>
      </w:r>
      <w:r w:rsidR="004F3978" w:rsidRPr="00032DA6">
        <w:rPr>
          <w:rFonts w:cstheme="majorBidi"/>
          <w:lang w:val="en-GB"/>
        </w:rPr>
        <w:t>– both</w:t>
      </w:r>
      <w:r w:rsidRPr="00032DA6">
        <w:rPr>
          <w:rFonts w:cstheme="majorBidi"/>
          <w:lang w:val="en-GB"/>
        </w:rPr>
        <w:t xml:space="preserve"> as homebuyers and home-sellers</w:t>
      </w:r>
      <w:r w:rsidR="004F3978" w:rsidRPr="00032DA6">
        <w:rPr>
          <w:rFonts w:cstheme="majorBidi"/>
          <w:lang w:val="en-GB"/>
        </w:rPr>
        <w:t xml:space="preserve"> – </w:t>
      </w:r>
      <w:r w:rsidRPr="00032DA6">
        <w:rPr>
          <w:rFonts w:cstheme="majorBidi"/>
          <w:lang w:val="en-GB"/>
        </w:rPr>
        <w:t>perceive that price trends in the housing markets witnessed significant increases that exceeded 10% during the past five years and are expected to follow the same trend of price rise in the near future</w:t>
      </w:r>
      <w:r w:rsidR="005D2E3C" w:rsidRPr="00032DA6">
        <w:rPr>
          <w:rFonts w:cstheme="majorBidi"/>
          <w:lang w:val="en-GB"/>
        </w:rPr>
        <w:t xml:space="preserve"> (table 1</w:t>
      </w:r>
      <w:r w:rsidR="00064D91">
        <w:rPr>
          <w:rFonts w:cstheme="majorBidi"/>
          <w:lang w:val="en-GB"/>
        </w:rPr>
        <w:t>1</w:t>
      </w:r>
      <w:r w:rsidR="005D2E3C" w:rsidRPr="00032DA6">
        <w:rPr>
          <w:rFonts w:cstheme="majorBidi"/>
          <w:lang w:val="en-GB"/>
        </w:rPr>
        <w:t>)</w:t>
      </w:r>
      <w:r w:rsidRPr="00032DA6">
        <w:rPr>
          <w:rFonts w:cstheme="majorBidi"/>
          <w:lang w:val="en-GB"/>
        </w:rPr>
        <w:t>.</w:t>
      </w:r>
      <w:r w:rsidR="00261E40" w:rsidRPr="00032DA6">
        <w:rPr>
          <w:rFonts w:cstheme="majorBidi"/>
          <w:lang w:val="en-GB"/>
        </w:rPr>
        <w:t xml:space="preserve"> </w:t>
      </w:r>
      <w:r w:rsidRPr="00032DA6">
        <w:rPr>
          <w:rFonts w:cstheme="majorBidi"/>
          <w:lang w:val="en-GB"/>
        </w:rPr>
        <w:t>On the other hand, around two</w:t>
      </w:r>
      <w:r w:rsidR="00DB6538" w:rsidRPr="00032DA6">
        <w:rPr>
          <w:rFonts w:cstheme="majorBidi"/>
          <w:lang w:val="en-GB"/>
        </w:rPr>
        <w:t>-</w:t>
      </w:r>
      <w:r w:rsidRPr="00032DA6">
        <w:rPr>
          <w:rFonts w:cstheme="majorBidi"/>
          <w:lang w:val="en-GB"/>
        </w:rPr>
        <w:t xml:space="preserve">thirds of surveyed </w:t>
      </w:r>
      <w:r w:rsidR="00261E40" w:rsidRPr="00032DA6">
        <w:rPr>
          <w:rFonts w:cstheme="majorBidi"/>
          <w:lang w:val="en-GB"/>
        </w:rPr>
        <w:t>real-estate</w:t>
      </w:r>
      <w:r w:rsidRPr="00032DA6">
        <w:rPr>
          <w:rFonts w:cstheme="majorBidi"/>
          <w:lang w:val="en-GB"/>
        </w:rPr>
        <w:t xml:space="preserve"> developers</w:t>
      </w:r>
      <w:r w:rsidR="0090412E" w:rsidRPr="00032DA6">
        <w:rPr>
          <w:rFonts w:cstheme="majorBidi"/>
          <w:lang w:val="en-GB"/>
        </w:rPr>
        <w:t xml:space="preserve"> and brokers</w:t>
      </w:r>
      <w:r w:rsidRPr="00032DA6">
        <w:rPr>
          <w:rFonts w:cstheme="majorBidi"/>
          <w:lang w:val="en-GB"/>
        </w:rPr>
        <w:t xml:space="preserve"> indicate that housing prices have</w:t>
      </w:r>
      <w:r w:rsidR="00CD3B3D" w:rsidRPr="00032DA6">
        <w:rPr>
          <w:rFonts w:cstheme="majorBidi"/>
          <w:lang w:val="en-GB"/>
        </w:rPr>
        <w:t xml:space="preserve"> </w:t>
      </w:r>
      <w:r w:rsidRPr="00032DA6">
        <w:rPr>
          <w:rFonts w:cstheme="majorBidi"/>
          <w:lang w:val="en-GB"/>
        </w:rPr>
        <w:t xml:space="preserve">witnessed a </w:t>
      </w:r>
      <w:r w:rsidRPr="00D62A2B">
        <w:rPr>
          <w:rFonts w:cstheme="majorBidi"/>
          <w:lang w:val="en-GB"/>
        </w:rPr>
        <w:t>significant increase in the past five years and expect that it will increase by more than 10% during the coming five years</w:t>
      </w:r>
      <w:r w:rsidR="00550527" w:rsidRPr="00D62A2B">
        <w:rPr>
          <w:rFonts w:cstheme="majorBidi"/>
          <w:lang w:val="en-GB"/>
        </w:rPr>
        <w:t xml:space="preserve"> (figure</w:t>
      </w:r>
      <w:r w:rsidR="005B1DC9" w:rsidRPr="00D62A2B">
        <w:rPr>
          <w:rFonts w:cstheme="majorBidi"/>
          <w:lang w:val="en-GB"/>
        </w:rPr>
        <w:t xml:space="preserve"> 2</w:t>
      </w:r>
      <w:r w:rsidR="00550527" w:rsidRPr="00D62A2B">
        <w:rPr>
          <w:rFonts w:cstheme="majorBidi"/>
          <w:lang w:val="en-GB"/>
        </w:rPr>
        <w:t>)</w:t>
      </w:r>
      <w:r w:rsidRPr="00D62A2B">
        <w:rPr>
          <w:rFonts w:cstheme="majorBidi"/>
          <w:lang w:val="en-GB"/>
        </w:rPr>
        <w:t>. Around one</w:t>
      </w:r>
      <w:r w:rsidR="00DB6538" w:rsidRPr="00D62A2B">
        <w:rPr>
          <w:rFonts w:cstheme="majorBidi"/>
          <w:lang w:val="en-GB"/>
        </w:rPr>
        <w:t>-</w:t>
      </w:r>
      <w:r w:rsidRPr="00D62A2B">
        <w:rPr>
          <w:rFonts w:cstheme="majorBidi"/>
          <w:lang w:val="en-GB"/>
        </w:rPr>
        <w:t>third of the surveyed sample indicate that housing demand in Egypt witnessed a decrease in the past five years</w:t>
      </w:r>
      <w:r w:rsidR="00261E40" w:rsidRPr="00D62A2B">
        <w:rPr>
          <w:rFonts w:cstheme="majorBidi"/>
          <w:lang w:val="en-GB"/>
        </w:rPr>
        <w:t xml:space="preserve"> and </w:t>
      </w:r>
      <w:r w:rsidRPr="00D62A2B">
        <w:rPr>
          <w:rFonts w:cstheme="majorBidi"/>
          <w:lang w:val="en-GB"/>
        </w:rPr>
        <w:t>expect that the market will witness a normal increase that does</w:t>
      </w:r>
      <w:r w:rsidR="00924C87" w:rsidRPr="00D62A2B">
        <w:rPr>
          <w:rFonts w:cstheme="majorBidi"/>
          <w:lang w:val="en-GB"/>
        </w:rPr>
        <w:t xml:space="preserve"> not</w:t>
      </w:r>
      <w:r w:rsidRPr="00D62A2B">
        <w:rPr>
          <w:rFonts w:cstheme="majorBidi"/>
          <w:lang w:val="en-GB"/>
        </w:rPr>
        <w:t xml:space="preserve"> exceed 10%.</w:t>
      </w:r>
      <w:r w:rsidR="00550527" w:rsidRPr="00D62A2B">
        <w:rPr>
          <w:rFonts w:cstheme="majorBidi"/>
          <w:lang w:val="en-GB"/>
        </w:rPr>
        <w:t xml:space="preserve"> This</w:t>
      </w:r>
      <w:r w:rsidR="00312F66">
        <w:rPr>
          <w:rFonts w:cstheme="majorBidi"/>
          <w:lang w:val="en-GB"/>
        </w:rPr>
        <w:t xml:space="preserve"> reflects a discrepancy in the perceptions of both groups</w:t>
      </w:r>
      <w:r w:rsidR="00320153">
        <w:rPr>
          <w:rFonts w:cstheme="majorBidi"/>
          <w:lang w:val="en-GB"/>
        </w:rPr>
        <w:t xml:space="preserve"> about housing prices and trends</w:t>
      </w:r>
      <w:r w:rsidR="00312F66">
        <w:rPr>
          <w:rFonts w:cstheme="majorBidi"/>
          <w:lang w:val="en-GB"/>
        </w:rPr>
        <w:t xml:space="preserve">, possibly resulting from many reasons; most importantly is the lack of </w:t>
      </w:r>
      <w:r w:rsidR="00FC7089">
        <w:rPr>
          <w:rFonts w:cstheme="majorBidi"/>
          <w:lang w:val="en-GB"/>
        </w:rPr>
        <w:t xml:space="preserve">accurate price databases on </w:t>
      </w:r>
      <w:r w:rsidR="00435AE4">
        <w:rPr>
          <w:rFonts w:cstheme="majorBidi"/>
          <w:lang w:val="en-GB"/>
        </w:rPr>
        <w:t xml:space="preserve">the housing market which leaves </w:t>
      </w:r>
      <w:r w:rsidR="00ED7809">
        <w:rPr>
          <w:rFonts w:cstheme="majorBidi"/>
          <w:lang w:val="en-GB"/>
        </w:rPr>
        <w:t>both historical prices and future expectations</w:t>
      </w:r>
      <w:r w:rsidR="00520014">
        <w:rPr>
          <w:rFonts w:cstheme="majorBidi"/>
          <w:lang w:val="en-GB"/>
        </w:rPr>
        <w:t xml:space="preserve"> to a great extent to perceptions rather than facts. </w:t>
      </w:r>
      <w:r w:rsidR="420EDFE2" w:rsidRPr="6DA2303F">
        <w:rPr>
          <w:rFonts w:cstheme="majorBidi"/>
          <w:lang w:val="en-GB"/>
        </w:rPr>
        <w:t>Tracking</w:t>
      </w:r>
      <w:r w:rsidR="00550527" w:rsidRPr="00D62A2B">
        <w:rPr>
          <w:rFonts w:cstheme="majorBidi"/>
          <w:lang w:val="en-GB"/>
        </w:rPr>
        <w:t xml:space="preserve"> public expectations of future housing prices </w:t>
      </w:r>
      <w:r w:rsidR="006B4FCD" w:rsidRPr="00D62A2B">
        <w:rPr>
          <w:rFonts w:cstheme="majorBidi"/>
          <w:lang w:val="en-GB"/>
        </w:rPr>
        <w:t xml:space="preserve">since, as proven in literature such as </w:t>
      </w:r>
      <w:r w:rsidR="006B4FCD" w:rsidRPr="00D62A2B">
        <w:rPr>
          <w:rFonts w:cstheme="majorBidi"/>
          <w:shd w:val="clear" w:color="auto" w:fill="FFFFFF"/>
          <w:lang w:val="en-GB"/>
        </w:rPr>
        <w:t>Stiglitz</w:t>
      </w:r>
      <w:r w:rsidR="00D62A2B" w:rsidRPr="00D62A2B">
        <w:rPr>
          <w:rFonts w:cstheme="majorBidi"/>
          <w:shd w:val="clear" w:color="auto" w:fill="FFFFFF"/>
          <w:lang w:val="en-GB"/>
        </w:rPr>
        <w:t xml:space="preserve"> (</w:t>
      </w:r>
      <w:r w:rsidR="006B4FCD" w:rsidRPr="00D62A2B">
        <w:rPr>
          <w:rFonts w:cstheme="majorBidi"/>
          <w:shd w:val="clear" w:color="auto" w:fill="FFFFFF"/>
          <w:lang w:val="en-GB"/>
        </w:rPr>
        <w:t>1990</w:t>
      </w:r>
      <w:r w:rsidR="00D62A2B" w:rsidRPr="00D62A2B">
        <w:rPr>
          <w:rFonts w:cstheme="majorBidi"/>
          <w:shd w:val="clear" w:color="auto" w:fill="FFFFFF"/>
          <w:lang w:val="en-GB"/>
        </w:rPr>
        <w:t>) and</w:t>
      </w:r>
      <w:r w:rsidR="006B4FCD" w:rsidRPr="00D62A2B">
        <w:rPr>
          <w:rFonts w:cstheme="majorBidi"/>
          <w:shd w:val="clear" w:color="auto" w:fill="FFFFFF"/>
          <w:lang w:val="en-GB"/>
        </w:rPr>
        <w:t xml:space="preserve"> Shiller</w:t>
      </w:r>
      <w:r w:rsidR="00D62A2B" w:rsidRPr="00D62A2B">
        <w:rPr>
          <w:rFonts w:cstheme="majorBidi"/>
          <w:shd w:val="clear" w:color="auto" w:fill="FFFFFF"/>
          <w:lang w:val="en-GB"/>
        </w:rPr>
        <w:t xml:space="preserve"> (</w:t>
      </w:r>
      <w:r w:rsidR="006B4FCD" w:rsidRPr="00D62A2B">
        <w:rPr>
          <w:rFonts w:cstheme="majorBidi"/>
          <w:shd w:val="clear" w:color="auto" w:fill="FFFFFF"/>
          <w:lang w:val="en-GB"/>
        </w:rPr>
        <w:t>2007)</w:t>
      </w:r>
      <w:r w:rsidR="00337031">
        <w:rPr>
          <w:rFonts w:cstheme="majorBidi"/>
          <w:shd w:val="clear" w:color="auto" w:fill="FFFFFF"/>
          <w:lang w:val="en-GB"/>
        </w:rPr>
        <w:t xml:space="preserve">, </w:t>
      </w:r>
      <w:r w:rsidR="00D62A2B" w:rsidRPr="00D62A2B">
        <w:rPr>
          <w:rFonts w:cstheme="majorBidi"/>
          <w:shd w:val="clear" w:color="auto" w:fill="FFFFFF"/>
          <w:lang w:val="en-GB"/>
        </w:rPr>
        <w:t xml:space="preserve">they have a role in </w:t>
      </w:r>
      <w:r w:rsidR="00550527" w:rsidRPr="00D62A2B">
        <w:rPr>
          <w:rFonts w:cstheme="majorBidi"/>
          <w:lang w:val="en-GB"/>
        </w:rPr>
        <w:t xml:space="preserve">influencing housing prices </w:t>
      </w:r>
      <w:r w:rsidR="00D62A2B" w:rsidRPr="00D62A2B">
        <w:rPr>
          <w:rFonts w:cstheme="majorBidi"/>
          <w:lang w:val="en-GB"/>
        </w:rPr>
        <w:t>under the bubble-bust behaviour theory.</w:t>
      </w:r>
    </w:p>
    <w:p w14:paraId="776C29DD" w14:textId="5C52609D" w:rsidR="00CF284E" w:rsidRPr="00032DA6" w:rsidRDefault="005D2E3C" w:rsidP="00DE108C">
      <w:pPr>
        <w:spacing w:line="276" w:lineRule="auto"/>
        <w:rPr>
          <w:rFonts w:cstheme="majorBidi"/>
          <w:b/>
          <w:bCs/>
          <w:lang w:val="en-GB"/>
        </w:rPr>
      </w:pPr>
      <w:r w:rsidRPr="00032DA6">
        <w:rPr>
          <w:rFonts w:cstheme="majorBidi"/>
          <w:b/>
          <w:bCs/>
          <w:lang w:val="en-GB"/>
        </w:rPr>
        <w:t>Table (1</w:t>
      </w:r>
      <w:r w:rsidR="00064D91">
        <w:rPr>
          <w:rFonts w:cstheme="majorBidi"/>
          <w:b/>
          <w:bCs/>
          <w:lang w:val="en-GB"/>
        </w:rPr>
        <w:t>1</w:t>
      </w:r>
      <w:r w:rsidRPr="00032DA6">
        <w:rPr>
          <w:rFonts w:cstheme="majorBidi"/>
          <w:b/>
          <w:bCs/>
          <w:lang w:val="en-GB"/>
        </w:rPr>
        <w:t>)</w:t>
      </w:r>
      <w:r w:rsidR="00AA1337">
        <w:rPr>
          <w:rFonts w:cstheme="majorBidi"/>
          <w:b/>
          <w:bCs/>
          <w:lang w:val="en-GB"/>
        </w:rPr>
        <w:t xml:space="preserve">: </w:t>
      </w:r>
      <w:r w:rsidR="000C024B" w:rsidRPr="00032DA6">
        <w:rPr>
          <w:rFonts w:cstheme="majorBidi"/>
          <w:b/>
          <w:bCs/>
          <w:lang w:val="en-GB"/>
        </w:rPr>
        <w:t>Housing Prices Perceptions and Expectations</w:t>
      </w:r>
    </w:p>
    <w:tbl>
      <w:tblPr>
        <w:tblStyle w:val="GridTable5Dark-Accent3"/>
        <w:tblW w:w="4853" w:type="pct"/>
        <w:tblLook w:val="06A0" w:firstRow="1" w:lastRow="0" w:firstColumn="1" w:lastColumn="0" w:noHBand="1" w:noVBand="1"/>
      </w:tblPr>
      <w:tblGrid>
        <w:gridCol w:w="2066"/>
        <w:gridCol w:w="1867"/>
        <w:gridCol w:w="1872"/>
        <w:gridCol w:w="1881"/>
        <w:gridCol w:w="1389"/>
      </w:tblGrid>
      <w:tr w:rsidR="00032DA6" w:rsidRPr="00032DA6" w14:paraId="54D4533C" w14:textId="77777777" w:rsidTr="0090412E">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44" w:type="pct"/>
            <w:noWrap/>
            <w:hideMark/>
          </w:tcPr>
          <w:p w14:paraId="564C870B" w14:textId="77777777" w:rsidR="0090412E" w:rsidRPr="00032DA6" w:rsidRDefault="0090412E" w:rsidP="00DE108C">
            <w:pPr>
              <w:spacing w:line="276" w:lineRule="auto"/>
              <w:jc w:val="center"/>
              <w:rPr>
                <w:rFonts w:eastAsia="Times New Roman" w:cstheme="majorBidi"/>
                <w:color w:val="000000"/>
                <w:lang w:val="en-GB"/>
              </w:rPr>
            </w:pPr>
            <w:r w:rsidRPr="00032DA6">
              <w:rPr>
                <w:rFonts w:eastAsia="Times New Roman" w:cstheme="majorBidi"/>
                <w:color w:val="000000"/>
                <w:lang w:val="en-GB"/>
              </w:rPr>
              <w:t> </w:t>
            </w:r>
          </w:p>
        </w:tc>
        <w:tc>
          <w:tcPr>
            <w:tcW w:w="1034" w:type="pct"/>
            <w:noWrap/>
            <w:hideMark/>
          </w:tcPr>
          <w:p w14:paraId="50E58211" w14:textId="77777777" w:rsidR="0090412E" w:rsidRPr="00032DA6" w:rsidRDefault="0090412E" w:rsidP="00DE108C">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Homebuyer</w:t>
            </w:r>
          </w:p>
        </w:tc>
        <w:tc>
          <w:tcPr>
            <w:tcW w:w="1037" w:type="pct"/>
            <w:noWrap/>
            <w:hideMark/>
          </w:tcPr>
          <w:p w14:paraId="0FBBB48C" w14:textId="77777777" w:rsidR="0090412E" w:rsidRPr="00032DA6" w:rsidRDefault="0090412E" w:rsidP="00DE108C">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Home-Seller</w:t>
            </w:r>
          </w:p>
        </w:tc>
        <w:tc>
          <w:tcPr>
            <w:tcW w:w="1042" w:type="pct"/>
            <w:noWrap/>
            <w:hideMark/>
          </w:tcPr>
          <w:p w14:paraId="2F0A27B1" w14:textId="77777777" w:rsidR="0090412E" w:rsidRPr="00032DA6" w:rsidRDefault="0090412E" w:rsidP="00DE108C">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Homebuyer</w:t>
            </w:r>
          </w:p>
        </w:tc>
        <w:tc>
          <w:tcPr>
            <w:tcW w:w="743" w:type="pct"/>
            <w:noWrap/>
            <w:hideMark/>
          </w:tcPr>
          <w:p w14:paraId="33A17A0F" w14:textId="77777777" w:rsidR="0090412E" w:rsidRPr="00032DA6" w:rsidRDefault="0090412E" w:rsidP="00DE108C">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Home-Seller</w:t>
            </w:r>
          </w:p>
        </w:tc>
      </w:tr>
      <w:tr w:rsidR="0090412E" w:rsidRPr="00032DA6" w14:paraId="077C9EBE" w14:textId="77777777" w:rsidTr="0090412E">
        <w:trPr>
          <w:trHeight w:val="494"/>
        </w:trPr>
        <w:tc>
          <w:tcPr>
            <w:cnfStyle w:val="001000000000" w:firstRow="0" w:lastRow="0" w:firstColumn="1" w:lastColumn="0" w:oddVBand="0" w:evenVBand="0" w:oddHBand="0" w:evenHBand="0" w:firstRowFirstColumn="0" w:firstRowLastColumn="0" w:lastRowFirstColumn="0" w:lastRowLastColumn="0"/>
            <w:tcW w:w="1144" w:type="pct"/>
            <w:hideMark/>
          </w:tcPr>
          <w:p w14:paraId="708A1111" w14:textId="77777777" w:rsidR="0090412E" w:rsidRPr="00032DA6" w:rsidRDefault="0090412E" w:rsidP="00DE108C">
            <w:pPr>
              <w:spacing w:line="276" w:lineRule="auto"/>
              <w:jc w:val="center"/>
              <w:rPr>
                <w:rFonts w:eastAsia="Times New Roman" w:cstheme="majorBidi"/>
                <w:b w:val="0"/>
                <w:bCs w:val="0"/>
                <w:color w:val="000000"/>
                <w:lang w:val="en-GB"/>
              </w:rPr>
            </w:pPr>
            <w:r w:rsidRPr="00032DA6">
              <w:rPr>
                <w:rFonts w:eastAsia="Times New Roman" w:cstheme="majorBidi"/>
                <w:color w:val="000000"/>
                <w:lang w:val="en-GB"/>
              </w:rPr>
              <w:t> </w:t>
            </w:r>
          </w:p>
        </w:tc>
        <w:tc>
          <w:tcPr>
            <w:tcW w:w="2071" w:type="pct"/>
            <w:gridSpan w:val="2"/>
            <w:hideMark/>
          </w:tcPr>
          <w:p w14:paraId="7BBDA512" w14:textId="77777777" w:rsidR="0090412E" w:rsidRPr="00032DA6" w:rsidRDefault="0090412E"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b/>
                <w:bCs/>
                <w:i/>
                <w:iCs/>
                <w:color w:val="000000"/>
                <w:lang w:val="en-GB"/>
              </w:rPr>
            </w:pPr>
            <w:r w:rsidRPr="00032DA6">
              <w:rPr>
                <w:rFonts w:eastAsia="Times New Roman" w:cstheme="majorBidi"/>
                <w:b/>
                <w:bCs/>
                <w:i/>
                <w:iCs/>
                <w:color w:val="000000"/>
                <w:lang w:val="en-GB"/>
              </w:rPr>
              <w:t xml:space="preserve">From your point of view, how did housing prices change in the past five years? </w:t>
            </w:r>
          </w:p>
        </w:tc>
        <w:tc>
          <w:tcPr>
            <w:tcW w:w="1785" w:type="pct"/>
            <w:gridSpan w:val="2"/>
            <w:hideMark/>
          </w:tcPr>
          <w:p w14:paraId="357292F5" w14:textId="77777777" w:rsidR="0090412E" w:rsidRPr="00032DA6" w:rsidRDefault="0090412E"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b/>
                <w:bCs/>
                <w:i/>
                <w:iCs/>
                <w:color w:val="000000"/>
                <w:lang w:val="en-GB"/>
              </w:rPr>
            </w:pPr>
            <w:r w:rsidRPr="00032DA6">
              <w:rPr>
                <w:rFonts w:eastAsia="Times New Roman" w:cstheme="majorBidi"/>
                <w:b/>
                <w:bCs/>
                <w:i/>
                <w:iCs/>
                <w:color w:val="000000"/>
                <w:lang w:val="en-GB"/>
              </w:rPr>
              <w:t xml:space="preserve">Your expectation in the near future (one year) for housing prices? </w:t>
            </w:r>
          </w:p>
        </w:tc>
      </w:tr>
      <w:tr w:rsidR="0090412E" w:rsidRPr="00032DA6" w14:paraId="373CAF5F" w14:textId="77777777" w:rsidTr="0090412E">
        <w:trPr>
          <w:trHeight w:val="312"/>
        </w:trPr>
        <w:tc>
          <w:tcPr>
            <w:cnfStyle w:val="001000000000" w:firstRow="0" w:lastRow="0" w:firstColumn="1" w:lastColumn="0" w:oddVBand="0" w:evenVBand="0" w:oddHBand="0" w:evenHBand="0" w:firstRowFirstColumn="0" w:firstRowLastColumn="0" w:lastRowFirstColumn="0" w:lastRowLastColumn="0"/>
            <w:tcW w:w="1144" w:type="pct"/>
            <w:hideMark/>
          </w:tcPr>
          <w:p w14:paraId="52E29B6A" w14:textId="77777777" w:rsidR="0090412E" w:rsidRPr="00032DA6" w:rsidRDefault="0090412E" w:rsidP="00DE108C">
            <w:pPr>
              <w:spacing w:line="276" w:lineRule="auto"/>
              <w:jc w:val="center"/>
              <w:rPr>
                <w:rFonts w:eastAsia="Times New Roman" w:cstheme="majorBidi"/>
                <w:b w:val="0"/>
                <w:bCs w:val="0"/>
                <w:color w:val="000000"/>
                <w:lang w:val="en-GB"/>
              </w:rPr>
            </w:pPr>
            <w:r w:rsidRPr="00032DA6">
              <w:rPr>
                <w:rFonts w:eastAsia="Times New Roman" w:cstheme="majorBidi"/>
                <w:color w:val="000000"/>
                <w:lang w:val="en-GB"/>
              </w:rPr>
              <w:t>Normal increase around 10%</w:t>
            </w:r>
          </w:p>
        </w:tc>
        <w:tc>
          <w:tcPr>
            <w:tcW w:w="1034" w:type="pct"/>
            <w:hideMark/>
          </w:tcPr>
          <w:p w14:paraId="5A711AC8" w14:textId="77777777" w:rsidR="0090412E" w:rsidRPr="00032DA6" w:rsidRDefault="0090412E"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21.8</w:t>
            </w:r>
          </w:p>
        </w:tc>
        <w:tc>
          <w:tcPr>
            <w:tcW w:w="1037" w:type="pct"/>
            <w:hideMark/>
          </w:tcPr>
          <w:p w14:paraId="401D4C5D" w14:textId="77777777" w:rsidR="0090412E" w:rsidRPr="00032DA6" w:rsidRDefault="0090412E"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18.6</w:t>
            </w:r>
          </w:p>
        </w:tc>
        <w:tc>
          <w:tcPr>
            <w:tcW w:w="1042" w:type="pct"/>
            <w:hideMark/>
          </w:tcPr>
          <w:p w14:paraId="3F07603B" w14:textId="77777777" w:rsidR="0090412E" w:rsidRPr="00032DA6" w:rsidRDefault="0090412E"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32.4</w:t>
            </w:r>
          </w:p>
        </w:tc>
        <w:tc>
          <w:tcPr>
            <w:tcW w:w="743" w:type="pct"/>
            <w:hideMark/>
          </w:tcPr>
          <w:p w14:paraId="1903861C" w14:textId="77777777" w:rsidR="0090412E" w:rsidRPr="00032DA6" w:rsidRDefault="0090412E"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26.7</w:t>
            </w:r>
          </w:p>
        </w:tc>
      </w:tr>
      <w:tr w:rsidR="0090412E" w:rsidRPr="00032DA6" w14:paraId="29F2EC7A" w14:textId="77777777" w:rsidTr="0090412E">
        <w:trPr>
          <w:trHeight w:val="312"/>
        </w:trPr>
        <w:tc>
          <w:tcPr>
            <w:cnfStyle w:val="001000000000" w:firstRow="0" w:lastRow="0" w:firstColumn="1" w:lastColumn="0" w:oddVBand="0" w:evenVBand="0" w:oddHBand="0" w:evenHBand="0" w:firstRowFirstColumn="0" w:firstRowLastColumn="0" w:lastRowFirstColumn="0" w:lastRowLastColumn="0"/>
            <w:tcW w:w="1144" w:type="pct"/>
            <w:hideMark/>
          </w:tcPr>
          <w:p w14:paraId="2E20A921" w14:textId="77777777" w:rsidR="0090412E" w:rsidRPr="00032DA6" w:rsidRDefault="0090412E" w:rsidP="00DE108C">
            <w:pPr>
              <w:spacing w:line="276" w:lineRule="auto"/>
              <w:jc w:val="center"/>
              <w:rPr>
                <w:rFonts w:eastAsia="Times New Roman" w:cstheme="majorBidi"/>
                <w:b w:val="0"/>
                <w:bCs w:val="0"/>
                <w:color w:val="000000"/>
                <w:lang w:val="en-GB"/>
              </w:rPr>
            </w:pPr>
            <w:r w:rsidRPr="00032DA6">
              <w:rPr>
                <w:rFonts w:eastAsia="Times New Roman" w:cstheme="majorBidi"/>
                <w:color w:val="000000"/>
                <w:lang w:val="en-GB"/>
              </w:rPr>
              <w:t>Over increase more than 10%</w:t>
            </w:r>
          </w:p>
        </w:tc>
        <w:tc>
          <w:tcPr>
            <w:tcW w:w="1034" w:type="pct"/>
            <w:hideMark/>
          </w:tcPr>
          <w:p w14:paraId="360513C2" w14:textId="77777777" w:rsidR="0090412E" w:rsidRPr="00032DA6" w:rsidRDefault="0090412E"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69.8</w:t>
            </w:r>
          </w:p>
        </w:tc>
        <w:tc>
          <w:tcPr>
            <w:tcW w:w="1037" w:type="pct"/>
            <w:hideMark/>
          </w:tcPr>
          <w:p w14:paraId="7BD3B8DD" w14:textId="77777777" w:rsidR="0090412E" w:rsidRPr="00032DA6" w:rsidRDefault="0090412E"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73.3</w:t>
            </w:r>
          </w:p>
        </w:tc>
        <w:tc>
          <w:tcPr>
            <w:tcW w:w="1042" w:type="pct"/>
            <w:hideMark/>
          </w:tcPr>
          <w:p w14:paraId="0467E9C1" w14:textId="77777777" w:rsidR="0090412E" w:rsidRPr="00032DA6" w:rsidRDefault="0090412E"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44.5</w:t>
            </w:r>
          </w:p>
        </w:tc>
        <w:tc>
          <w:tcPr>
            <w:tcW w:w="743" w:type="pct"/>
            <w:hideMark/>
          </w:tcPr>
          <w:p w14:paraId="217F4125" w14:textId="77777777" w:rsidR="0090412E" w:rsidRPr="00032DA6" w:rsidRDefault="0090412E"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48.4</w:t>
            </w:r>
          </w:p>
        </w:tc>
      </w:tr>
      <w:tr w:rsidR="0090412E" w:rsidRPr="00032DA6" w14:paraId="4B80D539" w14:textId="77777777" w:rsidTr="0090412E">
        <w:trPr>
          <w:trHeight w:val="312"/>
        </w:trPr>
        <w:tc>
          <w:tcPr>
            <w:cnfStyle w:val="001000000000" w:firstRow="0" w:lastRow="0" w:firstColumn="1" w:lastColumn="0" w:oddVBand="0" w:evenVBand="0" w:oddHBand="0" w:evenHBand="0" w:firstRowFirstColumn="0" w:firstRowLastColumn="0" w:lastRowFirstColumn="0" w:lastRowLastColumn="0"/>
            <w:tcW w:w="1144" w:type="pct"/>
            <w:hideMark/>
          </w:tcPr>
          <w:p w14:paraId="6766DB76" w14:textId="77777777" w:rsidR="0090412E" w:rsidRPr="00032DA6" w:rsidRDefault="0090412E" w:rsidP="00DE108C">
            <w:pPr>
              <w:spacing w:line="276" w:lineRule="auto"/>
              <w:jc w:val="center"/>
              <w:rPr>
                <w:rFonts w:eastAsia="Times New Roman" w:cstheme="majorBidi"/>
                <w:b w:val="0"/>
                <w:bCs w:val="0"/>
                <w:color w:val="000000"/>
                <w:lang w:val="en-GB"/>
              </w:rPr>
            </w:pPr>
            <w:r w:rsidRPr="00032DA6">
              <w:rPr>
                <w:rFonts w:eastAsia="Times New Roman" w:cstheme="majorBidi"/>
                <w:color w:val="000000"/>
                <w:lang w:val="en-GB"/>
              </w:rPr>
              <w:t>Constant price</w:t>
            </w:r>
          </w:p>
        </w:tc>
        <w:tc>
          <w:tcPr>
            <w:tcW w:w="1034" w:type="pct"/>
            <w:hideMark/>
          </w:tcPr>
          <w:p w14:paraId="6FFE2138" w14:textId="77777777" w:rsidR="0090412E" w:rsidRPr="00032DA6" w:rsidRDefault="0090412E"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5</w:t>
            </w:r>
          </w:p>
        </w:tc>
        <w:tc>
          <w:tcPr>
            <w:tcW w:w="1037" w:type="pct"/>
            <w:hideMark/>
          </w:tcPr>
          <w:p w14:paraId="034D5C01" w14:textId="77777777" w:rsidR="0090412E" w:rsidRPr="00032DA6" w:rsidRDefault="0090412E"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6.8</w:t>
            </w:r>
          </w:p>
        </w:tc>
        <w:tc>
          <w:tcPr>
            <w:tcW w:w="1042" w:type="pct"/>
            <w:hideMark/>
          </w:tcPr>
          <w:p w14:paraId="49CF532D" w14:textId="77777777" w:rsidR="0090412E" w:rsidRPr="00032DA6" w:rsidRDefault="0090412E"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14.3</w:t>
            </w:r>
          </w:p>
        </w:tc>
        <w:tc>
          <w:tcPr>
            <w:tcW w:w="743" w:type="pct"/>
            <w:hideMark/>
          </w:tcPr>
          <w:p w14:paraId="31B6C3C3" w14:textId="77777777" w:rsidR="0090412E" w:rsidRPr="00032DA6" w:rsidRDefault="0090412E"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17.4</w:t>
            </w:r>
          </w:p>
        </w:tc>
      </w:tr>
      <w:tr w:rsidR="0090412E" w:rsidRPr="00032DA6" w14:paraId="05D2BA1E" w14:textId="77777777" w:rsidTr="0090412E">
        <w:trPr>
          <w:trHeight w:val="312"/>
        </w:trPr>
        <w:tc>
          <w:tcPr>
            <w:cnfStyle w:val="001000000000" w:firstRow="0" w:lastRow="0" w:firstColumn="1" w:lastColumn="0" w:oddVBand="0" w:evenVBand="0" w:oddHBand="0" w:evenHBand="0" w:firstRowFirstColumn="0" w:firstRowLastColumn="0" w:lastRowFirstColumn="0" w:lastRowLastColumn="0"/>
            <w:tcW w:w="1144" w:type="pct"/>
            <w:hideMark/>
          </w:tcPr>
          <w:p w14:paraId="2880CD31" w14:textId="77777777" w:rsidR="0090412E" w:rsidRPr="00032DA6" w:rsidRDefault="0090412E" w:rsidP="00DE108C">
            <w:pPr>
              <w:spacing w:line="276" w:lineRule="auto"/>
              <w:jc w:val="center"/>
              <w:rPr>
                <w:rFonts w:eastAsia="Times New Roman" w:cstheme="majorBidi"/>
                <w:b w:val="0"/>
                <w:bCs w:val="0"/>
                <w:color w:val="000000"/>
                <w:lang w:val="en-GB"/>
              </w:rPr>
            </w:pPr>
            <w:r w:rsidRPr="00032DA6">
              <w:rPr>
                <w:rFonts w:eastAsia="Times New Roman" w:cstheme="majorBidi"/>
                <w:color w:val="000000"/>
                <w:lang w:val="en-GB"/>
              </w:rPr>
              <w:t>Decrease in price</w:t>
            </w:r>
          </w:p>
        </w:tc>
        <w:tc>
          <w:tcPr>
            <w:tcW w:w="1034" w:type="pct"/>
            <w:hideMark/>
          </w:tcPr>
          <w:p w14:paraId="704C9056" w14:textId="77777777" w:rsidR="0090412E" w:rsidRPr="00032DA6" w:rsidRDefault="0090412E"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0.6</w:t>
            </w:r>
          </w:p>
        </w:tc>
        <w:tc>
          <w:tcPr>
            <w:tcW w:w="1037" w:type="pct"/>
            <w:hideMark/>
          </w:tcPr>
          <w:p w14:paraId="444A34A5" w14:textId="77777777" w:rsidR="0090412E" w:rsidRPr="00032DA6" w:rsidRDefault="0090412E"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0.6</w:t>
            </w:r>
          </w:p>
        </w:tc>
        <w:tc>
          <w:tcPr>
            <w:tcW w:w="1042" w:type="pct"/>
            <w:hideMark/>
          </w:tcPr>
          <w:p w14:paraId="6DD26C17" w14:textId="77777777" w:rsidR="0090412E" w:rsidRPr="00032DA6" w:rsidRDefault="0090412E"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5.3</w:t>
            </w:r>
          </w:p>
        </w:tc>
        <w:tc>
          <w:tcPr>
            <w:tcW w:w="743" w:type="pct"/>
            <w:hideMark/>
          </w:tcPr>
          <w:p w14:paraId="3C899981" w14:textId="77777777" w:rsidR="0090412E" w:rsidRPr="00032DA6" w:rsidRDefault="0090412E"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6.2</w:t>
            </w:r>
          </w:p>
        </w:tc>
      </w:tr>
      <w:tr w:rsidR="0090412E" w:rsidRPr="00032DA6" w14:paraId="435DBC10" w14:textId="77777777" w:rsidTr="0090412E">
        <w:trPr>
          <w:trHeight w:val="312"/>
        </w:trPr>
        <w:tc>
          <w:tcPr>
            <w:cnfStyle w:val="001000000000" w:firstRow="0" w:lastRow="0" w:firstColumn="1" w:lastColumn="0" w:oddVBand="0" w:evenVBand="0" w:oddHBand="0" w:evenHBand="0" w:firstRowFirstColumn="0" w:firstRowLastColumn="0" w:lastRowFirstColumn="0" w:lastRowLastColumn="0"/>
            <w:tcW w:w="1144" w:type="pct"/>
            <w:hideMark/>
          </w:tcPr>
          <w:p w14:paraId="003AB29F" w14:textId="77777777" w:rsidR="0090412E" w:rsidRPr="00032DA6" w:rsidRDefault="0090412E" w:rsidP="00DE108C">
            <w:pPr>
              <w:spacing w:line="276" w:lineRule="auto"/>
              <w:jc w:val="center"/>
              <w:rPr>
                <w:rFonts w:eastAsia="Times New Roman" w:cstheme="majorBidi"/>
                <w:b w:val="0"/>
                <w:bCs w:val="0"/>
                <w:color w:val="000000"/>
                <w:lang w:val="en-GB"/>
              </w:rPr>
            </w:pPr>
            <w:r w:rsidRPr="00032DA6">
              <w:rPr>
                <w:rFonts w:eastAsia="Times New Roman" w:cstheme="majorBidi"/>
                <w:color w:val="000000"/>
                <w:lang w:val="en-GB"/>
              </w:rPr>
              <w:t>I don't know</w:t>
            </w:r>
          </w:p>
        </w:tc>
        <w:tc>
          <w:tcPr>
            <w:tcW w:w="1034" w:type="pct"/>
            <w:hideMark/>
          </w:tcPr>
          <w:p w14:paraId="66E32732" w14:textId="77777777" w:rsidR="0090412E" w:rsidRPr="00032DA6" w:rsidRDefault="0090412E"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2.8</w:t>
            </w:r>
          </w:p>
        </w:tc>
        <w:tc>
          <w:tcPr>
            <w:tcW w:w="1037" w:type="pct"/>
            <w:hideMark/>
          </w:tcPr>
          <w:p w14:paraId="3363942A" w14:textId="77777777" w:rsidR="0090412E" w:rsidRPr="00032DA6" w:rsidRDefault="0090412E"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0.6</w:t>
            </w:r>
          </w:p>
        </w:tc>
        <w:tc>
          <w:tcPr>
            <w:tcW w:w="1042" w:type="pct"/>
            <w:hideMark/>
          </w:tcPr>
          <w:p w14:paraId="0E37DFCF" w14:textId="77777777" w:rsidR="0090412E" w:rsidRPr="00032DA6" w:rsidRDefault="0090412E"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3.4</w:t>
            </w:r>
          </w:p>
        </w:tc>
        <w:tc>
          <w:tcPr>
            <w:tcW w:w="743" w:type="pct"/>
            <w:hideMark/>
          </w:tcPr>
          <w:p w14:paraId="1091C5CB" w14:textId="77777777" w:rsidR="0090412E" w:rsidRPr="00032DA6" w:rsidRDefault="0090412E"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1.2</w:t>
            </w:r>
          </w:p>
        </w:tc>
      </w:tr>
      <w:tr w:rsidR="0090412E" w:rsidRPr="00032DA6" w14:paraId="52DF766B" w14:textId="77777777" w:rsidTr="0090412E">
        <w:trPr>
          <w:trHeight w:val="312"/>
        </w:trPr>
        <w:tc>
          <w:tcPr>
            <w:cnfStyle w:val="001000000000" w:firstRow="0" w:lastRow="0" w:firstColumn="1" w:lastColumn="0" w:oddVBand="0" w:evenVBand="0" w:oddHBand="0" w:evenHBand="0" w:firstRowFirstColumn="0" w:firstRowLastColumn="0" w:lastRowFirstColumn="0" w:lastRowLastColumn="0"/>
            <w:tcW w:w="1144" w:type="pct"/>
            <w:hideMark/>
          </w:tcPr>
          <w:p w14:paraId="7E0477F1" w14:textId="77777777" w:rsidR="0090412E" w:rsidRPr="00032DA6" w:rsidRDefault="0090412E" w:rsidP="00DE108C">
            <w:pPr>
              <w:spacing w:line="276" w:lineRule="auto"/>
              <w:jc w:val="center"/>
              <w:rPr>
                <w:rFonts w:eastAsia="Times New Roman" w:cstheme="majorBidi"/>
                <w:b w:val="0"/>
                <w:bCs w:val="0"/>
                <w:color w:val="000000"/>
                <w:lang w:val="en-GB"/>
              </w:rPr>
            </w:pPr>
            <w:r w:rsidRPr="00032DA6">
              <w:rPr>
                <w:rFonts w:eastAsia="Times New Roman" w:cstheme="majorBidi"/>
                <w:color w:val="000000"/>
                <w:lang w:val="en-GB"/>
              </w:rPr>
              <w:t>Total</w:t>
            </w:r>
          </w:p>
        </w:tc>
        <w:tc>
          <w:tcPr>
            <w:tcW w:w="1034" w:type="pct"/>
            <w:hideMark/>
          </w:tcPr>
          <w:p w14:paraId="0C7A595B" w14:textId="77777777" w:rsidR="0090412E" w:rsidRPr="00032DA6" w:rsidRDefault="0090412E"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100</w:t>
            </w:r>
          </w:p>
        </w:tc>
        <w:tc>
          <w:tcPr>
            <w:tcW w:w="1037" w:type="pct"/>
            <w:hideMark/>
          </w:tcPr>
          <w:p w14:paraId="4CC2B4D3" w14:textId="77777777" w:rsidR="0090412E" w:rsidRPr="00032DA6" w:rsidRDefault="0090412E"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100</w:t>
            </w:r>
          </w:p>
        </w:tc>
        <w:tc>
          <w:tcPr>
            <w:tcW w:w="1042" w:type="pct"/>
            <w:hideMark/>
          </w:tcPr>
          <w:p w14:paraId="649FE867" w14:textId="77777777" w:rsidR="0090412E" w:rsidRPr="00032DA6" w:rsidRDefault="0090412E"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100</w:t>
            </w:r>
          </w:p>
        </w:tc>
        <w:tc>
          <w:tcPr>
            <w:tcW w:w="743" w:type="pct"/>
            <w:noWrap/>
            <w:hideMark/>
          </w:tcPr>
          <w:p w14:paraId="65A3AAE1" w14:textId="77777777" w:rsidR="0090412E" w:rsidRPr="00032DA6" w:rsidRDefault="0090412E"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100</w:t>
            </w:r>
          </w:p>
        </w:tc>
      </w:tr>
    </w:tbl>
    <w:p w14:paraId="5964D180" w14:textId="77777777" w:rsidR="0090412E" w:rsidRPr="00032DA6" w:rsidRDefault="0090412E" w:rsidP="00DE108C">
      <w:pPr>
        <w:spacing w:line="276" w:lineRule="auto"/>
        <w:rPr>
          <w:rFonts w:cstheme="majorBidi"/>
          <w:b/>
          <w:bCs/>
          <w:lang w:val="en-GB"/>
        </w:rPr>
      </w:pPr>
    </w:p>
    <w:p w14:paraId="778AB3ED" w14:textId="745FECD2" w:rsidR="00313E51" w:rsidRPr="00D62A2B" w:rsidRDefault="00313E51" w:rsidP="00DE108C">
      <w:pPr>
        <w:spacing w:line="276" w:lineRule="auto"/>
        <w:jc w:val="center"/>
        <w:rPr>
          <w:rFonts w:cstheme="majorBidi"/>
          <w:b/>
          <w:bCs/>
          <w:i/>
          <w:iCs/>
          <w:lang w:val="en-GB"/>
        </w:rPr>
      </w:pPr>
      <w:r w:rsidRPr="00D62A2B">
        <w:rPr>
          <w:b/>
          <w:bCs/>
          <w:i/>
          <w:iCs/>
          <w:noProof/>
          <w:lang w:val="en-GB"/>
        </w:rPr>
        <w:drawing>
          <wp:anchor distT="0" distB="0" distL="114300" distR="114300" simplePos="0" relativeHeight="251658245" behindDoc="0" locked="0" layoutInCell="1" allowOverlap="1" wp14:anchorId="0772E488" wp14:editId="43B3AE55">
            <wp:simplePos x="0" y="0"/>
            <wp:positionH relativeFrom="column">
              <wp:posOffset>3181985</wp:posOffset>
            </wp:positionH>
            <wp:positionV relativeFrom="paragraph">
              <wp:posOffset>443697</wp:posOffset>
            </wp:positionV>
            <wp:extent cx="3365500" cy="2178050"/>
            <wp:effectExtent l="0" t="0" r="12700" b="6350"/>
            <wp:wrapSquare wrapText="bothSides"/>
            <wp:docPr id="2" name="Chart 2">
              <a:extLst xmlns:a="http://schemas.openxmlformats.org/drawingml/2006/main">
                <a:ext uri="{FF2B5EF4-FFF2-40B4-BE49-F238E27FC236}">
                  <a16:creationId xmlns:a16="http://schemas.microsoft.com/office/drawing/2014/main" id="{409C4FEF-1316-449B-BEFC-5566D274A0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D62A2B">
        <w:rPr>
          <w:b/>
          <w:bCs/>
          <w:i/>
          <w:iCs/>
          <w:noProof/>
          <w:lang w:val="en-GB"/>
        </w:rPr>
        <w:drawing>
          <wp:anchor distT="0" distB="0" distL="114300" distR="114300" simplePos="0" relativeHeight="251658244" behindDoc="0" locked="0" layoutInCell="1" allowOverlap="1" wp14:anchorId="3BAC218A" wp14:editId="4E762EFB">
            <wp:simplePos x="0" y="0"/>
            <wp:positionH relativeFrom="column">
              <wp:posOffset>-300990</wp:posOffset>
            </wp:positionH>
            <wp:positionV relativeFrom="paragraph">
              <wp:posOffset>443698</wp:posOffset>
            </wp:positionV>
            <wp:extent cx="3366000" cy="2178000"/>
            <wp:effectExtent l="0" t="0" r="12700" b="6985"/>
            <wp:wrapSquare wrapText="bothSides"/>
            <wp:docPr id="4" name="Chart 4">
              <a:extLst xmlns:a="http://schemas.openxmlformats.org/drawingml/2006/main">
                <a:ext uri="{FF2B5EF4-FFF2-40B4-BE49-F238E27FC236}">
                  <a16:creationId xmlns:a16="http://schemas.microsoft.com/office/drawing/2014/main" id="{04AD74B1-1C22-4F3E-A9AB-0C77FD86AF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5B1DC9" w:rsidRPr="00D62A2B">
        <w:rPr>
          <w:rFonts w:cstheme="majorBidi"/>
          <w:b/>
          <w:bCs/>
          <w:i/>
          <w:iCs/>
          <w:lang w:val="en-GB"/>
        </w:rPr>
        <w:t>Figure (2) Real-Estate Developers’</w:t>
      </w:r>
      <w:r w:rsidR="0090412E" w:rsidRPr="00D62A2B">
        <w:rPr>
          <w:rFonts w:cstheme="majorBidi"/>
          <w:b/>
          <w:bCs/>
          <w:i/>
          <w:iCs/>
          <w:lang w:val="en-GB"/>
        </w:rPr>
        <w:t xml:space="preserve"> and Brokers’</w:t>
      </w:r>
      <w:r w:rsidR="005B1DC9" w:rsidRPr="00D62A2B">
        <w:rPr>
          <w:rFonts w:cstheme="majorBidi"/>
          <w:b/>
          <w:bCs/>
          <w:i/>
          <w:iCs/>
          <w:lang w:val="en-GB"/>
        </w:rPr>
        <w:t xml:space="preserve"> Perceptions of Housing Demand and Expectations </w:t>
      </w:r>
      <w:r w:rsidR="00D62A2B">
        <w:rPr>
          <w:rFonts w:cstheme="majorBidi"/>
          <w:b/>
          <w:bCs/>
          <w:i/>
          <w:iCs/>
          <w:lang w:val="en-GB"/>
        </w:rPr>
        <w:t>on</w:t>
      </w:r>
      <w:r w:rsidR="005B1DC9" w:rsidRPr="00D62A2B">
        <w:rPr>
          <w:rFonts w:cstheme="majorBidi"/>
          <w:b/>
          <w:bCs/>
          <w:i/>
          <w:iCs/>
          <w:lang w:val="en-GB"/>
        </w:rPr>
        <w:t xml:space="preserve"> Future Housing Prices</w:t>
      </w:r>
    </w:p>
    <w:p w14:paraId="7812D641" w14:textId="77777777" w:rsidR="00313E51" w:rsidRPr="00032DA6" w:rsidRDefault="00313E51" w:rsidP="00DE108C">
      <w:pPr>
        <w:spacing w:line="276" w:lineRule="auto"/>
        <w:jc w:val="center"/>
        <w:rPr>
          <w:rFonts w:cstheme="majorBidi"/>
          <w:b/>
          <w:bCs/>
          <w:i/>
          <w:iCs/>
          <w:color w:val="FF0000"/>
          <w:lang w:val="en-GB"/>
        </w:rPr>
      </w:pPr>
    </w:p>
    <w:p w14:paraId="4175DFBB" w14:textId="1EE8CCE3" w:rsidR="00155284" w:rsidRPr="00032DA6" w:rsidRDefault="00390049" w:rsidP="00DE108C">
      <w:pPr>
        <w:pStyle w:val="Heading2"/>
        <w:numPr>
          <w:ilvl w:val="0"/>
          <w:numId w:val="27"/>
        </w:numPr>
        <w:spacing w:line="276" w:lineRule="auto"/>
        <w:rPr>
          <w:lang w:val="en-GB"/>
        </w:rPr>
      </w:pPr>
      <w:bookmarkStart w:id="52" w:name="_Toc91107884"/>
      <w:bookmarkStart w:id="53" w:name="_Toc91438050"/>
      <w:r w:rsidRPr="00032DA6">
        <w:rPr>
          <w:lang w:val="en-GB"/>
        </w:rPr>
        <w:t>Cultural and Religious Beliefs</w:t>
      </w:r>
      <w:bookmarkEnd w:id="52"/>
      <w:bookmarkEnd w:id="53"/>
    </w:p>
    <w:p w14:paraId="65E90838" w14:textId="177B9324" w:rsidR="00157EB1" w:rsidRPr="00032DA6" w:rsidRDefault="00157EB1" w:rsidP="00DE108C">
      <w:pPr>
        <w:spacing w:line="276" w:lineRule="auto"/>
        <w:ind w:firstLine="340"/>
        <w:jc w:val="both"/>
        <w:rPr>
          <w:rFonts w:cstheme="majorBidi"/>
          <w:lang w:val="en-GB"/>
        </w:rPr>
      </w:pPr>
      <w:r w:rsidRPr="00032DA6">
        <w:rPr>
          <w:rFonts w:cstheme="majorBidi"/>
          <w:lang w:val="en-GB"/>
        </w:rPr>
        <w:t>Survey results reveal that</w:t>
      </w:r>
      <w:r w:rsidR="00182472" w:rsidRPr="00032DA6">
        <w:rPr>
          <w:rFonts w:cstheme="majorBidi"/>
          <w:lang w:val="en-GB"/>
        </w:rPr>
        <w:t xml:space="preserve"> households</w:t>
      </w:r>
      <w:r w:rsidR="000550C9" w:rsidRPr="00032DA6">
        <w:rPr>
          <w:rFonts w:cstheme="majorBidi"/>
          <w:lang w:val="en-GB"/>
        </w:rPr>
        <w:t xml:space="preserve"> </w:t>
      </w:r>
      <w:r w:rsidRPr="00032DA6">
        <w:rPr>
          <w:rFonts w:cstheme="majorBidi"/>
          <w:lang w:val="en-GB"/>
        </w:rPr>
        <w:t xml:space="preserve">opt for </w:t>
      </w:r>
      <w:r w:rsidR="3E02B99A" w:rsidRPr="199FF000">
        <w:rPr>
          <w:rFonts w:cstheme="majorBidi"/>
          <w:lang w:val="en-GB"/>
        </w:rPr>
        <w:t>instalments</w:t>
      </w:r>
      <w:r w:rsidRPr="00032DA6">
        <w:rPr>
          <w:rFonts w:cstheme="majorBidi"/>
          <w:lang w:val="en-GB"/>
        </w:rPr>
        <w:t xml:space="preserve"> rather than</w:t>
      </w:r>
      <w:r w:rsidR="00182472">
        <w:rPr>
          <w:rFonts w:cstheme="majorBidi"/>
          <w:lang w:val="en-GB"/>
        </w:rPr>
        <w:t xml:space="preserve"> </w:t>
      </w:r>
      <w:r w:rsidRPr="00032DA6">
        <w:rPr>
          <w:rFonts w:cstheme="majorBidi"/>
          <w:lang w:val="en-GB"/>
        </w:rPr>
        <w:t>cash</w:t>
      </w:r>
      <w:r w:rsidR="00182472">
        <w:rPr>
          <w:rFonts w:cstheme="majorBidi"/>
          <w:lang w:val="en-GB"/>
        </w:rPr>
        <w:t xml:space="preserve"> in general</w:t>
      </w:r>
      <w:r w:rsidRPr="00032DA6">
        <w:rPr>
          <w:rFonts w:cstheme="majorBidi"/>
          <w:lang w:val="en-GB"/>
        </w:rPr>
        <w:t>. Around 40% of the surveyed real-estate developers</w:t>
      </w:r>
      <w:r w:rsidR="000550C9" w:rsidRPr="00032DA6">
        <w:rPr>
          <w:rFonts w:cstheme="majorBidi"/>
          <w:lang w:val="en-GB"/>
        </w:rPr>
        <w:t xml:space="preserve"> and brokers</w:t>
      </w:r>
      <w:r w:rsidRPr="00032DA6">
        <w:rPr>
          <w:rFonts w:cstheme="majorBidi"/>
          <w:lang w:val="en-GB"/>
        </w:rPr>
        <w:t xml:space="preserve"> believe that homebuyers prefer direct </w:t>
      </w:r>
      <w:r w:rsidR="04A6E5A9" w:rsidRPr="199FF000">
        <w:rPr>
          <w:rFonts w:cstheme="majorBidi"/>
          <w:lang w:val="en-GB"/>
        </w:rPr>
        <w:t>instalments</w:t>
      </w:r>
      <w:r w:rsidRPr="00032DA6">
        <w:rPr>
          <w:rFonts w:cstheme="majorBidi"/>
          <w:lang w:val="en-GB"/>
        </w:rPr>
        <w:t xml:space="preserve"> through developers while around 30% believe that homebuyers prefer banking and 30% believe that cash is the optimum financing method for </w:t>
      </w:r>
      <w:r w:rsidR="000550C9" w:rsidRPr="00032DA6">
        <w:rPr>
          <w:rFonts w:cstheme="majorBidi"/>
          <w:lang w:val="en-GB"/>
        </w:rPr>
        <w:t>households</w:t>
      </w:r>
      <w:r w:rsidR="005D2E3C" w:rsidRPr="00032DA6">
        <w:rPr>
          <w:rFonts w:cstheme="majorBidi"/>
          <w:lang w:val="en-GB"/>
        </w:rPr>
        <w:t xml:space="preserve"> (figure 3)</w:t>
      </w:r>
      <w:r w:rsidRPr="00032DA6">
        <w:rPr>
          <w:rFonts w:cstheme="majorBidi"/>
          <w:lang w:val="en-GB"/>
        </w:rPr>
        <w:t xml:space="preserve">. </w:t>
      </w:r>
      <w:r w:rsidR="005B1DC9" w:rsidRPr="00032DA6">
        <w:rPr>
          <w:rFonts w:cstheme="majorBidi"/>
          <w:lang w:val="en-GB"/>
        </w:rPr>
        <w:t xml:space="preserve">Around 72% of the surveyed real-estate developers </w:t>
      </w:r>
      <w:r w:rsidR="000550C9" w:rsidRPr="00032DA6">
        <w:rPr>
          <w:rFonts w:cstheme="majorBidi"/>
          <w:lang w:val="en-GB"/>
        </w:rPr>
        <w:t xml:space="preserve">and brokers </w:t>
      </w:r>
      <w:r w:rsidR="005B1DC9" w:rsidRPr="00032DA6">
        <w:rPr>
          <w:rFonts w:cstheme="majorBidi"/>
          <w:lang w:val="en-GB"/>
        </w:rPr>
        <w:t xml:space="preserve">believe that the most important reason that makes homebuyers prefer direct </w:t>
      </w:r>
      <w:r w:rsidR="000D1E6D" w:rsidRPr="00032DA6">
        <w:rPr>
          <w:rFonts w:cstheme="majorBidi"/>
          <w:lang w:val="en-GB"/>
        </w:rPr>
        <w:t>instalments</w:t>
      </w:r>
      <w:r w:rsidR="005B1DC9" w:rsidRPr="00032DA6">
        <w:rPr>
          <w:rFonts w:cstheme="majorBidi"/>
          <w:lang w:val="en-GB"/>
        </w:rPr>
        <w:t xml:space="preserve"> rather than mortgage finance is that the latter is non-sharia compliant (table </w:t>
      </w:r>
      <w:r w:rsidR="00064D91">
        <w:rPr>
          <w:rFonts w:cstheme="majorBidi"/>
          <w:lang w:val="en-GB"/>
        </w:rPr>
        <w:t>8</w:t>
      </w:r>
      <w:r w:rsidR="005B1DC9" w:rsidRPr="00032DA6">
        <w:rPr>
          <w:rFonts w:cstheme="majorBidi"/>
          <w:lang w:val="en-GB"/>
        </w:rPr>
        <w:t>).</w:t>
      </w:r>
    </w:p>
    <w:p w14:paraId="48728284" w14:textId="57980DDD" w:rsidR="00157EB1" w:rsidRPr="00032DA6" w:rsidRDefault="00157EB1" w:rsidP="00DE108C">
      <w:pPr>
        <w:spacing w:line="276" w:lineRule="auto"/>
        <w:ind w:firstLine="340"/>
        <w:jc w:val="center"/>
        <w:rPr>
          <w:rFonts w:cstheme="majorBidi"/>
          <w:b/>
          <w:bCs/>
          <w:i/>
          <w:iCs/>
          <w:lang w:val="en-GB"/>
        </w:rPr>
      </w:pPr>
      <w:r w:rsidRPr="00032DA6">
        <w:rPr>
          <w:b/>
          <w:bCs/>
          <w:noProof/>
          <w:lang w:val="en-GB"/>
        </w:rPr>
        <w:drawing>
          <wp:anchor distT="0" distB="0" distL="114300" distR="114300" simplePos="0" relativeHeight="251658243" behindDoc="0" locked="0" layoutInCell="1" allowOverlap="1" wp14:anchorId="56B12BC5" wp14:editId="5F16DAF3">
            <wp:simplePos x="0" y="0"/>
            <wp:positionH relativeFrom="margin">
              <wp:posOffset>1656715</wp:posOffset>
            </wp:positionH>
            <wp:positionV relativeFrom="paragraph">
              <wp:posOffset>213995</wp:posOffset>
            </wp:positionV>
            <wp:extent cx="2811145" cy="1758315"/>
            <wp:effectExtent l="0" t="0" r="8255" b="6985"/>
            <wp:wrapSquare wrapText="bothSides"/>
            <wp:docPr id="6" name="Chart 6">
              <a:extLst xmlns:a="http://schemas.openxmlformats.org/drawingml/2006/main">
                <a:ext uri="{FF2B5EF4-FFF2-40B4-BE49-F238E27FC236}">
                  <a16:creationId xmlns:a16="http://schemas.microsoft.com/office/drawing/2014/main" id="{17F5DFBF-DEF4-4DE1-975B-58C2BD57F2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032DA6">
        <w:rPr>
          <w:rFonts w:cstheme="majorBidi"/>
          <w:b/>
          <w:bCs/>
          <w:i/>
          <w:iCs/>
          <w:lang w:val="en-GB"/>
        </w:rPr>
        <w:t>Figure (</w:t>
      </w:r>
      <w:r w:rsidR="005D2E3C" w:rsidRPr="00032DA6">
        <w:rPr>
          <w:rFonts w:cstheme="majorBidi"/>
          <w:b/>
          <w:bCs/>
          <w:i/>
          <w:iCs/>
          <w:lang w:val="en-GB"/>
        </w:rPr>
        <w:t>3</w:t>
      </w:r>
      <w:r w:rsidRPr="00032DA6">
        <w:rPr>
          <w:rFonts w:cstheme="majorBidi"/>
          <w:b/>
          <w:bCs/>
          <w:i/>
          <w:iCs/>
          <w:lang w:val="en-GB"/>
        </w:rPr>
        <w:t xml:space="preserve">) What is the </w:t>
      </w:r>
      <w:r w:rsidR="006D2BD9" w:rsidRPr="00032DA6">
        <w:rPr>
          <w:rFonts w:cstheme="majorBidi"/>
          <w:b/>
          <w:bCs/>
          <w:i/>
          <w:iCs/>
          <w:lang w:val="en-GB"/>
        </w:rPr>
        <w:t>commonly used</w:t>
      </w:r>
      <w:r w:rsidRPr="00032DA6">
        <w:rPr>
          <w:rFonts w:cstheme="majorBidi"/>
          <w:b/>
          <w:bCs/>
          <w:i/>
          <w:iCs/>
          <w:lang w:val="en-GB"/>
        </w:rPr>
        <w:t xml:space="preserve"> financing method</w:t>
      </w:r>
      <w:r w:rsidR="006D2BD9" w:rsidRPr="00032DA6">
        <w:rPr>
          <w:rFonts w:cstheme="majorBidi"/>
          <w:b/>
          <w:bCs/>
          <w:i/>
          <w:iCs/>
          <w:lang w:val="en-GB"/>
        </w:rPr>
        <w:t xml:space="preserve"> by</w:t>
      </w:r>
      <w:r w:rsidRPr="00032DA6">
        <w:rPr>
          <w:rFonts w:cstheme="majorBidi"/>
          <w:b/>
          <w:bCs/>
          <w:i/>
          <w:iCs/>
          <w:lang w:val="en-GB"/>
        </w:rPr>
        <w:t xml:space="preserve"> the buyer in your opinion?</w:t>
      </w:r>
    </w:p>
    <w:p w14:paraId="37ED3C83" w14:textId="1CBDD820" w:rsidR="00157EB1" w:rsidRPr="00032DA6" w:rsidRDefault="00157EB1" w:rsidP="00DE108C">
      <w:pPr>
        <w:spacing w:line="276" w:lineRule="auto"/>
        <w:rPr>
          <w:rFonts w:cstheme="majorBidi"/>
          <w:lang w:val="en-GB"/>
        </w:rPr>
      </w:pPr>
    </w:p>
    <w:p w14:paraId="23374436" w14:textId="3C294CA0" w:rsidR="00157EB1" w:rsidRPr="00032DA6" w:rsidRDefault="00157EB1" w:rsidP="00DE108C">
      <w:pPr>
        <w:spacing w:line="276" w:lineRule="auto"/>
        <w:rPr>
          <w:rFonts w:cstheme="majorBidi"/>
          <w:lang w:val="en-GB"/>
        </w:rPr>
      </w:pPr>
    </w:p>
    <w:p w14:paraId="1A407E32" w14:textId="77777777" w:rsidR="00157EB1" w:rsidRPr="00032DA6" w:rsidRDefault="00157EB1" w:rsidP="00DE108C">
      <w:pPr>
        <w:spacing w:line="276" w:lineRule="auto"/>
        <w:rPr>
          <w:rFonts w:cstheme="majorBidi"/>
          <w:lang w:val="en-GB"/>
        </w:rPr>
      </w:pPr>
    </w:p>
    <w:p w14:paraId="37360EF2" w14:textId="77777777" w:rsidR="00157EB1" w:rsidRPr="00032DA6" w:rsidRDefault="00157EB1" w:rsidP="00DE108C">
      <w:pPr>
        <w:spacing w:line="276" w:lineRule="auto"/>
        <w:rPr>
          <w:rFonts w:cstheme="majorBidi"/>
          <w:lang w:val="en-GB"/>
        </w:rPr>
      </w:pPr>
    </w:p>
    <w:p w14:paraId="2D1788C2" w14:textId="77777777" w:rsidR="0003098B" w:rsidRPr="00032DA6" w:rsidRDefault="0003098B" w:rsidP="00DE108C">
      <w:pPr>
        <w:spacing w:line="276" w:lineRule="auto"/>
        <w:rPr>
          <w:rFonts w:cstheme="majorBidi"/>
          <w:lang w:val="en-GB"/>
        </w:rPr>
      </w:pPr>
    </w:p>
    <w:p w14:paraId="356BAD58" w14:textId="77777777" w:rsidR="000550C9" w:rsidRPr="00032DA6" w:rsidRDefault="000550C9" w:rsidP="00DE108C">
      <w:pPr>
        <w:spacing w:line="276" w:lineRule="auto"/>
        <w:rPr>
          <w:rFonts w:cstheme="majorBidi"/>
          <w:lang w:val="en-GB"/>
        </w:rPr>
      </w:pPr>
    </w:p>
    <w:p w14:paraId="4002A603" w14:textId="5ADAB2C3" w:rsidR="00313E51" w:rsidRPr="00032DA6" w:rsidRDefault="00157EB1" w:rsidP="00DE108C">
      <w:pPr>
        <w:spacing w:line="276" w:lineRule="auto"/>
        <w:jc w:val="both"/>
        <w:rPr>
          <w:rFonts w:cstheme="majorBidi"/>
          <w:lang w:val="en-GB"/>
        </w:rPr>
      </w:pPr>
      <w:r w:rsidRPr="00032DA6">
        <w:rPr>
          <w:rFonts w:cstheme="majorBidi"/>
          <w:lang w:val="en-GB"/>
        </w:rPr>
        <w:t xml:space="preserve">Almost half of the surveyed real-estate developers </w:t>
      </w:r>
      <w:r w:rsidR="000550C9" w:rsidRPr="00032DA6">
        <w:rPr>
          <w:rFonts w:cstheme="majorBidi"/>
          <w:lang w:val="en-GB"/>
        </w:rPr>
        <w:t xml:space="preserve">and brokers </w:t>
      </w:r>
      <w:r w:rsidRPr="00032DA6">
        <w:rPr>
          <w:rFonts w:cstheme="majorBidi"/>
          <w:lang w:val="en-GB"/>
        </w:rPr>
        <w:t>indicated that they do not deal with banks; mostly for financial reasons while religious and cultural reasons came of a less importance</w:t>
      </w:r>
      <w:r w:rsidR="005D2E3C" w:rsidRPr="00032DA6">
        <w:rPr>
          <w:rFonts w:cstheme="majorBidi"/>
          <w:lang w:val="en-GB"/>
        </w:rPr>
        <w:t xml:space="preserve"> (table 1</w:t>
      </w:r>
      <w:r w:rsidR="00AA1337">
        <w:rPr>
          <w:rFonts w:cstheme="majorBidi"/>
          <w:lang w:val="en-GB"/>
        </w:rPr>
        <w:t>2</w:t>
      </w:r>
      <w:r w:rsidR="005D2E3C" w:rsidRPr="00032DA6">
        <w:rPr>
          <w:rFonts w:cstheme="majorBidi"/>
          <w:lang w:val="en-GB"/>
        </w:rPr>
        <w:t>)</w:t>
      </w:r>
      <w:r w:rsidRPr="00032DA6">
        <w:rPr>
          <w:rFonts w:cstheme="majorBidi"/>
          <w:lang w:val="en-GB"/>
        </w:rPr>
        <w:t>. On the other side, those who deal with banks generally prefer commercial banks compared to state-owned or Islamic banks</w:t>
      </w:r>
      <w:r w:rsidR="00A94713">
        <w:rPr>
          <w:rFonts w:cstheme="majorBidi"/>
          <w:lang w:val="en-GB"/>
        </w:rPr>
        <w:t>.</w:t>
      </w:r>
    </w:p>
    <w:tbl>
      <w:tblPr>
        <w:tblStyle w:val="GridTable5Dark-Accent3"/>
        <w:tblpPr w:leftFromText="180" w:rightFromText="180" w:vertAnchor="text" w:horzAnchor="margin" w:tblpY="272"/>
        <w:tblW w:w="8775" w:type="dxa"/>
        <w:tblLook w:val="04A0" w:firstRow="1" w:lastRow="0" w:firstColumn="1" w:lastColumn="0" w:noHBand="0" w:noVBand="1"/>
      </w:tblPr>
      <w:tblGrid>
        <w:gridCol w:w="6855"/>
        <w:gridCol w:w="960"/>
        <w:gridCol w:w="960"/>
      </w:tblGrid>
      <w:tr w:rsidR="004B44C9" w:rsidRPr="00032DA6" w14:paraId="3A28AAE4" w14:textId="77777777" w:rsidTr="004B44C9">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855" w:type="dxa"/>
            <w:vMerge w:val="restart"/>
            <w:hideMark/>
          </w:tcPr>
          <w:p w14:paraId="4356468A" w14:textId="77777777" w:rsidR="004B44C9" w:rsidRPr="00032DA6" w:rsidRDefault="004B44C9" w:rsidP="00DE108C">
            <w:pPr>
              <w:spacing w:line="276" w:lineRule="auto"/>
              <w:rPr>
                <w:rFonts w:eastAsia="Times New Roman" w:cstheme="majorBidi"/>
                <w:b w:val="0"/>
                <w:bCs w:val="0"/>
                <w:color w:val="000000"/>
                <w:lang w:val="en-GB"/>
              </w:rPr>
            </w:pPr>
            <w:r w:rsidRPr="00032DA6">
              <w:rPr>
                <w:rFonts w:eastAsia="Times New Roman" w:cstheme="majorBidi"/>
                <w:color w:val="000000"/>
                <w:lang w:val="en-GB"/>
              </w:rPr>
              <w:t>Do you deal with banks to finance your housing projects?</w:t>
            </w:r>
          </w:p>
        </w:tc>
        <w:tc>
          <w:tcPr>
            <w:tcW w:w="1920" w:type="dxa"/>
            <w:gridSpan w:val="2"/>
            <w:noWrap/>
            <w:hideMark/>
          </w:tcPr>
          <w:p w14:paraId="5FDCF179" w14:textId="77777777" w:rsidR="004B44C9" w:rsidRPr="00032DA6" w:rsidRDefault="004B44C9" w:rsidP="00DE108C">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ajorBidi"/>
                <w:b w:val="0"/>
                <w:bCs w:val="0"/>
                <w:color w:val="000000"/>
                <w:lang w:val="en-GB"/>
              </w:rPr>
            </w:pPr>
            <w:r w:rsidRPr="00032DA6">
              <w:rPr>
                <w:rFonts w:eastAsia="Times New Roman" w:cstheme="majorBidi"/>
                <w:color w:val="000000"/>
                <w:lang w:val="en-GB"/>
              </w:rPr>
              <w:t>Responses (%)</w:t>
            </w:r>
          </w:p>
        </w:tc>
      </w:tr>
      <w:tr w:rsidR="004B44C9" w:rsidRPr="00032DA6" w14:paraId="51D4DA36" w14:textId="77777777" w:rsidTr="004B44C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855" w:type="dxa"/>
            <w:vMerge/>
            <w:hideMark/>
          </w:tcPr>
          <w:p w14:paraId="4530B0F0" w14:textId="77777777" w:rsidR="004B44C9" w:rsidRPr="00032DA6" w:rsidRDefault="004B44C9" w:rsidP="00DE108C">
            <w:pPr>
              <w:spacing w:line="276" w:lineRule="auto"/>
              <w:rPr>
                <w:rFonts w:eastAsia="Times New Roman" w:cstheme="majorBidi"/>
                <w:b w:val="0"/>
                <w:bCs w:val="0"/>
                <w:color w:val="000000"/>
                <w:lang w:val="en-GB"/>
              </w:rPr>
            </w:pPr>
          </w:p>
        </w:tc>
        <w:tc>
          <w:tcPr>
            <w:tcW w:w="960" w:type="dxa"/>
            <w:noWrap/>
            <w:hideMark/>
          </w:tcPr>
          <w:p w14:paraId="7800C54B" w14:textId="77777777" w:rsidR="004B44C9" w:rsidRPr="00032DA6" w:rsidRDefault="004B44C9"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b/>
                <w:bCs/>
                <w:color w:val="000000"/>
                <w:lang w:val="en-GB"/>
              </w:rPr>
            </w:pPr>
            <w:r w:rsidRPr="00032DA6">
              <w:rPr>
                <w:rFonts w:eastAsia="Times New Roman" w:cstheme="majorBidi"/>
                <w:b/>
                <w:bCs/>
                <w:color w:val="000000"/>
                <w:lang w:val="en-GB"/>
              </w:rPr>
              <w:t>Yes</w:t>
            </w:r>
          </w:p>
        </w:tc>
        <w:tc>
          <w:tcPr>
            <w:tcW w:w="960" w:type="dxa"/>
            <w:noWrap/>
            <w:hideMark/>
          </w:tcPr>
          <w:p w14:paraId="509DD3D8" w14:textId="77777777" w:rsidR="004B44C9" w:rsidRPr="00032DA6" w:rsidRDefault="004B44C9"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b/>
                <w:bCs/>
                <w:color w:val="000000"/>
                <w:lang w:val="en-GB"/>
              </w:rPr>
            </w:pPr>
            <w:r w:rsidRPr="00032DA6">
              <w:rPr>
                <w:rFonts w:eastAsia="Times New Roman" w:cstheme="majorBidi"/>
                <w:b/>
                <w:bCs/>
                <w:color w:val="000000"/>
                <w:lang w:val="en-GB"/>
              </w:rPr>
              <w:t>No</w:t>
            </w:r>
          </w:p>
        </w:tc>
      </w:tr>
      <w:tr w:rsidR="004B44C9" w:rsidRPr="00032DA6" w14:paraId="4BA111F9" w14:textId="77777777" w:rsidTr="004B44C9">
        <w:trPr>
          <w:trHeight w:val="290"/>
        </w:trPr>
        <w:tc>
          <w:tcPr>
            <w:cnfStyle w:val="001000000000" w:firstRow="0" w:lastRow="0" w:firstColumn="1" w:lastColumn="0" w:oddVBand="0" w:evenVBand="0" w:oddHBand="0" w:evenHBand="0" w:firstRowFirstColumn="0" w:firstRowLastColumn="0" w:lastRowFirstColumn="0" w:lastRowLastColumn="0"/>
            <w:tcW w:w="6855" w:type="dxa"/>
            <w:vMerge/>
            <w:hideMark/>
          </w:tcPr>
          <w:p w14:paraId="6DC4342A" w14:textId="77777777" w:rsidR="004B44C9" w:rsidRPr="00032DA6" w:rsidRDefault="004B44C9" w:rsidP="00DE108C">
            <w:pPr>
              <w:spacing w:line="276" w:lineRule="auto"/>
              <w:rPr>
                <w:rFonts w:eastAsia="Times New Roman" w:cstheme="majorBidi"/>
                <w:b w:val="0"/>
                <w:bCs w:val="0"/>
                <w:color w:val="000000"/>
                <w:lang w:val="en-GB"/>
              </w:rPr>
            </w:pPr>
          </w:p>
        </w:tc>
        <w:tc>
          <w:tcPr>
            <w:tcW w:w="960" w:type="dxa"/>
            <w:noWrap/>
            <w:hideMark/>
          </w:tcPr>
          <w:p w14:paraId="1B121457" w14:textId="77777777" w:rsidR="004B44C9" w:rsidRPr="00032DA6" w:rsidRDefault="004B44C9"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53.6</w:t>
            </w:r>
          </w:p>
        </w:tc>
        <w:tc>
          <w:tcPr>
            <w:tcW w:w="960" w:type="dxa"/>
            <w:noWrap/>
            <w:hideMark/>
          </w:tcPr>
          <w:p w14:paraId="1FA3026F" w14:textId="77777777" w:rsidR="004B44C9" w:rsidRPr="00032DA6" w:rsidRDefault="004B44C9"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46.4</w:t>
            </w:r>
          </w:p>
        </w:tc>
      </w:tr>
      <w:tr w:rsidR="004B44C9" w:rsidRPr="00032DA6" w14:paraId="2646C8A3" w14:textId="77777777" w:rsidTr="004B44C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55" w:type="dxa"/>
            <w:noWrap/>
            <w:hideMark/>
          </w:tcPr>
          <w:p w14:paraId="7D3B5964" w14:textId="77777777" w:rsidR="004B44C9" w:rsidRPr="00032DA6" w:rsidRDefault="004B44C9" w:rsidP="00DE108C">
            <w:pPr>
              <w:spacing w:line="276" w:lineRule="auto"/>
              <w:rPr>
                <w:rFonts w:eastAsia="Times New Roman" w:cstheme="majorBidi"/>
                <w:b w:val="0"/>
                <w:bCs w:val="0"/>
                <w:color w:val="000000"/>
                <w:lang w:val="en-GB"/>
              </w:rPr>
            </w:pPr>
            <w:r w:rsidRPr="00032DA6">
              <w:rPr>
                <w:rFonts w:eastAsia="Times New Roman" w:cstheme="majorBidi"/>
                <w:color w:val="000000"/>
                <w:lang w:val="en-GB"/>
              </w:rPr>
              <w:t xml:space="preserve">If yes, what are the types of banks you prefer dealing with? </w:t>
            </w:r>
          </w:p>
        </w:tc>
        <w:tc>
          <w:tcPr>
            <w:tcW w:w="1920" w:type="dxa"/>
            <w:gridSpan w:val="2"/>
            <w:noWrap/>
            <w:hideMark/>
          </w:tcPr>
          <w:p w14:paraId="68E14CA8" w14:textId="77777777" w:rsidR="004B44C9" w:rsidRPr="00032DA6" w:rsidRDefault="004B44C9"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b/>
                <w:bCs/>
                <w:color w:val="000000"/>
                <w:lang w:val="en-GB"/>
              </w:rPr>
            </w:pPr>
            <w:r w:rsidRPr="00032DA6">
              <w:rPr>
                <w:rFonts w:eastAsia="Times New Roman" w:cstheme="majorBidi"/>
                <w:b/>
                <w:bCs/>
                <w:color w:val="000000"/>
                <w:lang w:val="en-GB"/>
              </w:rPr>
              <w:t>Responses (%)</w:t>
            </w:r>
          </w:p>
        </w:tc>
      </w:tr>
      <w:tr w:rsidR="004B44C9" w:rsidRPr="00032DA6" w14:paraId="74D78826" w14:textId="77777777" w:rsidTr="004B44C9">
        <w:trPr>
          <w:trHeight w:val="290"/>
        </w:trPr>
        <w:tc>
          <w:tcPr>
            <w:cnfStyle w:val="001000000000" w:firstRow="0" w:lastRow="0" w:firstColumn="1" w:lastColumn="0" w:oddVBand="0" w:evenVBand="0" w:oddHBand="0" w:evenHBand="0" w:firstRowFirstColumn="0" w:firstRowLastColumn="0" w:lastRowFirstColumn="0" w:lastRowLastColumn="0"/>
            <w:tcW w:w="6855" w:type="dxa"/>
            <w:noWrap/>
            <w:hideMark/>
          </w:tcPr>
          <w:p w14:paraId="048BD582" w14:textId="77777777" w:rsidR="004B44C9" w:rsidRPr="00032DA6" w:rsidRDefault="004B44C9" w:rsidP="00DE108C">
            <w:pPr>
              <w:spacing w:line="276" w:lineRule="auto"/>
              <w:rPr>
                <w:rFonts w:eastAsia="Times New Roman" w:cstheme="majorBidi"/>
                <w:color w:val="000000"/>
                <w:lang w:val="en-GB"/>
              </w:rPr>
            </w:pPr>
            <w:r w:rsidRPr="00032DA6">
              <w:rPr>
                <w:rFonts w:eastAsia="Times New Roman" w:cstheme="majorBidi"/>
                <w:color w:val="000000"/>
                <w:lang w:val="en-GB"/>
              </w:rPr>
              <w:t xml:space="preserve">Commercial Banks </w:t>
            </w:r>
          </w:p>
        </w:tc>
        <w:tc>
          <w:tcPr>
            <w:tcW w:w="1920" w:type="dxa"/>
            <w:gridSpan w:val="2"/>
            <w:noWrap/>
            <w:hideMark/>
          </w:tcPr>
          <w:p w14:paraId="038A89DD" w14:textId="77777777" w:rsidR="004B44C9" w:rsidRPr="00032DA6" w:rsidRDefault="004B44C9"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79.6</w:t>
            </w:r>
          </w:p>
        </w:tc>
      </w:tr>
      <w:tr w:rsidR="004B44C9" w:rsidRPr="00032DA6" w14:paraId="6FC64DBD" w14:textId="77777777" w:rsidTr="004B44C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55" w:type="dxa"/>
            <w:noWrap/>
            <w:hideMark/>
          </w:tcPr>
          <w:p w14:paraId="0B8F01BC" w14:textId="77777777" w:rsidR="004B44C9" w:rsidRPr="00032DA6" w:rsidRDefault="004B44C9" w:rsidP="00DE108C">
            <w:pPr>
              <w:spacing w:line="276" w:lineRule="auto"/>
              <w:rPr>
                <w:rFonts w:eastAsia="Times New Roman" w:cstheme="majorBidi"/>
                <w:color w:val="000000"/>
                <w:lang w:val="en-GB"/>
              </w:rPr>
            </w:pPr>
            <w:r w:rsidRPr="00032DA6">
              <w:rPr>
                <w:rFonts w:eastAsia="Times New Roman" w:cstheme="majorBidi"/>
                <w:color w:val="000000"/>
                <w:lang w:val="en-GB"/>
              </w:rPr>
              <w:t>State-owned banks</w:t>
            </w:r>
          </w:p>
        </w:tc>
        <w:tc>
          <w:tcPr>
            <w:tcW w:w="1920" w:type="dxa"/>
            <w:gridSpan w:val="2"/>
            <w:noWrap/>
            <w:hideMark/>
          </w:tcPr>
          <w:p w14:paraId="08423A61" w14:textId="77777777" w:rsidR="004B44C9" w:rsidRPr="00032DA6" w:rsidRDefault="004B44C9"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19</w:t>
            </w:r>
          </w:p>
        </w:tc>
      </w:tr>
      <w:tr w:rsidR="004B44C9" w:rsidRPr="00032DA6" w14:paraId="3C838A69" w14:textId="77777777" w:rsidTr="004B44C9">
        <w:trPr>
          <w:trHeight w:val="290"/>
        </w:trPr>
        <w:tc>
          <w:tcPr>
            <w:cnfStyle w:val="001000000000" w:firstRow="0" w:lastRow="0" w:firstColumn="1" w:lastColumn="0" w:oddVBand="0" w:evenVBand="0" w:oddHBand="0" w:evenHBand="0" w:firstRowFirstColumn="0" w:firstRowLastColumn="0" w:lastRowFirstColumn="0" w:lastRowLastColumn="0"/>
            <w:tcW w:w="6855" w:type="dxa"/>
            <w:noWrap/>
            <w:hideMark/>
          </w:tcPr>
          <w:p w14:paraId="25A135D6" w14:textId="77777777" w:rsidR="004B44C9" w:rsidRPr="00032DA6" w:rsidRDefault="004B44C9" w:rsidP="00DE108C">
            <w:pPr>
              <w:spacing w:line="276" w:lineRule="auto"/>
              <w:rPr>
                <w:rFonts w:eastAsia="Times New Roman" w:cstheme="majorBidi"/>
                <w:color w:val="000000"/>
                <w:lang w:val="en-GB"/>
              </w:rPr>
            </w:pPr>
            <w:r w:rsidRPr="00032DA6">
              <w:rPr>
                <w:rFonts w:eastAsia="Times New Roman" w:cstheme="majorBidi"/>
                <w:color w:val="000000"/>
                <w:lang w:val="en-GB"/>
              </w:rPr>
              <w:t>Islamic banks</w:t>
            </w:r>
          </w:p>
        </w:tc>
        <w:tc>
          <w:tcPr>
            <w:tcW w:w="1920" w:type="dxa"/>
            <w:gridSpan w:val="2"/>
            <w:noWrap/>
            <w:hideMark/>
          </w:tcPr>
          <w:p w14:paraId="349B150E" w14:textId="77777777" w:rsidR="004B44C9" w:rsidRPr="00032DA6" w:rsidRDefault="004B44C9"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1.4</w:t>
            </w:r>
          </w:p>
        </w:tc>
      </w:tr>
      <w:tr w:rsidR="004B44C9" w:rsidRPr="00032DA6" w14:paraId="35CB7D7B" w14:textId="77777777" w:rsidTr="004B44C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55" w:type="dxa"/>
            <w:noWrap/>
            <w:hideMark/>
          </w:tcPr>
          <w:p w14:paraId="1D61AD32" w14:textId="77777777" w:rsidR="004B44C9" w:rsidRPr="00032DA6" w:rsidRDefault="004B44C9" w:rsidP="00DE108C">
            <w:pPr>
              <w:spacing w:line="276" w:lineRule="auto"/>
              <w:rPr>
                <w:rFonts w:eastAsia="Times New Roman" w:cstheme="majorBidi"/>
                <w:b w:val="0"/>
                <w:bCs w:val="0"/>
                <w:color w:val="000000"/>
                <w:lang w:val="en-GB"/>
              </w:rPr>
            </w:pPr>
            <w:r w:rsidRPr="00032DA6">
              <w:rPr>
                <w:rFonts w:eastAsia="Times New Roman" w:cstheme="majorBidi"/>
                <w:color w:val="000000"/>
                <w:lang w:val="en-GB"/>
              </w:rPr>
              <w:t>If no, specify the reason</w:t>
            </w:r>
          </w:p>
        </w:tc>
        <w:tc>
          <w:tcPr>
            <w:tcW w:w="1920" w:type="dxa"/>
            <w:gridSpan w:val="2"/>
            <w:noWrap/>
            <w:hideMark/>
          </w:tcPr>
          <w:p w14:paraId="473E22D7" w14:textId="77777777" w:rsidR="004B44C9" w:rsidRPr="00032DA6" w:rsidRDefault="004B44C9"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b/>
                <w:bCs/>
                <w:color w:val="000000"/>
                <w:lang w:val="en-GB"/>
              </w:rPr>
            </w:pPr>
            <w:r w:rsidRPr="00032DA6">
              <w:rPr>
                <w:rFonts w:eastAsia="Times New Roman" w:cstheme="majorBidi"/>
                <w:b/>
                <w:bCs/>
                <w:color w:val="000000"/>
                <w:lang w:val="en-GB"/>
              </w:rPr>
              <w:t>Responses (%)</w:t>
            </w:r>
          </w:p>
        </w:tc>
      </w:tr>
      <w:tr w:rsidR="004B44C9" w:rsidRPr="00032DA6" w14:paraId="23B2B6C7" w14:textId="77777777" w:rsidTr="004B44C9">
        <w:trPr>
          <w:trHeight w:val="290"/>
        </w:trPr>
        <w:tc>
          <w:tcPr>
            <w:cnfStyle w:val="001000000000" w:firstRow="0" w:lastRow="0" w:firstColumn="1" w:lastColumn="0" w:oddVBand="0" w:evenVBand="0" w:oddHBand="0" w:evenHBand="0" w:firstRowFirstColumn="0" w:firstRowLastColumn="0" w:lastRowFirstColumn="0" w:lastRowLastColumn="0"/>
            <w:tcW w:w="6855" w:type="dxa"/>
            <w:noWrap/>
            <w:hideMark/>
          </w:tcPr>
          <w:p w14:paraId="5A999653" w14:textId="77777777" w:rsidR="004B44C9" w:rsidRPr="00032DA6" w:rsidRDefault="004B44C9" w:rsidP="00DE108C">
            <w:pPr>
              <w:spacing w:line="276" w:lineRule="auto"/>
              <w:rPr>
                <w:rFonts w:eastAsia="Times New Roman" w:cstheme="majorBidi"/>
                <w:color w:val="000000"/>
                <w:lang w:val="en-GB"/>
              </w:rPr>
            </w:pPr>
            <w:r w:rsidRPr="00032DA6">
              <w:rPr>
                <w:rFonts w:eastAsia="Times New Roman" w:cstheme="majorBidi"/>
                <w:color w:val="000000"/>
                <w:lang w:val="en-GB"/>
              </w:rPr>
              <w:t xml:space="preserve">Financial reasons </w:t>
            </w:r>
          </w:p>
        </w:tc>
        <w:tc>
          <w:tcPr>
            <w:tcW w:w="1920" w:type="dxa"/>
            <w:gridSpan w:val="2"/>
            <w:noWrap/>
            <w:hideMark/>
          </w:tcPr>
          <w:p w14:paraId="5128C24C" w14:textId="77777777" w:rsidR="004B44C9" w:rsidRPr="00032DA6" w:rsidRDefault="004B44C9"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67</w:t>
            </w:r>
          </w:p>
        </w:tc>
      </w:tr>
      <w:tr w:rsidR="004B44C9" w:rsidRPr="00032DA6" w14:paraId="2216D706" w14:textId="77777777" w:rsidTr="004B44C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55" w:type="dxa"/>
            <w:noWrap/>
            <w:hideMark/>
          </w:tcPr>
          <w:p w14:paraId="1A1AA99E" w14:textId="77777777" w:rsidR="004B44C9" w:rsidRPr="00032DA6" w:rsidRDefault="004B44C9" w:rsidP="00DE108C">
            <w:pPr>
              <w:spacing w:line="276" w:lineRule="auto"/>
              <w:rPr>
                <w:rFonts w:eastAsia="Times New Roman" w:cstheme="majorBidi"/>
                <w:color w:val="000000"/>
                <w:lang w:val="en-GB"/>
              </w:rPr>
            </w:pPr>
            <w:r w:rsidRPr="00032DA6">
              <w:rPr>
                <w:rFonts w:eastAsia="Times New Roman" w:cstheme="majorBidi"/>
                <w:color w:val="000000"/>
                <w:lang w:val="en-GB"/>
              </w:rPr>
              <w:t xml:space="preserve">Religious and cultural reasons </w:t>
            </w:r>
          </w:p>
        </w:tc>
        <w:tc>
          <w:tcPr>
            <w:tcW w:w="1920" w:type="dxa"/>
            <w:gridSpan w:val="2"/>
            <w:noWrap/>
            <w:hideMark/>
          </w:tcPr>
          <w:p w14:paraId="0BE9C428" w14:textId="77777777" w:rsidR="004B44C9" w:rsidRPr="00032DA6" w:rsidRDefault="004B44C9"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33</w:t>
            </w:r>
          </w:p>
        </w:tc>
      </w:tr>
    </w:tbl>
    <w:p w14:paraId="2D9E26EF" w14:textId="4EA6368C" w:rsidR="00AA0076" w:rsidRPr="007B74DF" w:rsidRDefault="004B44C9" w:rsidP="00DE108C">
      <w:pPr>
        <w:spacing w:line="276" w:lineRule="auto"/>
        <w:jc w:val="both"/>
        <w:rPr>
          <w:rFonts w:eastAsia="Times New Roman" w:cstheme="majorBidi"/>
          <w:b/>
          <w:bCs/>
          <w:lang w:val="en-GB"/>
        </w:rPr>
      </w:pPr>
      <w:r w:rsidRPr="007B74DF">
        <w:rPr>
          <w:rFonts w:eastAsia="Times New Roman" w:cstheme="majorBidi"/>
          <w:b/>
          <w:bCs/>
          <w:lang w:val="en-GB"/>
        </w:rPr>
        <w:t xml:space="preserve"> </w:t>
      </w:r>
      <w:r w:rsidR="00AA0076" w:rsidRPr="007B74DF">
        <w:rPr>
          <w:rFonts w:eastAsia="Times New Roman" w:cstheme="majorBidi"/>
          <w:b/>
          <w:bCs/>
          <w:lang w:val="en-GB"/>
        </w:rPr>
        <w:t>Table (1</w:t>
      </w:r>
      <w:r w:rsidR="00AA1337" w:rsidRPr="007B74DF">
        <w:rPr>
          <w:rFonts w:eastAsia="Times New Roman" w:cstheme="majorBidi"/>
          <w:b/>
          <w:bCs/>
          <w:lang w:val="en-GB"/>
        </w:rPr>
        <w:t>2</w:t>
      </w:r>
      <w:r w:rsidR="00766B47" w:rsidRPr="007B74DF">
        <w:rPr>
          <w:rFonts w:eastAsia="Times New Roman" w:cstheme="majorBidi"/>
          <w:b/>
          <w:bCs/>
          <w:lang w:val="en-GB"/>
        </w:rPr>
        <w:t>)</w:t>
      </w:r>
      <w:r w:rsidR="00AA1337" w:rsidRPr="007B74DF">
        <w:rPr>
          <w:rFonts w:eastAsia="Times New Roman" w:cstheme="majorBidi"/>
          <w:b/>
          <w:bCs/>
          <w:lang w:val="en-GB"/>
        </w:rPr>
        <w:t>:</w:t>
      </w:r>
      <w:r w:rsidR="00766B47" w:rsidRPr="007B74DF">
        <w:rPr>
          <w:rFonts w:eastAsia="Times New Roman" w:cstheme="majorBidi"/>
          <w:b/>
          <w:bCs/>
          <w:lang w:val="en-GB"/>
        </w:rPr>
        <w:t xml:space="preserve"> </w:t>
      </w:r>
      <w:r w:rsidR="00317FAB" w:rsidRPr="007B74DF">
        <w:rPr>
          <w:rFonts w:eastAsia="Times New Roman" w:cstheme="majorBidi"/>
          <w:b/>
          <w:bCs/>
          <w:lang w:val="en-GB"/>
        </w:rPr>
        <w:t xml:space="preserve">Banking Preferences </w:t>
      </w:r>
      <w:r w:rsidR="00FD5F9C" w:rsidRPr="007B74DF">
        <w:rPr>
          <w:rFonts w:eastAsia="Times New Roman" w:cstheme="majorBidi"/>
          <w:b/>
          <w:bCs/>
          <w:lang w:val="en-GB"/>
        </w:rPr>
        <w:t>and</w:t>
      </w:r>
      <w:r w:rsidR="00317FAB" w:rsidRPr="007B74DF">
        <w:rPr>
          <w:rFonts w:eastAsia="Times New Roman" w:cstheme="majorBidi"/>
          <w:b/>
          <w:bCs/>
          <w:lang w:val="en-GB"/>
        </w:rPr>
        <w:t xml:space="preserve"> Housing Finance</w:t>
      </w:r>
    </w:p>
    <w:p w14:paraId="6F28A288" w14:textId="04F02549" w:rsidR="004B44C9" w:rsidRPr="00032DA6" w:rsidRDefault="004B44C9" w:rsidP="00DE108C">
      <w:pPr>
        <w:spacing w:line="276" w:lineRule="auto"/>
        <w:jc w:val="both"/>
        <w:rPr>
          <w:rFonts w:eastAsia="Times New Roman" w:cstheme="majorBidi"/>
          <w:b/>
          <w:bCs/>
          <w:color w:val="FF0000"/>
          <w:lang w:val="en-GB"/>
        </w:rPr>
      </w:pPr>
    </w:p>
    <w:p w14:paraId="0BD307F6" w14:textId="39E522D0" w:rsidR="004B44C9" w:rsidRPr="00032DA6" w:rsidRDefault="004B44C9" w:rsidP="00DE108C">
      <w:pPr>
        <w:spacing w:line="276" w:lineRule="auto"/>
        <w:jc w:val="both"/>
        <w:rPr>
          <w:rFonts w:eastAsia="Times New Roman" w:cstheme="majorBidi"/>
          <w:b/>
          <w:bCs/>
          <w:color w:val="FF0000"/>
          <w:lang w:val="en-GB"/>
        </w:rPr>
      </w:pPr>
    </w:p>
    <w:p w14:paraId="2675531D" w14:textId="7E02594C" w:rsidR="004B44C9" w:rsidRPr="00032DA6" w:rsidRDefault="004B44C9" w:rsidP="00DE108C">
      <w:pPr>
        <w:spacing w:line="276" w:lineRule="auto"/>
        <w:jc w:val="both"/>
        <w:rPr>
          <w:rFonts w:eastAsia="Times New Roman" w:cstheme="majorBidi"/>
          <w:b/>
          <w:bCs/>
          <w:color w:val="FF0000"/>
          <w:lang w:val="en-GB"/>
        </w:rPr>
      </w:pPr>
    </w:p>
    <w:p w14:paraId="3B28A9AD" w14:textId="22022F6F" w:rsidR="004B44C9" w:rsidRPr="00032DA6" w:rsidRDefault="004B44C9" w:rsidP="00DE108C">
      <w:pPr>
        <w:spacing w:line="276" w:lineRule="auto"/>
        <w:jc w:val="both"/>
        <w:rPr>
          <w:rFonts w:eastAsia="Times New Roman" w:cstheme="majorBidi"/>
          <w:b/>
          <w:bCs/>
          <w:color w:val="FF0000"/>
          <w:lang w:val="en-GB"/>
        </w:rPr>
      </w:pPr>
    </w:p>
    <w:p w14:paraId="48E28A25" w14:textId="35DA7898" w:rsidR="004B44C9" w:rsidRPr="00032DA6" w:rsidRDefault="004B44C9" w:rsidP="00DE108C">
      <w:pPr>
        <w:spacing w:line="276" w:lineRule="auto"/>
        <w:jc w:val="both"/>
        <w:rPr>
          <w:rFonts w:eastAsia="Times New Roman" w:cstheme="majorBidi"/>
          <w:b/>
          <w:bCs/>
          <w:color w:val="FF0000"/>
          <w:lang w:val="en-GB"/>
        </w:rPr>
      </w:pPr>
    </w:p>
    <w:p w14:paraId="1951402E" w14:textId="5D17D9D5" w:rsidR="004B44C9" w:rsidRPr="00032DA6" w:rsidRDefault="004B44C9" w:rsidP="00DE108C">
      <w:pPr>
        <w:spacing w:line="276" w:lineRule="auto"/>
        <w:jc w:val="both"/>
        <w:rPr>
          <w:rFonts w:eastAsia="Times New Roman" w:cstheme="majorBidi"/>
          <w:b/>
          <w:bCs/>
          <w:color w:val="FF0000"/>
          <w:lang w:val="en-GB"/>
        </w:rPr>
      </w:pPr>
    </w:p>
    <w:p w14:paraId="770CB843" w14:textId="77777777" w:rsidR="004B44C9" w:rsidRPr="00032DA6" w:rsidRDefault="004B44C9" w:rsidP="00DE108C">
      <w:pPr>
        <w:spacing w:line="276" w:lineRule="auto"/>
        <w:jc w:val="both"/>
        <w:rPr>
          <w:rFonts w:cstheme="majorBidi"/>
          <w:b/>
          <w:bCs/>
          <w:color w:val="FF0000"/>
          <w:lang w:val="en-GB"/>
        </w:rPr>
      </w:pPr>
    </w:p>
    <w:p w14:paraId="5170F01F" w14:textId="44C053DC" w:rsidR="0088308E" w:rsidRPr="00032DA6" w:rsidRDefault="005F2BB2" w:rsidP="00DE108C">
      <w:pPr>
        <w:pStyle w:val="Heading2"/>
        <w:numPr>
          <w:ilvl w:val="0"/>
          <w:numId w:val="27"/>
        </w:numPr>
        <w:spacing w:line="276" w:lineRule="auto"/>
        <w:rPr>
          <w:lang w:val="en-GB"/>
        </w:rPr>
      </w:pPr>
      <w:bookmarkStart w:id="54" w:name="_Toc91438051"/>
      <w:r w:rsidRPr="00032DA6">
        <w:rPr>
          <w:lang w:val="en-GB"/>
        </w:rPr>
        <w:t>Information</w:t>
      </w:r>
      <w:r w:rsidR="0088308E" w:rsidRPr="00032DA6">
        <w:rPr>
          <w:lang w:val="en-GB"/>
        </w:rPr>
        <w:t xml:space="preserve"> and Housing Characteristics</w:t>
      </w:r>
      <w:bookmarkEnd w:id="54"/>
    </w:p>
    <w:p w14:paraId="4F29A126" w14:textId="4B3582EB" w:rsidR="00DD3CF9" w:rsidRPr="00032DA6" w:rsidRDefault="0088308E" w:rsidP="00DE108C">
      <w:pPr>
        <w:spacing w:line="276" w:lineRule="auto"/>
        <w:ind w:firstLine="340"/>
        <w:jc w:val="lowKashida"/>
        <w:rPr>
          <w:rFonts w:cstheme="majorBidi"/>
          <w:lang w:val="en-GB"/>
        </w:rPr>
      </w:pPr>
      <w:r w:rsidRPr="00032DA6">
        <w:rPr>
          <w:rFonts w:cstheme="majorBidi"/>
          <w:lang w:val="en-GB"/>
        </w:rPr>
        <w:t>Regarding the source of information in the Egyptian housing markets, household sample identified social media as the top source of information followed by friends and acquaintances and website platforms</w:t>
      </w:r>
      <w:r w:rsidR="005D2E3C" w:rsidRPr="00032DA6">
        <w:rPr>
          <w:rFonts w:cstheme="majorBidi"/>
          <w:lang w:val="en-GB"/>
        </w:rPr>
        <w:t xml:space="preserve"> (table 1</w:t>
      </w:r>
      <w:r w:rsidR="00AA1337">
        <w:rPr>
          <w:rFonts w:cstheme="majorBidi"/>
          <w:lang w:val="en-GB"/>
        </w:rPr>
        <w:t>3</w:t>
      </w:r>
      <w:r w:rsidR="005D2E3C" w:rsidRPr="00032DA6">
        <w:rPr>
          <w:rFonts w:cstheme="majorBidi"/>
          <w:lang w:val="en-GB"/>
        </w:rPr>
        <w:t xml:space="preserve"> and figure 4)</w:t>
      </w:r>
      <w:r w:rsidRPr="00032DA6">
        <w:rPr>
          <w:rFonts w:cstheme="majorBidi"/>
          <w:lang w:val="en-GB"/>
        </w:rPr>
        <w:t>. The three marketing tools were also perceived as the most effect</w:t>
      </w:r>
      <w:r w:rsidR="006D2BD9" w:rsidRPr="00032DA6">
        <w:rPr>
          <w:rFonts w:cstheme="majorBidi"/>
          <w:lang w:val="en-GB"/>
        </w:rPr>
        <w:t>ive</w:t>
      </w:r>
      <w:r w:rsidRPr="00032DA6">
        <w:rPr>
          <w:rFonts w:cstheme="majorBidi"/>
          <w:lang w:val="en-GB"/>
        </w:rPr>
        <w:t xml:space="preserve"> tools by the surveyed real-estate developers. Interestingly, while real-estate developers </w:t>
      </w:r>
      <w:r w:rsidR="000550C9" w:rsidRPr="00032DA6">
        <w:rPr>
          <w:rFonts w:cstheme="majorBidi"/>
          <w:lang w:val="en-GB"/>
        </w:rPr>
        <w:t xml:space="preserve">and brokers </w:t>
      </w:r>
      <w:r w:rsidRPr="00032DA6">
        <w:rPr>
          <w:rFonts w:cstheme="majorBidi"/>
          <w:lang w:val="en-GB"/>
        </w:rPr>
        <w:t>believe that the developers’ reputation is the most important marketing tool, it was</w:t>
      </w:r>
      <w:r w:rsidR="004427FB" w:rsidRPr="00032DA6">
        <w:rPr>
          <w:rFonts w:cstheme="majorBidi"/>
          <w:lang w:val="en-GB"/>
        </w:rPr>
        <w:t xml:space="preserve"> not</w:t>
      </w:r>
      <w:r w:rsidRPr="00032DA6">
        <w:rPr>
          <w:rFonts w:cstheme="majorBidi"/>
          <w:lang w:val="en-GB"/>
        </w:rPr>
        <w:t xml:space="preserve"> recogni</w:t>
      </w:r>
      <w:r w:rsidR="004427FB" w:rsidRPr="00032DA6">
        <w:rPr>
          <w:rFonts w:cstheme="majorBidi"/>
          <w:lang w:val="en-GB"/>
        </w:rPr>
        <w:t>s</w:t>
      </w:r>
      <w:r w:rsidRPr="00032DA6">
        <w:rPr>
          <w:rFonts w:cstheme="majorBidi"/>
          <w:lang w:val="en-GB"/>
        </w:rPr>
        <w:t>ed at the same level by the surveyed household sample. Real</w:t>
      </w:r>
      <w:r w:rsidR="004427FB" w:rsidRPr="00032DA6">
        <w:rPr>
          <w:rFonts w:cstheme="majorBidi"/>
          <w:lang w:val="en-GB"/>
        </w:rPr>
        <w:t>-</w:t>
      </w:r>
      <w:r w:rsidRPr="00032DA6">
        <w:rPr>
          <w:rFonts w:cstheme="majorBidi"/>
          <w:lang w:val="en-GB"/>
        </w:rPr>
        <w:t>estate marketing exhibitions was also perceived as a very effective tool by almost half</w:t>
      </w:r>
      <w:r w:rsidR="004427FB" w:rsidRPr="00032DA6">
        <w:rPr>
          <w:rFonts w:cstheme="majorBidi"/>
          <w:lang w:val="en-GB"/>
        </w:rPr>
        <w:t xml:space="preserve"> of</w:t>
      </w:r>
      <w:r w:rsidRPr="00032DA6">
        <w:rPr>
          <w:rFonts w:cstheme="majorBidi"/>
          <w:lang w:val="en-GB"/>
        </w:rPr>
        <w:t xml:space="preserve"> the surveyed </w:t>
      </w:r>
      <w:r w:rsidR="004427FB" w:rsidRPr="00032DA6">
        <w:rPr>
          <w:rFonts w:cstheme="majorBidi"/>
          <w:lang w:val="en-GB"/>
        </w:rPr>
        <w:t xml:space="preserve">real-estate </w:t>
      </w:r>
      <w:r w:rsidRPr="00032DA6">
        <w:rPr>
          <w:rFonts w:cstheme="majorBidi"/>
          <w:lang w:val="en-GB"/>
        </w:rPr>
        <w:t xml:space="preserve">developers </w:t>
      </w:r>
      <w:r w:rsidR="000550C9" w:rsidRPr="00032DA6">
        <w:rPr>
          <w:rFonts w:cstheme="majorBidi"/>
          <w:lang w:val="en-GB"/>
        </w:rPr>
        <w:t xml:space="preserve">and brokers </w:t>
      </w:r>
      <w:r w:rsidRPr="00032DA6">
        <w:rPr>
          <w:rFonts w:cstheme="majorBidi"/>
          <w:lang w:val="en-GB"/>
        </w:rPr>
        <w:t>while it was not perceived as important source of information by the surveyed households.</w:t>
      </w:r>
    </w:p>
    <w:tbl>
      <w:tblPr>
        <w:tblStyle w:val="GridTable5Dark-Accent3"/>
        <w:tblpPr w:leftFromText="180" w:rightFromText="180" w:vertAnchor="text" w:horzAnchor="margin" w:tblpY="264"/>
        <w:tblW w:w="9019" w:type="dxa"/>
        <w:tblLook w:val="04A0" w:firstRow="1" w:lastRow="0" w:firstColumn="1" w:lastColumn="0" w:noHBand="0" w:noVBand="1"/>
      </w:tblPr>
      <w:tblGrid>
        <w:gridCol w:w="2830"/>
        <w:gridCol w:w="1047"/>
        <w:gridCol w:w="1047"/>
        <w:gridCol w:w="1202"/>
        <w:gridCol w:w="2893"/>
      </w:tblGrid>
      <w:tr w:rsidR="004B44C9" w:rsidRPr="00032DA6" w14:paraId="1292733E" w14:textId="77777777" w:rsidTr="004B44C9">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830" w:type="dxa"/>
            <w:vMerge w:val="restart"/>
            <w:noWrap/>
            <w:hideMark/>
          </w:tcPr>
          <w:p w14:paraId="64BF40AC" w14:textId="77777777" w:rsidR="004B44C9" w:rsidRPr="00032DA6" w:rsidRDefault="004B44C9" w:rsidP="00DE108C">
            <w:pPr>
              <w:spacing w:line="276" w:lineRule="auto"/>
              <w:rPr>
                <w:rFonts w:eastAsia="Times New Roman" w:cstheme="majorBidi"/>
                <w:b w:val="0"/>
                <w:bCs w:val="0"/>
                <w:color w:val="000000"/>
                <w:lang w:val="en-GB"/>
              </w:rPr>
            </w:pPr>
            <w:r w:rsidRPr="00032DA6">
              <w:rPr>
                <w:rFonts w:eastAsia="Times New Roman" w:cstheme="majorBidi"/>
                <w:color w:val="000000"/>
                <w:lang w:val="en-GB"/>
              </w:rPr>
              <w:t> </w:t>
            </w:r>
          </w:p>
          <w:p w14:paraId="1820FA7A" w14:textId="77777777" w:rsidR="004B44C9" w:rsidRPr="00032DA6" w:rsidRDefault="004B44C9" w:rsidP="00DE108C">
            <w:pPr>
              <w:spacing w:line="276" w:lineRule="auto"/>
              <w:rPr>
                <w:rFonts w:eastAsia="Times New Roman" w:cstheme="majorBidi"/>
                <w:b w:val="0"/>
                <w:bCs w:val="0"/>
                <w:color w:val="000000"/>
                <w:lang w:val="en-GB"/>
              </w:rPr>
            </w:pPr>
            <w:r w:rsidRPr="00032DA6">
              <w:rPr>
                <w:rFonts w:eastAsia="Times New Roman" w:cstheme="majorBidi"/>
                <w:color w:val="000000"/>
                <w:lang w:val="en-GB"/>
              </w:rPr>
              <w:t> </w:t>
            </w:r>
          </w:p>
          <w:p w14:paraId="4435D4B1" w14:textId="77777777" w:rsidR="004B44C9" w:rsidRPr="00032DA6" w:rsidRDefault="004B44C9" w:rsidP="00DE108C">
            <w:pPr>
              <w:spacing w:line="276" w:lineRule="auto"/>
              <w:rPr>
                <w:rFonts w:eastAsia="Times New Roman" w:cstheme="majorBidi"/>
                <w:color w:val="000000"/>
                <w:lang w:val="en-GB"/>
              </w:rPr>
            </w:pPr>
            <w:r w:rsidRPr="00032DA6">
              <w:rPr>
                <w:rFonts w:eastAsia="Times New Roman" w:cstheme="majorBidi"/>
                <w:color w:val="000000"/>
                <w:lang w:val="en-GB"/>
              </w:rPr>
              <w:t> </w:t>
            </w:r>
          </w:p>
        </w:tc>
        <w:tc>
          <w:tcPr>
            <w:tcW w:w="3266" w:type="dxa"/>
            <w:gridSpan w:val="3"/>
            <w:noWrap/>
            <w:hideMark/>
          </w:tcPr>
          <w:p w14:paraId="602D50E2" w14:textId="7E313942" w:rsidR="004B44C9" w:rsidRPr="00032DA6" w:rsidRDefault="004B44C9" w:rsidP="00DE108C">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Real-Estate Developers</w:t>
            </w:r>
            <w:r w:rsidR="000550C9" w:rsidRPr="00032DA6">
              <w:rPr>
                <w:rFonts w:eastAsia="Times New Roman" w:cstheme="majorBidi"/>
                <w:color w:val="000000"/>
                <w:lang w:val="en-GB"/>
              </w:rPr>
              <w:t xml:space="preserve"> and Brokers</w:t>
            </w:r>
            <w:r w:rsidRPr="00032DA6">
              <w:rPr>
                <w:rFonts w:eastAsia="Times New Roman" w:cstheme="majorBidi"/>
                <w:color w:val="000000"/>
                <w:lang w:val="en-GB"/>
              </w:rPr>
              <w:t xml:space="preserve"> Survey</w:t>
            </w:r>
          </w:p>
        </w:tc>
        <w:tc>
          <w:tcPr>
            <w:tcW w:w="0" w:type="auto"/>
            <w:noWrap/>
            <w:hideMark/>
          </w:tcPr>
          <w:p w14:paraId="4584CBFD" w14:textId="77777777" w:rsidR="004B44C9" w:rsidRPr="00032DA6" w:rsidRDefault="004B44C9" w:rsidP="00DE108C">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 xml:space="preserve">Household Survey </w:t>
            </w:r>
          </w:p>
        </w:tc>
      </w:tr>
      <w:tr w:rsidR="004B44C9" w:rsidRPr="00032DA6" w14:paraId="187E2812" w14:textId="77777777" w:rsidTr="004B44C9">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2830" w:type="dxa"/>
            <w:vMerge/>
            <w:noWrap/>
            <w:hideMark/>
          </w:tcPr>
          <w:p w14:paraId="175BCC32" w14:textId="77777777" w:rsidR="004B44C9" w:rsidRPr="00032DA6" w:rsidRDefault="004B44C9" w:rsidP="00DE108C">
            <w:pPr>
              <w:spacing w:line="276" w:lineRule="auto"/>
              <w:rPr>
                <w:rFonts w:eastAsia="Times New Roman" w:cstheme="majorBidi"/>
                <w:color w:val="000000"/>
                <w:lang w:val="en-GB"/>
              </w:rPr>
            </w:pPr>
          </w:p>
        </w:tc>
        <w:tc>
          <w:tcPr>
            <w:tcW w:w="3266" w:type="dxa"/>
            <w:gridSpan w:val="3"/>
            <w:hideMark/>
          </w:tcPr>
          <w:p w14:paraId="37B55642" w14:textId="77777777" w:rsidR="004B44C9" w:rsidRPr="00032DA6" w:rsidRDefault="004B44C9"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b/>
                <w:bCs/>
                <w:i/>
                <w:iCs/>
                <w:color w:val="000000"/>
                <w:lang w:val="en-GB"/>
              </w:rPr>
            </w:pPr>
            <w:r w:rsidRPr="00032DA6">
              <w:rPr>
                <w:rFonts w:eastAsia="Times New Roman" w:cstheme="majorBidi"/>
                <w:b/>
                <w:bCs/>
                <w:i/>
                <w:iCs/>
                <w:color w:val="000000"/>
                <w:lang w:val="en-GB"/>
              </w:rPr>
              <w:t>What is the relative importance of the below marketing tools in the housing market in your opinion?</w:t>
            </w:r>
          </w:p>
        </w:tc>
        <w:tc>
          <w:tcPr>
            <w:tcW w:w="0" w:type="auto"/>
            <w:hideMark/>
          </w:tcPr>
          <w:p w14:paraId="42BAEF61" w14:textId="77777777" w:rsidR="004B44C9" w:rsidRPr="00032DA6" w:rsidRDefault="004B44C9"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b/>
                <w:bCs/>
                <w:i/>
                <w:iCs/>
                <w:color w:val="000000"/>
                <w:lang w:val="en-GB"/>
              </w:rPr>
            </w:pPr>
            <w:r w:rsidRPr="00032DA6">
              <w:rPr>
                <w:rFonts w:eastAsia="Times New Roman" w:cstheme="majorBidi"/>
                <w:b/>
                <w:bCs/>
                <w:i/>
                <w:iCs/>
                <w:color w:val="000000"/>
                <w:lang w:val="en-GB"/>
              </w:rPr>
              <w:t>To what extent you believe the following factors an important source of information in your homebuying decision?</w:t>
            </w:r>
          </w:p>
        </w:tc>
      </w:tr>
      <w:tr w:rsidR="004B44C9" w:rsidRPr="00032DA6" w14:paraId="2A989D35" w14:textId="77777777" w:rsidTr="004B44C9">
        <w:trPr>
          <w:trHeight w:val="583"/>
        </w:trPr>
        <w:tc>
          <w:tcPr>
            <w:cnfStyle w:val="001000000000" w:firstRow="0" w:lastRow="0" w:firstColumn="1" w:lastColumn="0" w:oddVBand="0" w:evenVBand="0" w:oddHBand="0" w:evenHBand="0" w:firstRowFirstColumn="0" w:firstRowLastColumn="0" w:lastRowFirstColumn="0" w:lastRowLastColumn="0"/>
            <w:tcW w:w="2830" w:type="dxa"/>
            <w:vMerge/>
            <w:noWrap/>
            <w:hideMark/>
          </w:tcPr>
          <w:p w14:paraId="3AD3E71F" w14:textId="77777777" w:rsidR="004B44C9" w:rsidRPr="00032DA6" w:rsidRDefault="004B44C9" w:rsidP="00DE108C">
            <w:pPr>
              <w:spacing w:line="276" w:lineRule="auto"/>
              <w:rPr>
                <w:rFonts w:eastAsia="Times New Roman" w:cstheme="majorBidi"/>
                <w:color w:val="000000"/>
                <w:lang w:val="en-GB"/>
              </w:rPr>
            </w:pPr>
          </w:p>
        </w:tc>
        <w:tc>
          <w:tcPr>
            <w:tcW w:w="1047" w:type="dxa"/>
            <w:hideMark/>
          </w:tcPr>
          <w:p w14:paraId="6E566D05" w14:textId="77777777" w:rsidR="004B44C9" w:rsidRPr="00032DA6" w:rsidRDefault="004B44C9"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b/>
                <w:bCs/>
                <w:color w:val="000000"/>
                <w:lang w:val="en-GB"/>
              </w:rPr>
            </w:pPr>
            <w:r w:rsidRPr="00032DA6">
              <w:rPr>
                <w:rFonts w:eastAsia="Times New Roman" w:cstheme="majorBidi"/>
                <w:b/>
                <w:bCs/>
                <w:color w:val="000000"/>
                <w:lang w:val="en-GB"/>
              </w:rPr>
              <w:t>Very Effective</w:t>
            </w:r>
          </w:p>
        </w:tc>
        <w:tc>
          <w:tcPr>
            <w:tcW w:w="0" w:type="auto"/>
            <w:hideMark/>
          </w:tcPr>
          <w:p w14:paraId="04A15414" w14:textId="77777777" w:rsidR="004B44C9" w:rsidRPr="00032DA6" w:rsidRDefault="004B44C9"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b/>
                <w:bCs/>
                <w:color w:val="000000"/>
                <w:lang w:val="en-GB"/>
              </w:rPr>
            </w:pPr>
            <w:r w:rsidRPr="00032DA6">
              <w:rPr>
                <w:rFonts w:eastAsia="Times New Roman" w:cstheme="majorBidi"/>
                <w:b/>
                <w:bCs/>
                <w:color w:val="000000"/>
                <w:lang w:val="en-GB"/>
              </w:rPr>
              <w:t>Effective</w:t>
            </w:r>
          </w:p>
        </w:tc>
        <w:tc>
          <w:tcPr>
            <w:tcW w:w="0" w:type="auto"/>
            <w:hideMark/>
          </w:tcPr>
          <w:p w14:paraId="3C232F19" w14:textId="77777777" w:rsidR="004B44C9" w:rsidRPr="00032DA6" w:rsidRDefault="004B44C9"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b/>
                <w:bCs/>
                <w:color w:val="000000"/>
                <w:lang w:val="en-GB"/>
              </w:rPr>
            </w:pPr>
            <w:r w:rsidRPr="00032DA6">
              <w:rPr>
                <w:rFonts w:eastAsia="Times New Roman" w:cstheme="majorBidi"/>
                <w:b/>
                <w:bCs/>
                <w:color w:val="000000"/>
                <w:lang w:val="en-GB"/>
              </w:rPr>
              <w:t>Not Effective</w:t>
            </w:r>
          </w:p>
        </w:tc>
        <w:tc>
          <w:tcPr>
            <w:tcW w:w="0" w:type="auto"/>
            <w:hideMark/>
          </w:tcPr>
          <w:p w14:paraId="2CD2B5E3" w14:textId="77777777" w:rsidR="004B44C9" w:rsidRPr="00032DA6" w:rsidRDefault="004B44C9"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b/>
                <w:bCs/>
                <w:color w:val="000000"/>
                <w:lang w:val="en-GB"/>
              </w:rPr>
            </w:pPr>
            <w:r w:rsidRPr="00032DA6">
              <w:rPr>
                <w:rFonts w:eastAsia="Times New Roman" w:cstheme="majorBidi"/>
                <w:b/>
                <w:bCs/>
                <w:color w:val="000000"/>
                <w:lang w:val="en-GB"/>
              </w:rPr>
              <w:t>Important</w:t>
            </w:r>
          </w:p>
        </w:tc>
      </w:tr>
      <w:tr w:rsidR="004B44C9" w:rsidRPr="00032DA6" w14:paraId="4B6AFE14" w14:textId="77777777" w:rsidTr="004B44C9">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2830" w:type="dxa"/>
            <w:hideMark/>
          </w:tcPr>
          <w:p w14:paraId="3BD3C8A1" w14:textId="77777777" w:rsidR="004B44C9" w:rsidRPr="00032DA6" w:rsidRDefault="004B44C9" w:rsidP="00DE108C">
            <w:pPr>
              <w:spacing w:line="276" w:lineRule="auto"/>
              <w:rPr>
                <w:rFonts w:eastAsia="Times New Roman" w:cstheme="majorBidi"/>
                <w:b w:val="0"/>
                <w:bCs w:val="0"/>
                <w:color w:val="000000"/>
                <w:lang w:val="en-GB"/>
              </w:rPr>
            </w:pPr>
            <w:r w:rsidRPr="00032DA6">
              <w:rPr>
                <w:rFonts w:eastAsia="Times New Roman" w:cstheme="majorBidi"/>
                <w:color w:val="000000"/>
                <w:lang w:val="en-GB"/>
              </w:rPr>
              <w:t>Social Media</w:t>
            </w:r>
          </w:p>
        </w:tc>
        <w:tc>
          <w:tcPr>
            <w:tcW w:w="1047" w:type="dxa"/>
            <w:hideMark/>
          </w:tcPr>
          <w:p w14:paraId="46C4A22D" w14:textId="77777777" w:rsidR="004B44C9" w:rsidRPr="00032DA6" w:rsidRDefault="004B44C9"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81.1</w:t>
            </w:r>
          </w:p>
        </w:tc>
        <w:tc>
          <w:tcPr>
            <w:tcW w:w="0" w:type="auto"/>
            <w:hideMark/>
          </w:tcPr>
          <w:p w14:paraId="008E8273" w14:textId="77777777" w:rsidR="004B44C9" w:rsidRPr="00032DA6" w:rsidRDefault="004B44C9"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15.3</w:t>
            </w:r>
          </w:p>
        </w:tc>
        <w:tc>
          <w:tcPr>
            <w:tcW w:w="0" w:type="auto"/>
            <w:hideMark/>
          </w:tcPr>
          <w:p w14:paraId="762F310B" w14:textId="77777777" w:rsidR="004B44C9" w:rsidRPr="00032DA6" w:rsidRDefault="004B44C9"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3.6</w:t>
            </w:r>
          </w:p>
        </w:tc>
        <w:tc>
          <w:tcPr>
            <w:tcW w:w="0" w:type="auto"/>
            <w:hideMark/>
          </w:tcPr>
          <w:p w14:paraId="0B7966D7" w14:textId="77777777" w:rsidR="004B44C9" w:rsidRPr="00032DA6" w:rsidRDefault="004B44C9"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71.7</w:t>
            </w:r>
          </w:p>
        </w:tc>
      </w:tr>
      <w:tr w:rsidR="004B44C9" w:rsidRPr="00032DA6" w14:paraId="33548111" w14:textId="77777777" w:rsidTr="004B44C9">
        <w:trPr>
          <w:trHeight w:val="291"/>
        </w:trPr>
        <w:tc>
          <w:tcPr>
            <w:cnfStyle w:val="001000000000" w:firstRow="0" w:lastRow="0" w:firstColumn="1" w:lastColumn="0" w:oddVBand="0" w:evenVBand="0" w:oddHBand="0" w:evenHBand="0" w:firstRowFirstColumn="0" w:firstRowLastColumn="0" w:lastRowFirstColumn="0" w:lastRowLastColumn="0"/>
            <w:tcW w:w="2830" w:type="dxa"/>
            <w:hideMark/>
          </w:tcPr>
          <w:p w14:paraId="62A2130A" w14:textId="77777777" w:rsidR="004B44C9" w:rsidRPr="00032DA6" w:rsidRDefault="004B44C9" w:rsidP="00DE108C">
            <w:pPr>
              <w:spacing w:line="276" w:lineRule="auto"/>
              <w:rPr>
                <w:rFonts w:eastAsia="Times New Roman" w:cstheme="majorBidi"/>
                <w:b w:val="0"/>
                <w:bCs w:val="0"/>
                <w:color w:val="000000"/>
                <w:lang w:val="en-GB"/>
              </w:rPr>
            </w:pPr>
            <w:r w:rsidRPr="00032DA6">
              <w:rPr>
                <w:rFonts w:eastAsia="Times New Roman" w:cstheme="majorBidi"/>
                <w:color w:val="000000"/>
                <w:lang w:val="en-GB"/>
              </w:rPr>
              <w:t>Acquaintances and Friends</w:t>
            </w:r>
          </w:p>
        </w:tc>
        <w:tc>
          <w:tcPr>
            <w:tcW w:w="1047" w:type="dxa"/>
            <w:noWrap/>
            <w:hideMark/>
          </w:tcPr>
          <w:p w14:paraId="7EC1554C" w14:textId="77777777" w:rsidR="004B44C9" w:rsidRPr="00032DA6" w:rsidRDefault="004B44C9"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63.1</w:t>
            </w:r>
          </w:p>
        </w:tc>
        <w:tc>
          <w:tcPr>
            <w:tcW w:w="0" w:type="auto"/>
            <w:noWrap/>
            <w:hideMark/>
          </w:tcPr>
          <w:p w14:paraId="59F24FAD" w14:textId="77777777" w:rsidR="004B44C9" w:rsidRPr="00032DA6" w:rsidRDefault="004B44C9"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23.8</w:t>
            </w:r>
          </w:p>
        </w:tc>
        <w:tc>
          <w:tcPr>
            <w:tcW w:w="0" w:type="auto"/>
            <w:noWrap/>
            <w:hideMark/>
          </w:tcPr>
          <w:p w14:paraId="3FE77E7B" w14:textId="77777777" w:rsidR="004B44C9" w:rsidRPr="00032DA6" w:rsidRDefault="004B44C9"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13.1</w:t>
            </w:r>
          </w:p>
        </w:tc>
        <w:tc>
          <w:tcPr>
            <w:tcW w:w="0" w:type="auto"/>
            <w:hideMark/>
          </w:tcPr>
          <w:p w14:paraId="2EEC1E55" w14:textId="77777777" w:rsidR="004B44C9" w:rsidRPr="00032DA6" w:rsidRDefault="004B44C9"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60.1</w:t>
            </w:r>
          </w:p>
        </w:tc>
      </w:tr>
      <w:tr w:rsidR="004B44C9" w:rsidRPr="00032DA6" w14:paraId="22B4562E" w14:textId="77777777" w:rsidTr="004B44C9">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830" w:type="dxa"/>
            <w:hideMark/>
          </w:tcPr>
          <w:p w14:paraId="4BE82904" w14:textId="77777777" w:rsidR="004B44C9" w:rsidRPr="00032DA6" w:rsidRDefault="004B44C9" w:rsidP="00DE108C">
            <w:pPr>
              <w:spacing w:line="276" w:lineRule="auto"/>
              <w:rPr>
                <w:rFonts w:eastAsia="Times New Roman" w:cstheme="majorBidi"/>
                <w:b w:val="0"/>
                <w:bCs w:val="0"/>
                <w:color w:val="000000"/>
                <w:lang w:val="en-GB"/>
              </w:rPr>
            </w:pPr>
            <w:r w:rsidRPr="00032DA6">
              <w:rPr>
                <w:rFonts w:eastAsia="Times New Roman" w:cstheme="majorBidi"/>
                <w:color w:val="000000"/>
                <w:lang w:val="en-GB"/>
              </w:rPr>
              <w:t>Website Platforms</w:t>
            </w:r>
          </w:p>
        </w:tc>
        <w:tc>
          <w:tcPr>
            <w:tcW w:w="1047" w:type="dxa"/>
            <w:noWrap/>
            <w:hideMark/>
          </w:tcPr>
          <w:p w14:paraId="247A4F01" w14:textId="77777777" w:rsidR="004B44C9" w:rsidRPr="00032DA6" w:rsidRDefault="004B44C9"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74</w:t>
            </w:r>
          </w:p>
        </w:tc>
        <w:tc>
          <w:tcPr>
            <w:tcW w:w="0" w:type="auto"/>
            <w:noWrap/>
            <w:hideMark/>
          </w:tcPr>
          <w:p w14:paraId="033596F5" w14:textId="77777777" w:rsidR="004B44C9" w:rsidRPr="00032DA6" w:rsidRDefault="004B44C9"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21.1</w:t>
            </w:r>
          </w:p>
        </w:tc>
        <w:tc>
          <w:tcPr>
            <w:tcW w:w="0" w:type="auto"/>
            <w:noWrap/>
            <w:hideMark/>
          </w:tcPr>
          <w:p w14:paraId="39ECF452" w14:textId="77777777" w:rsidR="004B44C9" w:rsidRPr="00032DA6" w:rsidRDefault="004B44C9"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4.9</w:t>
            </w:r>
          </w:p>
        </w:tc>
        <w:tc>
          <w:tcPr>
            <w:tcW w:w="0" w:type="auto"/>
            <w:hideMark/>
          </w:tcPr>
          <w:p w14:paraId="5265B3EC" w14:textId="77777777" w:rsidR="004B44C9" w:rsidRPr="00032DA6" w:rsidRDefault="004B44C9"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45.2</w:t>
            </w:r>
          </w:p>
        </w:tc>
      </w:tr>
      <w:tr w:rsidR="004B44C9" w:rsidRPr="00032DA6" w14:paraId="1B2C0542" w14:textId="77777777" w:rsidTr="004B44C9">
        <w:trPr>
          <w:trHeight w:val="291"/>
        </w:trPr>
        <w:tc>
          <w:tcPr>
            <w:cnfStyle w:val="001000000000" w:firstRow="0" w:lastRow="0" w:firstColumn="1" w:lastColumn="0" w:oddVBand="0" w:evenVBand="0" w:oddHBand="0" w:evenHBand="0" w:firstRowFirstColumn="0" w:firstRowLastColumn="0" w:lastRowFirstColumn="0" w:lastRowLastColumn="0"/>
            <w:tcW w:w="2830" w:type="dxa"/>
            <w:hideMark/>
          </w:tcPr>
          <w:p w14:paraId="7B5AD655" w14:textId="77777777" w:rsidR="004B44C9" w:rsidRPr="00032DA6" w:rsidRDefault="004B44C9" w:rsidP="00DE108C">
            <w:pPr>
              <w:spacing w:line="276" w:lineRule="auto"/>
              <w:rPr>
                <w:rFonts w:eastAsia="Times New Roman" w:cstheme="majorBidi"/>
                <w:b w:val="0"/>
                <w:bCs w:val="0"/>
                <w:color w:val="000000"/>
                <w:lang w:val="en-GB"/>
              </w:rPr>
            </w:pPr>
            <w:r w:rsidRPr="00032DA6">
              <w:rPr>
                <w:rFonts w:eastAsia="Times New Roman" w:cstheme="majorBidi"/>
                <w:color w:val="000000"/>
                <w:lang w:val="en-GB"/>
              </w:rPr>
              <w:t>Developer Reputation</w:t>
            </w:r>
          </w:p>
        </w:tc>
        <w:tc>
          <w:tcPr>
            <w:tcW w:w="1047" w:type="dxa"/>
            <w:noWrap/>
            <w:hideMark/>
          </w:tcPr>
          <w:p w14:paraId="66DD80D9" w14:textId="77777777" w:rsidR="004B44C9" w:rsidRPr="00032DA6" w:rsidRDefault="004B44C9"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95</w:t>
            </w:r>
          </w:p>
        </w:tc>
        <w:tc>
          <w:tcPr>
            <w:tcW w:w="0" w:type="auto"/>
            <w:noWrap/>
            <w:hideMark/>
          </w:tcPr>
          <w:p w14:paraId="5AA4FC57" w14:textId="77777777" w:rsidR="004B44C9" w:rsidRPr="00032DA6" w:rsidRDefault="004B44C9"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3.4</w:t>
            </w:r>
          </w:p>
        </w:tc>
        <w:tc>
          <w:tcPr>
            <w:tcW w:w="0" w:type="auto"/>
            <w:noWrap/>
            <w:hideMark/>
          </w:tcPr>
          <w:p w14:paraId="06718AF2" w14:textId="77777777" w:rsidR="004B44C9" w:rsidRPr="00032DA6" w:rsidRDefault="004B44C9"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0.7</w:t>
            </w:r>
          </w:p>
        </w:tc>
        <w:tc>
          <w:tcPr>
            <w:tcW w:w="0" w:type="auto"/>
            <w:hideMark/>
          </w:tcPr>
          <w:p w14:paraId="4CEC2A9F" w14:textId="77777777" w:rsidR="004B44C9" w:rsidRPr="00032DA6" w:rsidRDefault="004B44C9"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24.9</w:t>
            </w:r>
          </w:p>
        </w:tc>
      </w:tr>
      <w:tr w:rsidR="004B44C9" w:rsidRPr="00032DA6" w14:paraId="69AA775B" w14:textId="77777777" w:rsidTr="004B44C9">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830" w:type="dxa"/>
            <w:hideMark/>
          </w:tcPr>
          <w:p w14:paraId="02D2733F" w14:textId="77777777" w:rsidR="004B44C9" w:rsidRPr="00032DA6" w:rsidRDefault="004B44C9" w:rsidP="00DE108C">
            <w:pPr>
              <w:spacing w:line="276" w:lineRule="auto"/>
              <w:rPr>
                <w:rFonts w:eastAsia="Times New Roman" w:cstheme="majorBidi"/>
                <w:b w:val="0"/>
                <w:bCs w:val="0"/>
                <w:color w:val="000000"/>
                <w:lang w:val="en-GB"/>
              </w:rPr>
            </w:pPr>
            <w:r w:rsidRPr="00032DA6">
              <w:rPr>
                <w:rFonts w:eastAsia="Times New Roman" w:cstheme="majorBidi"/>
                <w:color w:val="000000"/>
                <w:lang w:val="en-GB"/>
              </w:rPr>
              <w:t xml:space="preserve">Real-Estate Marketing Exhibitions </w:t>
            </w:r>
          </w:p>
        </w:tc>
        <w:tc>
          <w:tcPr>
            <w:tcW w:w="1047" w:type="dxa"/>
            <w:noWrap/>
            <w:hideMark/>
          </w:tcPr>
          <w:p w14:paraId="5E9BE930" w14:textId="77777777" w:rsidR="004B44C9" w:rsidRPr="00032DA6" w:rsidRDefault="004B44C9"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39.3</w:t>
            </w:r>
          </w:p>
        </w:tc>
        <w:tc>
          <w:tcPr>
            <w:tcW w:w="0" w:type="auto"/>
            <w:noWrap/>
            <w:hideMark/>
          </w:tcPr>
          <w:p w14:paraId="1E4DC436" w14:textId="77777777" w:rsidR="004B44C9" w:rsidRPr="00032DA6" w:rsidRDefault="004B44C9"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30.3</w:t>
            </w:r>
          </w:p>
        </w:tc>
        <w:tc>
          <w:tcPr>
            <w:tcW w:w="0" w:type="auto"/>
            <w:noWrap/>
            <w:hideMark/>
          </w:tcPr>
          <w:p w14:paraId="286D1A12" w14:textId="77777777" w:rsidR="004B44C9" w:rsidRPr="00032DA6" w:rsidRDefault="004B44C9"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30.3</w:t>
            </w:r>
          </w:p>
        </w:tc>
        <w:tc>
          <w:tcPr>
            <w:tcW w:w="0" w:type="auto"/>
            <w:hideMark/>
          </w:tcPr>
          <w:p w14:paraId="7C8DDED4" w14:textId="77777777" w:rsidR="004B44C9" w:rsidRPr="00032DA6" w:rsidRDefault="004B44C9"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10.9</w:t>
            </w:r>
          </w:p>
        </w:tc>
      </w:tr>
      <w:tr w:rsidR="004B44C9" w:rsidRPr="00032DA6" w14:paraId="627B46AE" w14:textId="77777777" w:rsidTr="004B44C9">
        <w:trPr>
          <w:trHeight w:val="291"/>
        </w:trPr>
        <w:tc>
          <w:tcPr>
            <w:cnfStyle w:val="001000000000" w:firstRow="0" w:lastRow="0" w:firstColumn="1" w:lastColumn="0" w:oddVBand="0" w:evenVBand="0" w:oddHBand="0" w:evenHBand="0" w:firstRowFirstColumn="0" w:firstRowLastColumn="0" w:lastRowFirstColumn="0" w:lastRowLastColumn="0"/>
            <w:tcW w:w="2830" w:type="dxa"/>
            <w:hideMark/>
          </w:tcPr>
          <w:p w14:paraId="4BB1C024" w14:textId="77777777" w:rsidR="004B44C9" w:rsidRPr="00032DA6" w:rsidRDefault="004B44C9" w:rsidP="00DE108C">
            <w:pPr>
              <w:spacing w:line="276" w:lineRule="auto"/>
              <w:rPr>
                <w:rFonts w:eastAsia="Times New Roman" w:cstheme="majorBidi"/>
                <w:b w:val="0"/>
                <w:bCs w:val="0"/>
                <w:color w:val="000000"/>
                <w:lang w:val="en-GB"/>
              </w:rPr>
            </w:pPr>
            <w:r w:rsidRPr="00032DA6">
              <w:rPr>
                <w:rFonts w:eastAsia="Times New Roman" w:cstheme="majorBidi"/>
                <w:color w:val="000000"/>
                <w:lang w:val="en-GB"/>
              </w:rPr>
              <w:t>T.V Advertisements</w:t>
            </w:r>
          </w:p>
        </w:tc>
        <w:tc>
          <w:tcPr>
            <w:tcW w:w="1047" w:type="dxa"/>
            <w:noWrap/>
            <w:hideMark/>
          </w:tcPr>
          <w:p w14:paraId="7D24F5FF" w14:textId="77777777" w:rsidR="004B44C9" w:rsidRPr="00032DA6" w:rsidRDefault="004B44C9"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30.1</w:t>
            </w:r>
          </w:p>
        </w:tc>
        <w:tc>
          <w:tcPr>
            <w:tcW w:w="0" w:type="auto"/>
            <w:noWrap/>
            <w:hideMark/>
          </w:tcPr>
          <w:p w14:paraId="0DFE3E70" w14:textId="77777777" w:rsidR="004B44C9" w:rsidRPr="00032DA6" w:rsidRDefault="004B44C9"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43.9</w:t>
            </w:r>
          </w:p>
        </w:tc>
        <w:tc>
          <w:tcPr>
            <w:tcW w:w="0" w:type="auto"/>
            <w:noWrap/>
            <w:hideMark/>
          </w:tcPr>
          <w:p w14:paraId="6DADF978" w14:textId="77777777" w:rsidR="004B44C9" w:rsidRPr="00032DA6" w:rsidRDefault="004B44C9"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26</w:t>
            </w:r>
          </w:p>
        </w:tc>
        <w:tc>
          <w:tcPr>
            <w:tcW w:w="0" w:type="auto"/>
            <w:hideMark/>
          </w:tcPr>
          <w:p w14:paraId="464865EE" w14:textId="77777777" w:rsidR="004B44C9" w:rsidRPr="00032DA6" w:rsidRDefault="004B44C9"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6.2</w:t>
            </w:r>
          </w:p>
        </w:tc>
      </w:tr>
      <w:tr w:rsidR="004B44C9" w:rsidRPr="00032DA6" w14:paraId="7CF8F099" w14:textId="77777777" w:rsidTr="004B44C9">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830" w:type="dxa"/>
            <w:hideMark/>
          </w:tcPr>
          <w:p w14:paraId="2E537EA4" w14:textId="77777777" w:rsidR="004B44C9" w:rsidRPr="00032DA6" w:rsidRDefault="004B44C9" w:rsidP="00DE108C">
            <w:pPr>
              <w:spacing w:line="276" w:lineRule="auto"/>
              <w:rPr>
                <w:rFonts w:eastAsia="Times New Roman" w:cstheme="majorBidi"/>
                <w:b w:val="0"/>
                <w:bCs w:val="0"/>
                <w:color w:val="000000"/>
                <w:lang w:val="en-GB"/>
              </w:rPr>
            </w:pPr>
            <w:r w:rsidRPr="00032DA6">
              <w:rPr>
                <w:rFonts w:eastAsia="Times New Roman" w:cstheme="majorBidi"/>
                <w:color w:val="000000"/>
                <w:lang w:val="en-GB"/>
              </w:rPr>
              <w:t>Newspaper and Magazine Advertisements</w:t>
            </w:r>
          </w:p>
        </w:tc>
        <w:tc>
          <w:tcPr>
            <w:tcW w:w="1047" w:type="dxa"/>
            <w:noWrap/>
            <w:hideMark/>
          </w:tcPr>
          <w:p w14:paraId="542E35F7" w14:textId="77777777" w:rsidR="004B44C9" w:rsidRPr="00032DA6" w:rsidRDefault="004B44C9"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4.4</w:t>
            </w:r>
          </w:p>
        </w:tc>
        <w:tc>
          <w:tcPr>
            <w:tcW w:w="0" w:type="auto"/>
            <w:noWrap/>
            <w:hideMark/>
          </w:tcPr>
          <w:p w14:paraId="0BD91D26" w14:textId="77777777" w:rsidR="004B44C9" w:rsidRPr="00032DA6" w:rsidRDefault="004B44C9"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20.6</w:t>
            </w:r>
          </w:p>
        </w:tc>
        <w:tc>
          <w:tcPr>
            <w:tcW w:w="0" w:type="auto"/>
            <w:noWrap/>
            <w:hideMark/>
          </w:tcPr>
          <w:p w14:paraId="233FFB2C" w14:textId="77777777" w:rsidR="004B44C9" w:rsidRPr="00032DA6" w:rsidRDefault="004B44C9"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75</w:t>
            </w:r>
          </w:p>
        </w:tc>
        <w:tc>
          <w:tcPr>
            <w:tcW w:w="0" w:type="auto"/>
            <w:hideMark/>
          </w:tcPr>
          <w:p w14:paraId="68937B95" w14:textId="77777777" w:rsidR="004B44C9" w:rsidRPr="00032DA6" w:rsidRDefault="004B44C9"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0.6</w:t>
            </w:r>
          </w:p>
        </w:tc>
      </w:tr>
      <w:tr w:rsidR="004B44C9" w:rsidRPr="00032DA6" w14:paraId="7B0B1535" w14:textId="77777777" w:rsidTr="004B44C9">
        <w:trPr>
          <w:trHeight w:val="291"/>
        </w:trPr>
        <w:tc>
          <w:tcPr>
            <w:cnfStyle w:val="001000000000" w:firstRow="0" w:lastRow="0" w:firstColumn="1" w:lastColumn="0" w:oddVBand="0" w:evenVBand="0" w:oddHBand="0" w:evenHBand="0" w:firstRowFirstColumn="0" w:firstRowLastColumn="0" w:lastRowFirstColumn="0" w:lastRowLastColumn="0"/>
            <w:tcW w:w="2830" w:type="dxa"/>
            <w:hideMark/>
          </w:tcPr>
          <w:p w14:paraId="753305E1" w14:textId="77777777" w:rsidR="004B44C9" w:rsidRPr="00032DA6" w:rsidRDefault="004B44C9" w:rsidP="00DE108C">
            <w:pPr>
              <w:spacing w:line="276" w:lineRule="auto"/>
              <w:rPr>
                <w:rFonts w:eastAsia="Times New Roman" w:cstheme="majorBidi"/>
                <w:b w:val="0"/>
                <w:bCs w:val="0"/>
                <w:color w:val="000000"/>
                <w:lang w:val="en-GB"/>
              </w:rPr>
            </w:pPr>
            <w:r w:rsidRPr="00032DA6">
              <w:rPr>
                <w:rFonts w:eastAsia="Times New Roman" w:cstheme="majorBidi"/>
                <w:color w:val="000000"/>
                <w:lang w:val="en-GB"/>
              </w:rPr>
              <w:t>Returned Client</w:t>
            </w:r>
          </w:p>
        </w:tc>
        <w:tc>
          <w:tcPr>
            <w:tcW w:w="1047" w:type="dxa"/>
            <w:noWrap/>
            <w:hideMark/>
          </w:tcPr>
          <w:p w14:paraId="417582F2" w14:textId="77777777" w:rsidR="004B44C9" w:rsidRPr="00032DA6" w:rsidRDefault="004B44C9"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86.7</w:t>
            </w:r>
          </w:p>
        </w:tc>
        <w:tc>
          <w:tcPr>
            <w:tcW w:w="0" w:type="auto"/>
            <w:noWrap/>
            <w:hideMark/>
          </w:tcPr>
          <w:p w14:paraId="542D61A5" w14:textId="77777777" w:rsidR="004B44C9" w:rsidRPr="00032DA6" w:rsidRDefault="004B44C9"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11.9</w:t>
            </w:r>
          </w:p>
        </w:tc>
        <w:tc>
          <w:tcPr>
            <w:tcW w:w="0" w:type="auto"/>
            <w:noWrap/>
            <w:hideMark/>
          </w:tcPr>
          <w:p w14:paraId="6C07C7B6" w14:textId="77777777" w:rsidR="004B44C9" w:rsidRPr="00032DA6" w:rsidRDefault="004B44C9"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1.5</w:t>
            </w:r>
          </w:p>
        </w:tc>
        <w:tc>
          <w:tcPr>
            <w:tcW w:w="0" w:type="auto"/>
            <w:noWrap/>
            <w:hideMark/>
          </w:tcPr>
          <w:p w14:paraId="018589FB" w14:textId="77777777" w:rsidR="004B44C9" w:rsidRPr="00032DA6" w:rsidRDefault="004B44C9"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val="en-GB"/>
              </w:rPr>
            </w:pPr>
            <w:r w:rsidRPr="00032DA6">
              <w:rPr>
                <w:rFonts w:eastAsia="Times New Roman" w:cstheme="majorBidi"/>
                <w:color w:val="000000"/>
                <w:lang w:val="en-GB"/>
              </w:rPr>
              <w:t>NA</w:t>
            </w:r>
          </w:p>
        </w:tc>
      </w:tr>
    </w:tbl>
    <w:p w14:paraId="5C458745" w14:textId="5827FB6D" w:rsidR="0088308E" w:rsidRPr="007B74DF" w:rsidRDefault="005D2E3C" w:rsidP="001F1D8D">
      <w:pPr>
        <w:spacing w:line="276" w:lineRule="auto"/>
        <w:rPr>
          <w:rFonts w:cstheme="majorBidi"/>
          <w:b/>
          <w:bCs/>
          <w:lang w:val="en-GB"/>
        </w:rPr>
      </w:pPr>
      <w:r w:rsidRPr="007B74DF">
        <w:rPr>
          <w:rFonts w:cstheme="majorBidi"/>
          <w:b/>
          <w:bCs/>
          <w:lang w:val="en-GB"/>
        </w:rPr>
        <w:t>Table (1</w:t>
      </w:r>
      <w:r w:rsidR="00AA1337" w:rsidRPr="007B74DF">
        <w:rPr>
          <w:rFonts w:cstheme="majorBidi"/>
          <w:b/>
          <w:bCs/>
          <w:lang w:val="en-GB"/>
        </w:rPr>
        <w:t>3</w:t>
      </w:r>
      <w:r w:rsidRPr="007B74DF">
        <w:rPr>
          <w:rFonts w:cstheme="majorBidi"/>
          <w:b/>
          <w:bCs/>
          <w:lang w:val="en-GB"/>
        </w:rPr>
        <w:t>)</w:t>
      </w:r>
      <w:r w:rsidR="00AA1337" w:rsidRPr="007B74DF">
        <w:rPr>
          <w:rFonts w:cstheme="majorBidi"/>
          <w:b/>
          <w:bCs/>
          <w:lang w:val="en-GB"/>
        </w:rPr>
        <w:t xml:space="preserve">: </w:t>
      </w:r>
      <w:r w:rsidRPr="007B74DF">
        <w:rPr>
          <w:rFonts w:cstheme="majorBidi"/>
          <w:b/>
          <w:bCs/>
          <w:lang w:val="en-GB"/>
        </w:rPr>
        <w:t>Information</w:t>
      </w:r>
      <w:r w:rsidR="007B74DF">
        <w:rPr>
          <w:rFonts w:cstheme="majorBidi"/>
          <w:b/>
          <w:bCs/>
          <w:lang w:val="en-GB"/>
        </w:rPr>
        <w:t xml:space="preserve"> on housing opportunities and prices</w:t>
      </w:r>
    </w:p>
    <w:p w14:paraId="442E41A4" w14:textId="77777777" w:rsidR="004B44C9" w:rsidRPr="00032DA6" w:rsidRDefault="004B44C9" w:rsidP="00DE108C">
      <w:pPr>
        <w:spacing w:line="276" w:lineRule="auto"/>
        <w:ind w:firstLine="340"/>
        <w:rPr>
          <w:rFonts w:cstheme="majorBidi"/>
          <w:b/>
          <w:bCs/>
          <w:color w:val="FF0000"/>
          <w:lang w:val="en-GB"/>
        </w:rPr>
      </w:pPr>
    </w:p>
    <w:p w14:paraId="72635048" w14:textId="4F946D75" w:rsidR="0088308E" w:rsidRPr="00032DA6" w:rsidRDefault="00954B30" w:rsidP="00DE108C">
      <w:pPr>
        <w:spacing w:line="276" w:lineRule="auto"/>
        <w:jc w:val="center"/>
        <w:rPr>
          <w:rFonts w:cstheme="majorBidi"/>
          <w:b/>
          <w:bCs/>
          <w:i/>
          <w:iCs/>
          <w:lang w:val="en-GB"/>
        </w:rPr>
      </w:pPr>
      <w:r w:rsidRPr="00032DA6">
        <w:rPr>
          <w:rFonts w:cstheme="majorBidi"/>
          <w:b/>
          <w:bCs/>
          <w:noProof/>
          <w:lang w:val="en-GB"/>
        </w:rPr>
        <w:drawing>
          <wp:anchor distT="0" distB="0" distL="114300" distR="114300" simplePos="0" relativeHeight="251658240" behindDoc="0" locked="0" layoutInCell="1" allowOverlap="1" wp14:anchorId="5D84DAA6" wp14:editId="66D1026D">
            <wp:simplePos x="0" y="0"/>
            <wp:positionH relativeFrom="margin">
              <wp:align>center</wp:align>
            </wp:positionH>
            <wp:positionV relativeFrom="paragraph">
              <wp:posOffset>161925</wp:posOffset>
            </wp:positionV>
            <wp:extent cx="4554855" cy="1670050"/>
            <wp:effectExtent l="0" t="0" r="17145" b="6350"/>
            <wp:wrapSquare wrapText="bothSides"/>
            <wp:docPr id="1" name="Chart 1">
              <a:extLst xmlns:a="http://schemas.openxmlformats.org/drawingml/2006/main">
                <a:ext uri="{FF2B5EF4-FFF2-40B4-BE49-F238E27FC236}">
                  <a16:creationId xmlns:a16="http://schemas.microsoft.com/office/drawing/2014/main" id="{B8FB8119-3DDD-4213-B605-E94651C7A1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88308E" w:rsidRPr="00032DA6">
        <w:rPr>
          <w:rFonts w:cstheme="majorBidi"/>
          <w:b/>
          <w:bCs/>
          <w:i/>
          <w:iCs/>
          <w:lang w:val="en-GB"/>
        </w:rPr>
        <w:t>Figure (</w:t>
      </w:r>
      <w:r w:rsidR="005D2E3C" w:rsidRPr="00032DA6">
        <w:rPr>
          <w:rFonts w:cstheme="majorBidi"/>
          <w:b/>
          <w:bCs/>
          <w:i/>
          <w:iCs/>
          <w:lang w:val="en-GB"/>
        </w:rPr>
        <w:t>4</w:t>
      </w:r>
      <w:r w:rsidR="0088308E" w:rsidRPr="00032DA6">
        <w:rPr>
          <w:rFonts w:cstheme="majorBidi"/>
          <w:b/>
          <w:bCs/>
          <w:i/>
          <w:iCs/>
          <w:lang w:val="en-GB"/>
        </w:rPr>
        <w:t>):</w:t>
      </w:r>
      <w:r w:rsidR="006757A3" w:rsidRPr="00032DA6">
        <w:rPr>
          <w:rFonts w:cstheme="majorBidi"/>
          <w:b/>
          <w:bCs/>
          <w:i/>
          <w:iCs/>
          <w:lang w:val="en-GB"/>
        </w:rPr>
        <w:t xml:space="preserve"> </w:t>
      </w:r>
      <w:r w:rsidR="0088308E" w:rsidRPr="00032DA6">
        <w:rPr>
          <w:rFonts w:cstheme="majorBidi"/>
          <w:b/>
          <w:bCs/>
          <w:i/>
          <w:iCs/>
          <w:lang w:val="en-GB"/>
        </w:rPr>
        <w:t>How do you search for a new house</w:t>
      </w:r>
      <w:r w:rsidR="006757A3" w:rsidRPr="00032DA6">
        <w:rPr>
          <w:rFonts w:cstheme="majorBidi"/>
          <w:b/>
          <w:bCs/>
          <w:i/>
          <w:iCs/>
          <w:lang w:val="en-GB"/>
        </w:rPr>
        <w:t>?</w:t>
      </w:r>
      <w:r w:rsidR="0088308E" w:rsidRPr="00032DA6">
        <w:rPr>
          <w:rFonts w:cstheme="majorBidi"/>
          <w:b/>
          <w:bCs/>
          <w:i/>
          <w:iCs/>
          <w:lang w:val="en-GB"/>
        </w:rPr>
        <w:t xml:space="preserve"> (%)</w:t>
      </w:r>
    </w:p>
    <w:p w14:paraId="670BE1C6" w14:textId="740F229E" w:rsidR="0088308E" w:rsidRPr="00032DA6" w:rsidRDefault="0088308E" w:rsidP="00DE108C">
      <w:pPr>
        <w:spacing w:line="276" w:lineRule="auto"/>
        <w:rPr>
          <w:rFonts w:cstheme="majorBidi"/>
          <w:lang w:val="en-GB"/>
        </w:rPr>
      </w:pPr>
    </w:p>
    <w:p w14:paraId="4DE16071" w14:textId="6B285CC1" w:rsidR="0088308E" w:rsidRPr="00032DA6" w:rsidRDefault="0088308E" w:rsidP="00DE108C">
      <w:pPr>
        <w:spacing w:line="276" w:lineRule="auto"/>
        <w:rPr>
          <w:rFonts w:cstheme="majorBidi"/>
          <w:lang w:val="en-GB"/>
        </w:rPr>
      </w:pPr>
    </w:p>
    <w:p w14:paraId="4C6F2928" w14:textId="43327FB6" w:rsidR="006757A3" w:rsidRPr="00032DA6" w:rsidRDefault="006757A3" w:rsidP="00DE108C">
      <w:pPr>
        <w:spacing w:line="276" w:lineRule="auto"/>
        <w:rPr>
          <w:rFonts w:cstheme="majorBidi"/>
          <w:lang w:val="en-GB"/>
        </w:rPr>
      </w:pPr>
    </w:p>
    <w:p w14:paraId="035A4030" w14:textId="58EA1885" w:rsidR="006757A3" w:rsidRPr="00032DA6" w:rsidRDefault="006757A3" w:rsidP="00DE108C">
      <w:pPr>
        <w:spacing w:line="276" w:lineRule="auto"/>
        <w:rPr>
          <w:rFonts w:cstheme="majorBidi"/>
          <w:lang w:val="en-GB"/>
        </w:rPr>
      </w:pPr>
    </w:p>
    <w:p w14:paraId="68BFB248" w14:textId="7EDCE9C8" w:rsidR="006757A3" w:rsidRPr="00032DA6" w:rsidRDefault="006757A3" w:rsidP="00DE108C">
      <w:pPr>
        <w:spacing w:line="276" w:lineRule="auto"/>
        <w:rPr>
          <w:rFonts w:cstheme="majorBidi"/>
          <w:lang w:val="en-GB"/>
        </w:rPr>
      </w:pPr>
    </w:p>
    <w:p w14:paraId="12E9D57A" w14:textId="77777777" w:rsidR="005D2E3C" w:rsidRPr="00032DA6" w:rsidRDefault="005D2E3C" w:rsidP="00DE108C">
      <w:pPr>
        <w:spacing w:line="276" w:lineRule="auto"/>
        <w:jc w:val="both"/>
        <w:rPr>
          <w:rFonts w:cstheme="majorBidi"/>
          <w:lang w:val="en-GB"/>
        </w:rPr>
      </w:pPr>
    </w:p>
    <w:p w14:paraId="362881BF" w14:textId="073E7EC3" w:rsidR="0088308E" w:rsidRPr="00032DA6" w:rsidRDefault="0088308E" w:rsidP="00DE108C">
      <w:pPr>
        <w:spacing w:line="276" w:lineRule="auto"/>
        <w:jc w:val="both"/>
        <w:rPr>
          <w:rFonts w:cstheme="majorBidi"/>
          <w:i/>
          <w:iCs/>
          <w:lang w:val="en-GB"/>
        </w:rPr>
      </w:pPr>
      <w:r w:rsidRPr="00032DA6">
        <w:rPr>
          <w:rFonts w:cstheme="majorBidi"/>
          <w:lang w:val="en-GB"/>
        </w:rPr>
        <w:t>When respondents were asked about the relative importance of different housing characteristics they responded as shown in figure (</w:t>
      </w:r>
      <w:r w:rsidR="005D2E3C" w:rsidRPr="00032DA6">
        <w:rPr>
          <w:rFonts w:cstheme="majorBidi"/>
          <w:lang w:val="en-GB"/>
        </w:rPr>
        <w:t>5</w:t>
      </w:r>
      <w:r w:rsidRPr="00032DA6">
        <w:rPr>
          <w:rFonts w:cstheme="majorBidi"/>
          <w:lang w:val="en-GB"/>
        </w:rPr>
        <w:t xml:space="preserve">). Infrastructure came as the most important factor followed by facilities and welfare services. Resale easiness, distance from work and tendency to move to new and better communities </w:t>
      </w:r>
      <w:r w:rsidRPr="00032DA6">
        <w:rPr>
          <w:rFonts w:cstheme="majorBidi"/>
          <w:i/>
          <w:iCs/>
          <w:lang w:val="en-GB"/>
        </w:rPr>
        <w:t xml:space="preserve">were of equal importance. </w:t>
      </w:r>
    </w:p>
    <w:p w14:paraId="752BD3EB" w14:textId="3B43C748" w:rsidR="005D2E3C" w:rsidRPr="00CC2D31" w:rsidRDefault="005D2E3C" w:rsidP="00DE108C">
      <w:pPr>
        <w:spacing w:line="276" w:lineRule="auto"/>
        <w:jc w:val="center"/>
        <w:rPr>
          <w:rFonts w:cstheme="majorBidi"/>
          <w:b/>
          <w:bCs/>
          <w:color w:val="FF0000"/>
          <w:lang w:val="en-GB"/>
        </w:rPr>
      </w:pPr>
      <w:r w:rsidRPr="00CC2D31">
        <w:rPr>
          <w:rFonts w:cstheme="majorBidi"/>
          <w:b/>
          <w:bCs/>
          <w:noProof/>
          <w:lang w:val="en-GB"/>
        </w:rPr>
        <w:drawing>
          <wp:anchor distT="0" distB="0" distL="114300" distR="114300" simplePos="0" relativeHeight="251658241" behindDoc="0" locked="0" layoutInCell="1" allowOverlap="1" wp14:anchorId="3A3C7242" wp14:editId="308472CA">
            <wp:simplePos x="0" y="0"/>
            <wp:positionH relativeFrom="margin">
              <wp:posOffset>529590</wp:posOffset>
            </wp:positionH>
            <wp:positionV relativeFrom="paragraph">
              <wp:posOffset>167277</wp:posOffset>
            </wp:positionV>
            <wp:extent cx="4648835" cy="2820035"/>
            <wp:effectExtent l="0" t="0" r="12065" b="12065"/>
            <wp:wrapSquare wrapText="bothSides"/>
            <wp:docPr id="7" name="Chart 7">
              <a:extLst xmlns:a="http://schemas.openxmlformats.org/drawingml/2006/main">
                <a:ext uri="{FF2B5EF4-FFF2-40B4-BE49-F238E27FC236}">
                  <a16:creationId xmlns:a16="http://schemas.microsoft.com/office/drawing/2014/main" id="{87BC4B37-876C-4982-B660-F04F7D9E75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CC2D31">
        <w:rPr>
          <w:rFonts w:cstheme="majorBidi"/>
          <w:b/>
          <w:bCs/>
          <w:lang w:val="en-GB"/>
        </w:rPr>
        <w:t>Figure (5) Housing Characteristics</w:t>
      </w:r>
      <w:r w:rsidR="00105509">
        <w:rPr>
          <w:rFonts w:cstheme="majorBidi"/>
          <w:b/>
          <w:bCs/>
          <w:lang w:val="en-GB"/>
        </w:rPr>
        <w:t xml:space="preserve"> in Egypt </w:t>
      </w:r>
    </w:p>
    <w:p w14:paraId="4B063AA7" w14:textId="2169B76D" w:rsidR="0088308E" w:rsidRPr="00032DA6" w:rsidRDefault="0088308E" w:rsidP="00DE108C">
      <w:pPr>
        <w:spacing w:line="276" w:lineRule="auto"/>
        <w:rPr>
          <w:rFonts w:cstheme="majorBidi"/>
          <w:lang w:val="en-GB"/>
        </w:rPr>
      </w:pPr>
    </w:p>
    <w:p w14:paraId="4904F055" w14:textId="3EFFB52E" w:rsidR="0088308E" w:rsidRPr="00032DA6" w:rsidRDefault="0088308E" w:rsidP="00DE108C">
      <w:pPr>
        <w:spacing w:line="276" w:lineRule="auto"/>
        <w:rPr>
          <w:rFonts w:cstheme="majorBidi"/>
          <w:lang w:val="en-GB"/>
        </w:rPr>
      </w:pPr>
    </w:p>
    <w:p w14:paraId="07A77EA3" w14:textId="77777777" w:rsidR="0088308E" w:rsidRPr="00032DA6" w:rsidRDefault="0088308E" w:rsidP="00DE108C">
      <w:pPr>
        <w:spacing w:line="276" w:lineRule="auto"/>
        <w:rPr>
          <w:lang w:val="en-GB"/>
        </w:rPr>
      </w:pPr>
    </w:p>
    <w:p w14:paraId="4F8A67A9" w14:textId="0BD515E7" w:rsidR="00155284" w:rsidRPr="00032DA6" w:rsidRDefault="00155284" w:rsidP="00DE108C">
      <w:pPr>
        <w:spacing w:line="276" w:lineRule="auto"/>
        <w:rPr>
          <w:rFonts w:cstheme="majorBidi"/>
          <w:lang w:val="en-GB"/>
        </w:rPr>
      </w:pPr>
    </w:p>
    <w:p w14:paraId="08B5E450" w14:textId="450476AD" w:rsidR="00F4748D" w:rsidRPr="00032DA6" w:rsidRDefault="00F4748D" w:rsidP="00DE108C">
      <w:pPr>
        <w:spacing w:line="276" w:lineRule="auto"/>
        <w:rPr>
          <w:rFonts w:cstheme="majorBidi"/>
          <w:lang w:val="en-GB"/>
        </w:rPr>
      </w:pPr>
    </w:p>
    <w:p w14:paraId="5749ABBB" w14:textId="465C6619" w:rsidR="00F4748D" w:rsidRPr="00032DA6" w:rsidRDefault="00F4748D" w:rsidP="00DE108C">
      <w:pPr>
        <w:spacing w:line="276" w:lineRule="auto"/>
        <w:rPr>
          <w:rFonts w:cstheme="majorBidi"/>
          <w:lang w:val="en-GB"/>
        </w:rPr>
      </w:pPr>
    </w:p>
    <w:p w14:paraId="61C5A712" w14:textId="548E7EB0" w:rsidR="00F4748D" w:rsidRPr="00032DA6" w:rsidRDefault="00F4748D" w:rsidP="00DE108C">
      <w:pPr>
        <w:spacing w:line="276" w:lineRule="auto"/>
        <w:rPr>
          <w:rFonts w:cstheme="majorBidi"/>
          <w:lang w:val="en-GB"/>
        </w:rPr>
      </w:pPr>
    </w:p>
    <w:p w14:paraId="799F17FA" w14:textId="3C6CC3DA" w:rsidR="00F4748D" w:rsidRPr="00032DA6" w:rsidRDefault="00F4748D" w:rsidP="00DE108C">
      <w:pPr>
        <w:spacing w:line="276" w:lineRule="auto"/>
        <w:rPr>
          <w:rFonts w:cstheme="majorBidi"/>
          <w:lang w:val="en-GB"/>
        </w:rPr>
      </w:pPr>
    </w:p>
    <w:p w14:paraId="33A2573D" w14:textId="249702E0" w:rsidR="00F4748D" w:rsidRPr="00032DA6" w:rsidRDefault="00F4748D" w:rsidP="00DE108C">
      <w:pPr>
        <w:spacing w:line="276" w:lineRule="auto"/>
        <w:rPr>
          <w:rFonts w:cstheme="majorBidi"/>
          <w:lang w:val="en-GB"/>
        </w:rPr>
      </w:pPr>
    </w:p>
    <w:p w14:paraId="1B0ADA29" w14:textId="3AFE97DB" w:rsidR="00F4748D" w:rsidRPr="00032DA6" w:rsidRDefault="00F4748D" w:rsidP="00DE108C">
      <w:pPr>
        <w:spacing w:line="276" w:lineRule="auto"/>
        <w:rPr>
          <w:rFonts w:cstheme="majorBidi"/>
          <w:lang w:val="en-GB"/>
        </w:rPr>
      </w:pPr>
    </w:p>
    <w:p w14:paraId="6FCA130C" w14:textId="37EF9721" w:rsidR="00711B16" w:rsidRPr="00032DA6" w:rsidRDefault="00711B16" w:rsidP="00DE108C">
      <w:pPr>
        <w:pStyle w:val="Heading1"/>
        <w:numPr>
          <w:ilvl w:val="0"/>
          <w:numId w:val="25"/>
        </w:numPr>
        <w:spacing w:line="276" w:lineRule="auto"/>
        <w:rPr>
          <w:lang w:val="en-GB"/>
        </w:rPr>
      </w:pPr>
      <w:bookmarkStart w:id="55" w:name="_Toc91107886"/>
      <w:bookmarkStart w:id="56" w:name="_Toc91438052"/>
      <w:r w:rsidRPr="00032DA6">
        <w:rPr>
          <w:lang w:val="en-GB"/>
        </w:rPr>
        <w:t xml:space="preserve">Constructing the </w:t>
      </w:r>
      <w:r w:rsidR="0004187E" w:rsidRPr="00032DA6">
        <w:rPr>
          <w:lang w:val="en-GB"/>
        </w:rPr>
        <w:t xml:space="preserve">Egyptian </w:t>
      </w:r>
      <w:r w:rsidRPr="00032DA6">
        <w:rPr>
          <w:lang w:val="en-GB"/>
        </w:rPr>
        <w:t xml:space="preserve">Housing Price Index </w:t>
      </w:r>
      <w:r w:rsidR="0004187E" w:rsidRPr="00032DA6">
        <w:rPr>
          <w:lang w:val="en-GB"/>
        </w:rPr>
        <w:t>(EHPI)</w:t>
      </w:r>
      <w:bookmarkEnd w:id="56"/>
    </w:p>
    <w:p w14:paraId="27B09B1B" w14:textId="218573FB" w:rsidR="00711B16" w:rsidRPr="00122E73" w:rsidRDefault="00686C49" w:rsidP="00122E73">
      <w:pPr>
        <w:tabs>
          <w:tab w:val="left" w:pos="90"/>
        </w:tabs>
        <w:autoSpaceDE w:val="0"/>
        <w:autoSpaceDN w:val="0"/>
        <w:adjustRightInd w:val="0"/>
        <w:spacing w:after="0" w:line="276" w:lineRule="auto"/>
        <w:jc w:val="both"/>
        <w:rPr>
          <w:rFonts w:cstheme="majorBidi"/>
          <w:color w:val="FF0000"/>
          <w:lang w:val="en-GB"/>
        </w:rPr>
      </w:pPr>
      <w:r>
        <w:rPr>
          <w:rFonts w:eastAsia="Times New Roman" w:cstheme="majorBidi"/>
          <w:lang w:val="en-GB"/>
        </w:rPr>
        <w:tab/>
      </w:r>
      <w:r w:rsidR="54D93090" w:rsidRPr="004577BD">
        <w:rPr>
          <w:rFonts w:eastAsia="Times New Roman" w:cstheme="majorBidi"/>
          <w:lang w:val="en-GB"/>
        </w:rPr>
        <w:t>The process of constructing the</w:t>
      </w:r>
      <w:r w:rsidR="54D93090" w:rsidRPr="004577BD">
        <w:rPr>
          <w:rFonts w:cstheme="majorBidi"/>
          <w:lang w:val="en-GB"/>
        </w:rPr>
        <w:t xml:space="preserve"> Egyptian Housing Price Index (EHPI)</w:t>
      </w:r>
      <w:r w:rsidR="54D93090" w:rsidRPr="004577BD">
        <w:rPr>
          <w:rFonts w:eastAsia="Times New Roman" w:cstheme="majorBidi"/>
          <w:lang w:val="en-GB"/>
        </w:rPr>
        <w:t xml:space="preserve"> </w:t>
      </w:r>
      <w:r w:rsidR="00A94713" w:rsidRPr="004577BD">
        <w:rPr>
          <w:rFonts w:eastAsia="Times New Roman" w:cstheme="majorBidi"/>
          <w:lang w:val="en-GB"/>
        </w:rPr>
        <w:t>begins</w:t>
      </w:r>
      <w:r w:rsidR="00EF5E8F" w:rsidRPr="004577BD">
        <w:rPr>
          <w:rFonts w:eastAsia="Times New Roman" w:cstheme="majorBidi"/>
          <w:lang w:val="en-GB"/>
        </w:rPr>
        <w:t xml:space="preserve"> with</w:t>
      </w:r>
      <w:r w:rsidR="54D93090" w:rsidRPr="004577BD">
        <w:rPr>
          <w:rFonts w:eastAsia="Times New Roman" w:cstheme="majorBidi"/>
          <w:lang w:val="en-GB"/>
        </w:rPr>
        <w:t xml:space="preserve"> identifying the </w:t>
      </w:r>
      <w:r w:rsidR="2F27DFA8" w:rsidRPr="004577BD">
        <w:rPr>
          <w:rFonts w:eastAsia="Times New Roman" w:cstheme="majorBidi"/>
          <w:lang w:val="en-GB"/>
        </w:rPr>
        <w:t>components</w:t>
      </w:r>
      <w:r w:rsidR="54D93090" w:rsidRPr="004577BD">
        <w:rPr>
          <w:rFonts w:eastAsia="Times New Roman" w:cstheme="majorBidi"/>
          <w:lang w:val="en-GB"/>
        </w:rPr>
        <w:t xml:space="preserve"> of the model</w:t>
      </w:r>
      <w:r w:rsidR="004523EA" w:rsidRPr="004577BD">
        <w:rPr>
          <w:rFonts w:eastAsia="Times New Roman" w:cstheme="majorBidi"/>
          <w:lang w:val="en-GB"/>
        </w:rPr>
        <w:t xml:space="preserve">. The main components </w:t>
      </w:r>
      <w:r w:rsidR="00DE191B" w:rsidRPr="004577BD">
        <w:rPr>
          <w:rFonts w:eastAsia="Times New Roman" w:cstheme="majorBidi"/>
          <w:lang w:val="en-GB"/>
        </w:rPr>
        <w:t>are</w:t>
      </w:r>
      <w:r w:rsidR="004523EA" w:rsidRPr="004577BD">
        <w:rPr>
          <w:rFonts w:eastAsia="Times New Roman" w:cstheme="majorBidi"/>
          <w:lang w:val="en-GB"/>
        </w:rPr>
        <w:t xml:space="preserve"> </w:t>
      </w:r>
      <w:r w:rsidR="00DE191B" w:rsidRPr="004577BD">
        <w:rPr>
          <w:rFonts w:eastAsia="Times New Roman" w:cstheme="majorBidi"/>
          <w:lang w:val="en-GB"/>
        </w:rPr>
        <w:t>t</w:t>
      </w:r>
      <w:r w:rsidR="004523EA" w:rsidRPr="004577BD">
        <w:rPr>
          <w:rFonts w:cstheme="majorBidi"/>
          <w:lang w:val="en-GB"/>
        </w:rPr>
        <w:t>he</w:t>
      </w:r>
      <w:r w:rsidR="44DE1988" w:rsidRPr="004577BD">
        <w:rPr>
          <w:rFonts w:cstheme="majorBidi"/>
          <w:lang w:val="en-GB"/>
        </w:rPr>
        <w:t xml:space="preserve"> average price per square meter for</w:t>
      </w:r>
      <w:r w:rsidR="00DE191B" w:rsidRPr="004577BD">
        <w:rPr>
          <w:rFonts w:cstheme="majorBidi"/>
          <w:lang w:val="en-GB"/>
        </w:rPr>
        <w:t xml:space="preserve"> an</w:t>
      </w:r>
      <w:r w:rsidR="44DE1988" w:rsidRPr="004577BD">
        <w:rPr>
          <w:rFonts w:cstheme="majorBidi"/>
          <w:lang w:val="en-GB"/>
        </w:rPr>
        <w:t xml:space="preserve"> apartment in a compound (P1)</w:t>
      </w:r>
      <w:r w:rsidR="004523EA" w:rsidRPr="004577BD">
        <w:rPr>
          <w:rFonts w:cstheme="majorBidi"/>
          <w:lang w:val="en-GB"/>
        </w:rPr>
        <w:t xml:space="preserve"> and t</w:t>
      </w:r>
      <w:r w:rsidR="44DE1988" w:rsidRPr="004577BD">
        <w:rPr>
          <w:rFonts w:cstheme="majorBidi"/>
          <w:lang w:val="en-GB"/>
        </w:rPr>
        <w:t xml:space="preserve">he average price per square meter for </w:t>
      </w:r>
      <w:r w:rsidR="00DE191B" w:rsidRPr="004577BD">
        <w:rPr>
          <w:rFonts w:cstheme="majorBidi"/>
          <w:lang w:val="en-GB"/>
        </w:rPr>
        <w:t xml:space="preserve">an </w:t>
      </w:r>
      <w:r w:rsidR="44DE1988" w:rsidRPr="004577BD">
        <w:rPr>
          <w:rFonts w:cstheme="majorBidi"/>
          <w:lang w:val="en-GB"/>
        </w:rPr>
        <w:t xml:space="preserve">apartment outside </w:t>
      </w:r>
      <w:r w:rsidR="00DE191B" w:rsidRPr="004577BD">
        <w:rPr>
          <w:rFonts w:cstheme="majorBidi"/>
          <w:lang w:val="en-GB"/>
        </w:rPr>
        <w:t xml:space="preserve">a </w:t>
      </w:r>
      <w:r w:rsidR="44DE1988" w:rsidRPr="004577BD">
        <w:rPr>
          <w:rFonts w:cstheme="majorBidi"/>
          <w:lang w:val="en-GB"/>
        </w:rPr>
        <w:t>compound (P2).</w:t>
      </w:r>
      <w:r w:rsidR="00394F68" w:rsidRPr="004577BD">
        <w:rPr>
          <w:rFonts w:cstheme="majorBidi"/>
          <w:lang w:val="en-GB"/>
        </w:rPr>
        <w:t xml:space="preserve"> Since it is </w:t>
      </w:r>
      <w:r w:rsidR="00DE191B" w:rsidRPr="004577BD">
        <w:rPr>
          <w:rFonts w:cstheme="majorBidi"/>
          <w:lang w:val="en-GB"/>
        </w:rPr>
        <w:t>well-</w:t>
      </w:r>
      <w:r w:rsidR="00394F68" w:rsidRPr="004577BD">
        <w:rPr>
          <w:rFonts w:cstheme="majorBidi"/>
          <w:lang w:val="en-GB"/>
        </w:rPr>
        <w:t xml:space="preserve">established that today’s prices are a function of </w:t>
      </w:r>
      <w:r w:rsidR="00A57A6E" w:rsidRPr="004577BD">
        <w:rPr>
          <w:rFonts w:cstheme="majorBidi"/>
          <w:lang w:val="en-GB"/>
        </w:rPr>
        <w:t>historical prices as well as expect</w:t>
      </w:r>
      <w:r w:rsidR="00206043" w:rsidRPr="004577BD">
        <w:rPr>
          <w:rFonts w:cstheme="majorBidi"/>
          <w:lang w:val="en-GB"/>
        </w:rPr>
        <w:t xml:space="preserve">ed future prices, we include </w:t>
      </w:r>
      <w:r w:rsidR="00D2471C" w:rsidRPr="004577BD">
        <w:rPr>
          <w:rFonts w:cstheme="majorBidi"/>
          <w:lang w:val="en-GB"/>
        </w:rPr>
        <w:t>t</w:t>
      </w:r>
      <w:r w:rsidR="00206043" w:rsidRPr="004577BD">
        <w:rPr>
          <w:rFonts w:cstheme="majorBidi"/>
          <w:lang w:val="en-GB"/>
        </w:rPr>
        <w:t>he</w:t>
      </w:r>
      <w:r w:rsidR="00A8526C" w:rsidRPr="004577BD">
        <w:rPr>
          <w:rFonts w:cstheme="majorBidi"/>
          <w:lang w:val="en-GB"/>
        </w:rPr>
        <w:t xml:space="preserve"> following as components of our index:</w:t>
      </w:r>
      <w:r w:rsidR="00206043" w:rsidRPr="004577BD">
        <w:rPr>
          <w:rFonts w:cstheme="majorBidi"/>
          <w:lang w:val="en-GB"/>
        </w:rPr>
        <w:t xml:space="preserve"> change of the price compared </w:t>
      </w:r>
      <w:r w:rsidR="00DE191B" w:rsidRPr="004577BD">
        <w:rPr>
          <w:rFonts w:cstheme="majorBidi"/>
          <w:lang w:val="en-GB"/>
        </w:rPr>
        <w:t>to</w:t>
      </w:r>
      <w:r w:rsidR="00206043" w:rsidRPr="004577BD">
        <w:rPr>
          <w:rFonts w:cstheme="majorBidi"/>
          <w:lang w:val="en-GB"/>
        </w:rPr>
        <w:t xml:space="preserve"> 2016 (P3)</w:t>
      </w:r>
      <w:r w:rsidR="00A8526C" w:rsidRPr="004577BD">
        <w:rPr>
          <w:rFonts w:cstheme="majorBidi"/>
          <w:lang w:val="en-GB"/>
        </w:rPr>
        <w:t>, t</w:t>
      </w:r>
      <w:r w:rsidR="00206043" w:rsidRPr="004577BD">
        <w:rPr>
          <w:rFonts w:cstheme="majorBidi"/>
          <w:lang w:val="en-GB"/>
        </w:rPr>
        <w:t xml:space="preserve">he change of the price compared </w:t>
      </w:r>
      <w:r w:rsidR="00DE191B" w:rsidRPr="004577BD">
        <w:rPr>
          <w:rFonts w:cstheme="majorBidi"/>
          <w:lang w:val="en-GB"/>
        </w:rPr>
        <w:t>to</w:t>
      </w:r>
      <w:r w:rsidR="00206043" w:rsidRPr="004577BD">
        <w:rPr>
          <w:rFonts w:cstheme="majorBidi"/>
          <w:lang w:val="en-GB"/>
        </w:rPr>
        <w:t xml:space="preserve"> 2019 (P4</w:t>
      </w:r>
      <w:r w:rsidR="00A8526C" w:rsidRPr="004577BD">
        <w:rPr>
          <w:rFonts w:cstheme="majorBidi"/>
          <w:lang w:val="en-GB"/>
        </w:rPr>
        <w:t>), t</w:t>
      </w:r>
      <w:r w:rsidR="00206043" w:rsidRPr="004577BD">
        <w:rPr>
          <w:rFonts w:cstheme="majorBidi"/>
          <w:lang w:val="en-GB"/>
        </w:rPr>
        <w:t>he forecast</w:t>
      </w:r>
      <w:r w:rsidR="00D17C6D" w:rsidRPr="004577BD">
        <w:rPr>
          <w:rFonts w:cstheme="majorBidi"/>
          <w:lang w:val="en-GB"/>
        </w:rPr>
        <w:t>ed</w:t>
      </w:r>
      <w:r w:rsidR="00206043" w:rsidRPr="004577BD">
        <w:rPr>
          <w:rFonts w:cstheme="majorBidi"/>
          <w:lang w:val="en-GB"/>
        </w:rPr>
        <w:t xml:space="preserve"> price for 2022 compared </w:t>
      </w:r>
      <w:r w:rsidR="00DE191B" w:rsidRPr="004577BD">
        <w:rPr>
          <w:rFonts w:cstheme="majorBidi"/>
          <w:lang w:val="en-GB"/>
        </w:rPr>
        <w:t>to</w:t>
      </w:r>
      <w:r w:rsidR="00206043" w:rsidRPr="004577BD">
        <w:rPr>
          <w:rFonts w:cstheme="majorBidi"/>
          <w:lang w:val="en-GB"/>
        </w:rPr>
        <w:t xml:space="preserve"> 2021 (P</w:t>
      </w:r>
      <w:r w:rsidR="00A8526C" w:rsidRPr="004577BD">
        <w:rPr>
          <w:rFonts w:cstheme="majorBidi"/>
          <w:lang w:val="en-GB"/>
        </w:rPr>
        <w:t>5) and t</w:t>
      </w:r>
      <w:r w:rsidR="00206043" w:rsidRPr="004577BD">
        <w:rPr>
          <w:rFonts w:cstheme="majorBidi"/>
          <w:lang w:val="en-GB"/>
        </w:rPr>
        <w:t>he forecast</w:t>
      </w:r>
      <w:r w:rsidR="00D17C6D" w:rsidRPr="004577BD">
        <w:rPr>
          <w:rFonts w:cstheme="majorBidi"/>
          <w:lang w:val="en-GB"/>
        </w:rPr>
        <w:t>ed</w:t>
      </w:r>
      <w:r w:rsidR="00206043" w:rsidRPr="004577BD">
        <w:rPr>
          <w:rFonts w:cstheme="majorBidi"/>
          <w:lang w:val="en-GB"/>
        </w:rPr>
        <w:t xml:space="preserve"> price for 2023 compared </w:t>
      </w:r>
      <w:r w:rsidR="00DE191B" w:rsidRPr="004577BD">
        <w:rPr>
          <w:rFonts w:cstheme="majorBidi"/>
          <w:lang w:val="en-GB"/>
        </w:rPr>
        <w:t>to</w:t>
      </w:r>
      <w:r w:rsidR="00206043" w:rsidRPr="004577BD">
        <w:rPr>
          <w:rFonts w:cstheme="majorBidi"/>
          <w:lang w:val="en-GB"/>
        </w:rPr>
        <w:t xml:space="preserve"> 2021 (P6</w:t>
      </w:r>
      <w:r w:rsidR="00A8526C" w:rsidRPr="004577BD">
        <w:rPr>
          <w:rFonts w:cstheme="majorBidi"/>
          <w:lang w:val="en-GB"/>
        </w:rPr>
        <w:t xml:space="preserve">). </w:t>
      </w:r>
      <w:r w:rsidR="00E21242" w:rsidRPr="004577BD">
        <w:rPr>
          <w:rFonts w:cstheme="majorBidi"/>
          <w:lang w:val="en-GB"/>
        </w:rPr>
        <w:t>Primarily,</w:t>
      </w:r>
      <w:r w:rsidR="00BE4BC4" w:rsidRPr="004577BD">
        <w:rPr>
          <w:rFonts w:cstheme="majorBidi"/>
          <w:lang w:val="en-GB"/>
        </w:rPr>
        <w:t xml:space="preserve"> </w:t>
      </w:r>
      <w:r w:rsidR="00E21242" w:rsidRPr="004577BD">
        <w:rPr>
          <w:rFonts w:cstheme="majorBidi"/>
          <w:lang w:val="en-GB"/>
        </w:rPr>
        <w:t>a</w:t>
      </w:r>
      <w:r w:rsidR="00BE4BC4" w:rsidRPr="004577BD">
        <w:rPr>
          <w:rFonts w:cstheme="majorBidi"/>
          <w:lang w:val="en-GB"/>
        </w:rPr>
        <w:t xml:space="preserve"> correlation </w:t>
      </w:r>
      <w:r w:rsidR="0049746A" w:rsidRPr="004577BD">
        <w:rPr>
          <w:rFonts w:cstheme="majorBidi"/>
          <w:lang w:val="en-GB"/>
        </w:rPr>
        <w:t>matrix using</w:t>
      </w:r>
      <w:r w:rsidR="001B75E8" w:rsidRPr="004577BD">
        <w:rPr>
          <w:rFonts w:cstheme="majorBidi"/>
          <w:lang w:val="en-GB"/>
        </w:rPr>
        <w:t xml:space="preserve"> Pearson Correlation test </w:t>
      </w:r>
      <w:r w:rsidR="00BE4BC4" w:rsidRPr="004577BD">
        <w:rPr>
          <w:rFonts w:cstheme="majorBidi"/>
          <w:lang w:val="en-GB"/>
        </w:rPr>
        <w:t xml:space="preserve">was constructed to check the significance of the </w:t>
      </w:r>
      <w:r w:rsidR="003A6CA6" w:rsidRPr="004577BD">
        <w:rPr>
          <w:rFonts w:cstheme="majorBidi"/>
          <w:lang w:val="en-GB"/>
        </w:rPr>
        <w:t>index components</w:t>
      </w:r>
      <w:r w:rsidR="00E21242" w:rsidRPr="004577BD">
        <w:rPr>
          <w:rFonts w:cstheme="majorBidi"/>
          <w:lang w:val="en-GB"/>
        </w:rPr>
        <w:t xml:space="preserve"> (table </w:t>
      </w:r>
      <w:r w:rsidR="00AA1337" w:rsidRPr="004577BD">
        <w:rPr>
          <w:rFonts w:cstheme="majorBidi"/>
          <w:lang w:val="en-GB"/>
        </w:rPr>
        <w:t>14</w:t>
      </w:r>
      <w:r w:rsidR="00E21242" w:rsidRPr="004577BD">
        <w:rPr>
          <w:rFonts w:cstheme="majorBidi"/>
          <w:lang w:val="en-GB"/>
        </w:rPr>
        <w:t>)</w:t>
      </w:r>
      <w:r w:rsidR="003A6CA6" w:rsidRPr="004577BD">
        <w:rPr>
          <w:rFonts w:cstheme="majorBidi"/>
          <w:lang w:val="en-GB"/>
        </w:rPr>
        <w:t xml:space="preserve">. </w:t>
      </w:r>
      <w:r w:rsidR="00C36C9B" w:rsidRPr="004577BD">
        <w:rPr>
          <w:rFonts w:cstheme="majorBidi"/>
          <w:lang w:val="en-GB"/>
        </w:rPr>
        <w:t xml:space="preserve">We </w:t>
      </w:r>
      <w:r w:rsidR="00E21242" w:rsidRPr="004577BD">
        <w:rPr>
          <w:rFonts w:cstheme="majorBidi"/>
          <w:lang w:val="en-GB"/>
        </w:rPr>
        <w:t>checked for</w:t>
      </w:r>
      <w:r w:rsidR="00C36C9B" w:rsidRPr="004577BD">
        <w:rPr>
          <w:rFonts w:cstheme="majorBidi"/>
          <w:lang w:val="en-GB"/>
        </w:rPr>
        <w:t xml:space="preserve"> missing data and outliers to ensure </w:t>
      </w:r>
      <w:r w:rsidR="00DE191B" w:rsidRPr="004577BD">
        <w:rPr>
          <w:rFonts w:cstheme="majorBidi"/>
          <w:lang w:val="en-GB"/>
        </w:rPr>
        <w:t>date reliability</w:t>
      </w:r>
      <w:r w:rsidR="00C36C9B" w:rsidRPr="004577BD">
        <w:rPr>
          <w:rFonts w:cstheme="majorBidi"/>
          <w:lang w:val="en-GB"/>
        </w:rPr>
        <w:t xml:space="preserve">. Missing values were estimated using </w:t>
      </w:r>
      <w:r w:rsidR="00DE191B" w:rsidRPr="004577BD">
        <w:rPr>
          <w:rFonts w:cstheme="majorBidi"/>
          <w:lang w:val="en-GB"/>
        </w:rPr>
        <w:t xml:space="preserve">the </w:t>
      </w:r>
      <w:r w:rsidR="00C36C9B" w:rsidRPr="004577BD">
        <w:rPr>
          <w:rFonts w:cstheme="majorBidi"/>
          <w:lang w:val="en-GB"/>
        </w:rPr>
        <w:t xml:space="preserve">Single Imputation Method </w:t>
      </w:r>
      <w:r w:rsidR="00C36C9B" w:rsidRPr="053B9F3F">
        <w:rPr>
          <w:rFonts w:cstheme="majorBidi"/>
          <w:lang w:val="en-GB"/>
        </w:rPr>
        <w:t>(</w:t>
      </w:r>
      <w:r w:rsidR="2C93A35D" w:rsidRPr="053B9F3F">
        <w:rPr>
          <w:rFonts w:cstheme="majorBidi"/>
          <w:lang w:val="en-GB"/>
        </w:rPr>
        <w:t>Zhang, 2016).</w:t>
      </w:r>
    </w:p>
    <w:p w14:paraId="36737727" w14:textId="6CCBCE86" w:rsidR="00A82676" w:rsidRPr="00122E73" w:rsidRDefault="00711B16" w:rsidP="00DE108C">
      <w:pPr>
        <w:tabs>
          <w:tab w:val="left" w:pos="90"/>
        </w:tabs>
        <w:autoSpaceDE w:val="0"/>
        <w:autoSpaceDN w:val="0"/>
        <w:adjustRightInd w:val="0"/>
        <w:spacing w:after="0" w:line="276" w:lineRule="auto"/>
        <w:ind w:left="90"/>
        <w:jc w:val="both"/>
        <w:rPr>
          <w:rFonts w:eastAsiaTheme="majorEastAsia" w:cstheme="majorBidi"/>
          <w:b/>
          <w:bCs/>
          <w:lang w:val="en-GB"/>
        </w:rPr>
      </w:pPr>
      <w:r w:rsidRPr="006542C4">
        <w:rPr>
          <w:rFonts w:eastAsiaTheme="majorEastAsia" w:cstheme="majorBidi"/>
          <w:b/>
          <w:bCs/>
          <w:lang w:val="en-GB"/>
        </w:rPr>
        <w:t xml:space="preserve">Table </w:t>
      </w:r>
      <w:r w:rsidR="003A6CA6" w:rsidRPr="006542C4">
        <w:rPr>
          <w:rFonts w:eastAsiaTheme="majorEastAsia" w:cstheme="majorBidi"/>
          <w:b/>
          <w:bCs/>
          <w:lang w:val="en-GB" w:bidi="ar-EG"/>
        </w:rPr>
        <w:t>(</w:t>
      </w:r>
      <w:r w:rsidR="00AA1337" w:rsidRPr="006542C4">
        <w:rPr>
          <w:rFonts w:eastAsiaTheme="majorEastAsia" w:cstheme="majorBidi"/>
          <w:b/>
          <w:bCs/>
          <w:lang w:val="en-GB" w:bidi="ar-EG"/>
        </w:rPr>
        <w:t>14</w:t>
      </w:r>
      <w:r w:rsidR="003A6CA6" w:rsidRPr="006542C4">
        <w:rPr>
          <w:rFonts w:eastAsiaTheme="majorEastAsia" w:cstheme="majorBidi"/>
          <w:b/>
          <w:bCs/>
          <w:lang w:val="en-GB" w:bidi="ar-EG"/>
        </w:rPr>
        <w:t>)</w:t>
      </w:r>
      <w:r w:rsidRPr="006542C4">
        <w:rPr>
          <w:rFonts w:eastAsiaTheme="majorEastAsia" w:cstheme="majorBidi"/>
          <w:b/>
          <w:bCs/>
          <w:lang w:val="en-GB"/>
        </w:rPr>
        <w:t xml:space="preserve">: </w:t>
      </w:r>
      <w:r w:rsidR="00A82676" w:rsidRPr="006542C4">
        <w:rPr>
          <w:rFonts w:eastAsiaTheme="majorEastAsia" w:cstheme="majorBidi"/>
          <w:b/>
          <w:bCs/>
          <w:lang w:val="en-GB"/>
        </w:rPr>
        <w:t xml:space="preserve">Correlation </w:t>
      </w:r>
      <w:r w:rsidR="001F1D8D" w:rsidRPr="006542C4">
        <w:rPr>
          <w:rFonts w:eastAsiaTheme="majorEastAsia" w:cstheme="majorBidi"/>
          <w:b/>
          <w:bCs/>
          <w:lang w:val="en-GB"/>
        </w:rPr>
        <w:t xml:space="preserve">Matrix: </w:t>
      </w:r>
      <w:r w:rsidR="00A82676" w:rsidRPr="006542C4">
        <w:rPr>
          <w:rFonts w:eastAsiaTheme="majorEastAsia" w:cstheme="majorBidi"/>
          <w:b/>
          <w:bCs/>
          <w:lang w:val="en-GB"/>
        </w:rPr>
        <w:t>Current Prices</w:t>
      </w:r>
      <w:r w:rsidR="00D17C6D" w:rsidRPr="006542C4">
        <w:rPr>
          <w:rFonts w:eastAsiaTheme="majorEastAsia" w:cstheme="majorBidi"/>
          <w:b/>
          <w:bCs/>
          <w:lang w:val="en-GB"/>
        </w:rPr>
        <w:t>, Previous Prices, and Future Price Expectations</w:t>
      </w:r>
    </w:p>
    <w:tbl>
      <w:tblPr>
        <w:tblStyle w:val="PlainTable1"/>
        <w:tblpPr w:leftFromText="180" w:rightFromText="180" w:vertAnchor="text" w:horzAnchor="margin" w:tblpY="19"/>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2357"/>
        <w:gridCol w:w="1450"/>
        <w:gridCol w:w="2538"/>
      </w:tblGrid>
      <w:tr w:rsidR="0077160E" w:rsidRPr="00122E73" w14:paraId="05A55027" w14:textId="77777777" w:rsidTr="0077160E">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2896" w:type="dxa"/>
            <w:shd w:val="clear" w:color="auto" w:fill="BFBFBF" w:themeFill="background1" w:themeFillShade="BF"/>
            <w:vAlign w:val="center"/>
          </w:tcPr>
          <w:p w14:paraId="0E96B5D6" w14:textId="77777777" w:rsidR="0077160E" w:rsidRPr="00122E73" w:rsidRDefault="0077160E" w:rsidP="0077160E">
            <w:pPr>
              <w:autoSpaceDE w:val="0"/>
              <w:autoSpaceDN w:val="0"/>
              <w:adjustRightInd w:val="0"/>
              <w:spacing w:line="276" w:lineRule="auto"/>
              <w:jc w:val="both"/>
              <w:rPr>
                <w:rFonts w:cstheme="majorBidi"/>
                <w:b/>
                <w:bCs/>
                <w:lang w:val="en-GB"/>
              </w:rPr>
            </w:pPr>
          </w:p>
        </w:tc>
        <w:tc>
          <w:tcPr>
            <w:tcW w:w="2357" w:type="dxa"/>
            <w:shd w:val="clear" w:color="auto" w:fill="BFBFBF" w:themeFill="background1" w:themeFillShade="BF"/>
            <w:vAlign w:val="center"/>
          </w:tcPr>
          <w:p w14:paraId="46CA8252" w14:textId="77777777" w:rsidR="0077160E" w:rsidRPr="00122E73" w:rsidRDefault="0077160E" w:rsidP="0077160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theme="majorBidi"/>
                <w:b/>
                <w:bCs/>
                <w:lang w:val="en-GB"/>
              </w:rPr>
            </w:pPr>
            <w:r w:rsidRPr="00122E73">
              <w:rPr>
                <w:rFonts w:cstheme="majorBidi"/>
                <w:b/>
                <w:bCs/>
                <w:color w:val="000000"/>
                <w:lang w:val="en-GB"/>
              </w:rPr>
              <w:t>Pearson Correlation</w:t>
            </w:r>
          </w:p>
        </w:tc>
        <w:tc>
          <w:tcPr>
            <w:cnfStyle w:val="000010000000" w:firstRow="0" w:lastRow="0" w:firstColumn="0" w:lastColumn="0" w:oddVBand="1" w:evenVBand="0" w:oddHBand="0" w:evenHBand="0" w:firstRowFirstColumn="0" w:firstRowLastColumn="0" w:lastRowFirstColumn="0" w:lastRowLastColumn="0"/>
            <w:tcW w:w="1450" w:type="dxa"/>
            <w:shd w:val="clear" w:color="auto" w:fill="BFBFBF" w:themeFill="background1" w:themeFillShade="BF"/>
            <w:vAlign w:val="center"/>
          </w:tcPr>
          <w:p w14:paraId="61F66ABD" w14:textId="3339FE8C" w:rsidR="0077160E" w:rsidRPr="00122E73" w:rsidRDefault="0077160E" w:rsidP="0077160E">
            <w:pPr>
              <w:autoSpaceDE w:val="0"/>
              <w:autoSpaceDN w:val="0"/>
              <w:adjustRightInd w:val="0"/>
              <w:spacing w:line="276" w:lineRule="auto"/>
              <w:ind w:left="60" w:right="60"/>
              <w:jc w:val="center"/>
              <w:rPr>
                <w:rFonts w:cstheme="majorBidi"/>
                <w:b/>
                <w:bCs/>
                <w:color w:val="000000" w:themeColor="text1"/>
                <w:lang w:val="en-GB"/>
              </w:rPr>
            </w:pPr>
            <w:r w:rsidRPr="00122E73">
              <w:rPr>
                <w:rFonts w:cstheme="majorBidi"/>
                <w:b/>
                <w:bCs/>
                <w:color w:val="000000" w:themeColor="text1"/>
                <w:lang w:val="en-GB"/>
              </w:rPr>
              <w:t>P1</w:t>
            </w:r>
            <w:r w:rsidR="001F1D8D">
              <w:rPr>
                <w:rFonts w:cstheme="majorBidi"/>
                <w:b/>
                <w:bCs/>
                <w:color w:val="000000" w:themeColor="text1"/>
                <w:lang w:val="en-GB"/>
              </w:rPr>
              <w:t>*</w:t>
            </w:r>
          </w:p>
        </w:tc>
        <w:tc>
          <w:tcPr>
            <w:tcW w:w="2538" w:type="dxa"/>
            <w:shd w:val="clear" w:color="auto" w:fill="BFBFBF" w:themeFill="background1" w:themeFillShade="BF"/>
            <w:vAlign w:val="center"/>
          </w:tcPr>
          <w:p w14:paraId="4569C487" w14:textId="77777777" w:rsidR="0077160E" w:rsidRPr="00122E73" w:rsidRDefault="0077160E" w:rsidP="0077160E">
            <w:pPr>
              <w:autoSpaceDE w:val="0"/>
              <w:autoSpaceDN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cstheme="majorBidi"/>
                <w:lang w:val="en-GB"/>
              </w:rPr>
            </w:pPr>
            <w:r w:rsidRPr="00122E73">
              <w:rPr>
                <w:rFonts w:cstheme="majorBidi"/>
                <w:b/>
                <w:bCs/>
                <w:color w:val="000000" w:themeColor="text1"/>
                <w:lang w:val="en-GB"/>
              </w:rPr>
              <w:t>P2</w:t>
            </w:r>
            <w:r w:rsidRPr="00122E73">
              <w:rPr>
                <w:rFonts w:cstheme="majorBidi"/>
                <w:lang w:val="en-GB"/>
              </w:rPr>
              <w:t>**</w:t>
            </w:r>
          </w:p>
        </w:tc>
      </w:tr>
      <w:tr w:rsidR="0077160E" w:rsidRPr="00122E73" w14:paraId="5341C028" w14:textId="77777777" w:rsidTr="0077160E">
        <w:trPr>
          <w:trHeight w:val="267"/>
        </w:trPr>
        <w:tc>
          <w:tcPr>
            <w:cnfStyle w:val="000010000000" w:firstRow="0" w:lastRow="0" w:firstColumn="0" w:lastColumn="0" w:oddVBand="1" w:evenVBand="0" w:oddHBand="0" w:evenHBand="0" w:firstRowFirstColumn="0" w:firstRowLastColumn="0" w:lastRowFirstColumn="0" w:lastRowLastColumn="0"/>
            <w:tcW w:w="2896" w:type="dxa"/>
            <w:vMerge w:val="restart"/>
            <w:shd w:val="clear" w:color="auto" w:fill="BFBFBF" w:themeFill="background1" w:themeFillShade="BF"/>
          </w:tcPr>
          <w:p w14:paraId="3200AB3B" w14:textId="77777777" w:rsidR="0077160E" w:rsidRPr="00122E73" w:rsidRDefault="0077160E" w:rsidP="0077160E">
            <w:pPr>
              <w:pStyle w:val="ListParagraph"/>
              <w:numPr>
                <w:ilvl w:val="0"/>
                <w:numId w:val="30"/>
              </w:numPr>
              <w:tabs>
                <w:tab w:val="left" w:pos="90"/>
              </w:tabs>
              <w:autoSpaceDE w:val="0"/>
              <w:autoSpaceDN w:val="0"/>
              <w:adjustRightInd w:val="0"/>
              <w:spacing w:line="276" w:lineRule="auto"/>
              <w:rPr>
                <w:rFonts w:cstheme="majorBidi"/>
                <w:b/>
                <w:bCs/>
                <w:lang w:val="en-GB"/>
              </w:rPr>
            </w:pPr>
            <w:r w:rsidRPr="00122E73">
              <w:rPr>
                <w:rFonts w:cstheme="majorBidi"/>
                <w:b/>
                <w:bCs/>
                <w:lang w:val="en-GB"/>
              </w:rPr>
              <w:t>The Change of the Price Compared to 2016 (P3)</w:t>
            </w:r>
          </w:p>
        </w:tc>
        <w:tc>
          <w:tcPr>
            <w:tcW w:w="2357" w:type="dxa"/>
          </w:tcPr>
          <w:p w14:paraId="5EB5BFB6" w14:textId="77777777" w:rsidR="0077160E" w:rsidRPr="00122E73" w:rsidRDefault="0077160E" w:rsidP="0077160E">
            <w:pPr>
              <w:autoSpaceDE w:val="0"/>
              <w:autoSpaceDN w:val="0"/>
              <w:adjustRightInd w:val="0"/>
              <w:spacing w:line="276" w:lineRule="auto"/>
              <w:ind w:left="60" w:right="60"/>
              <w:cnfStyle w:val="000000000000" w:firstRow="0" w:lastRow="0" w:firstColumn="0" w:lastColumn="0" w:oddVBand="0" w:evenVBand="0" w:oddHBand="0" w:evenHBand="0" w:firstRowFirstColumn="0" w:firstRowLastColumn="0" w:lastRowFirstColumn="0" w:lastRowLastColumn="0"/>
              <w:rPr>
                <w:rFonts w:cstheme="majorBidi"/>
                <w:color w:val="000000"/>
                <w:lang w:val="en-GB"/>
              </w:rPr>
            </w:pPr>
            <w:r w:rsidRPr="00122E73">
              <w:rPr>
                <w:rFonts w:cstheme="majorBidi"/>
                <w:color w:val="000000"/>
                <w:lang w:val="en-GB"/>
              </w:rPr>
              <w:t>Pearson Correlation</w:t>
            </w:r>
          </w:p>
        </w:tc>
        <w:tc>
          <w:tcPr>
            <w:cnfStyle w:val="000010000000" w:firstRow="0" w:lastRow="0" w:firstColumn="0" w:lastColumn="0" w:oddVBand="1" w:evenVBand="0" w:oddHBand="0" w:evenHBand="0" w:firstRowFirstColumn="0" w:firstRowLastColumn="0" w:lastRowFirstColumn="0" w:lastRowLastColumn="0"/>
            <w:tcW w:w="1450" w:type="dxa"/>
          </w:tcPr>
          <w:p w14:paraId="7D889BAE" w14:textId="77777777" w:rsidR="0077160E" w:rsidRPr="00122E73" w:rsidRDefault="0077160E" w:rsidP="0077160E">
            <w:pPr>
              <w:autoSpaceDE w:val="0"/>
              <w:autoSpaceDN w:val="0"/>
              <w:adjustRightInd w:val="0"/>
              <w:spacing w:line="276" w:lineRule="auto"/>
              <w:ind w:left="60" w:right="60"/>
              <w:jc w:val="center"/>
              <w:rPr>
                <w:rFonts w:cstheme="majorBidi"/>
                <w:color w:val="000000"/>
                <w:lang w:val="en-GB"/>
              </w:rPr>
            </w:pPr>
            <w:r w:rsidRPr="00122E73">
              <w:rPr>
                <w:rFonts w:cstheme="majorBidi"/>
                <w:color w:val="000000"/>
                <w:lang w:val="en-GB"/>
              </w:rPr>
              <w:t>.377</w:t>
            </w:r>
            <w:r w:rsidRPr="00122E73">
              <w:rPr>
                <w:rFonts w:cstheme="majorBidi"/>
                <w:color w:val="000000"/>
                <w:vertAlign w:val="superscript"/>
                <w:lang w:val="en-GB"/>
              </w:rPr>
              <w:t>**</w:t>
            </w:r>
          </w:p>
        </w:tc>
        <w:tc>
          <w:tcPr>
            <w:tcW w:w="2538" w:type="dxa"/>
          </w:tcPr>
          <w:p w14:paraId="7CC957FF" w14:textId="77777777" w:rsidR="0077160E" w:rsidRPr="00122E73" w:rsidRDefault="0077160E" w:rsidP="0077160E">
            <w:pPr>
              <w:autoSpaceDE w:val="0"/>
              <w:autoSpaceDN w:val="0"/>
              <w:adjustRightInd w:val="0"/>
              <w:spacing w:line="276" w:lineRule="auto"/>
              <w:ind w:left="60" w:right="60"/>
              <w:jc w:val="center"/>
              <w:cnfStyle w:val="000000000000" w:firstRow="0" w:lastRow="0" w:firstColumn="0" w:lastColumn="0" w:oddVBand="0" w:evenVBand="0" w:oddHBand="0" w:evenHBand="0" w:firstRowFirstColumn="0" w:firstRowLastColumn="0" w:lastRowFirstColumn="0" w:lastRowLastColumn="0"/>
              <w:rPr>
                <w:rFonts w:cstheme="majorBidi"/>
                <w:color w:val="000000"/>
                <w:lang w:val="en-GB"/>
              </w:rPr>
            </w:pPr>
            <w:r w:rsidRPr="00122E73">
              <w:rPr>
                <w:rFonts w:cstheme="majorBidi"/>
                <w:color w:val="000000"/>
                <w:lang w:val="en-GB"/>
              </w:rPr>
              <w:t>.361</w:t>
            </w:r>
            <w:r w:rsidRPr="00122E73">
              <w:rPr>
                <w:rFonts w:cstheme="majorBidi"/>
                <w:color w:val="000000"/>
                <w:vertAlign w:val="superscript"/>
                <w:lang w:val="en-GB"/>
              </w:rPr>
              <w:t>**</w:t>
            </w:r>
          </w:p>
        </w:tc>
      </w:tr>
      <w:tr w:rsidR="0077160E" w:rsidRPr="00122E73" w14:paraId="46E2467F" w14:textId="77777777" w:rsidTr="0077160E">
        <w:trPr>
          <w:cnfStyle w:val="000000100000" w:firstRow="0" w:lastRow="0" w:firstColumn="0" w:lastColumn="0" w:oddVBand="0" w:evenVBand="0" w:oddHBand="1" w:evenHBand="0" w:firstRowFirstColumn="0" w:firstRowLastColumn="0" w:lastRowFirstColumn="0" w:lastRowLastColumn="0"/>
          <w:trHeight w:val="294"/>
        </w:trPr>
        <w:tc>
          <w:tcPr>
            <w:cnfStyle w:val="000010000000" w:firstRow="0" w:lastRow="0" w:firstColumn="0" w:lastColumn="0" w:oddVBand="1" w:evenVBand="0" w:oddHBand="0" w:evenHBand="0" w:firstRowFirstColumn="0" w:firstRowLastColumn="0" w:lastRowFirstColumn="0" w:lastRowLastColumn="0"/>
            <w:tcW w:w="2896" w:type="dxa"/>
            <w:vMerge/>
          </w:tcPr>
          <w:p w14:paraId="1C759560" w14:textId="77777777" w:rsidR="0077160E" w:rsidRPr="00122E73" w:rsidRDefault="0077160E" w:rsidP="0077160E">
            <w:pPr>
              <w:pStyle w:val="ListParagraph"/>
              <w:numPr>
                <w:ilvl w:val="0"/>
                <w:numId w:val="30"/>
              </w:numPr>
              <w:autoSpaceDE w:val="0"/>
              <w:autoSpaceDN w:val="0"/>
              <w:bidi/>
              <w:adjustRightInd w:val="0"/>
              <w:spacing w:line="276" w:lineRule="auto"/>
              <w:jc w:val="right"/>
              <w:rPr>
                <w:rFonts w:cstheme="majorBidi"/>
                <w:b/>
                <w:bCs/>
                <w:lang w:val="en-GB"/>
              </w:rPr>
            </w:pPr>
          </w:p>
        </w:tc>
        <w:tc>
          <w:tcPr>
            <w:tcW w:w="2357" w:type="dxa"/>
          </w:tcPr>
          <w:p w14:paraId="65F04B5B" w14:textId="77777777" w:rsidR="0077160E" w:rsidRPr="00122E73" w:rsidRDefault="0077160E" w:rsidP="0077160E">
            <w:pPr>
              <w:autoSpaceDE w:val="0"/>
              <w:autoSpaceDN w:val="0"/>
              <w:adjustRightInd w:val="0"/>
              <w:spacing w:line="276" w:lineRule="auto"/>
              <w:ind w:left="60" w:right="60"/>
              <w:cnfStyle w:val="000000100000" w:firstRow="0" w:lastRow="0" w:firstColumn="0" w:lastColumn="0" w:oddVBand="0" w:evenVBand="0" w:oddHBand="1" w:evenHBand="0" w:firstRowFirstColumn="0" w:firstRowLastColumn="0" w:lastRowFirstColumn="0" w:lastRowLastColumn="0"/>
              <w:rPr>
                <w:rFonts w:cstheme="majorBidi"/>
                <w:color w:val="000000"/>
                <w:lang w:val="en-GB"/>
              </w:rPr>
            </w:pPr>
            <w:r w:rsidRPr="00122E73">
              <w:rPr>
                <w:rFonts w:cstheme="majorBidi"/>
                <w:color w:val="000000"/>
                <w:lang w:val="en-GB"/>
              </w:rPr>
              <w:t>Sig. (2-tailed)</w:t>
            </w:r>
          </w:p>
        </w:tc>
        <w:tc>
          <w:tcPr>
            <w:cnfStyle w:val="000010000000" w:firstRow="0" w:lastRow="0" w:firstColumn="0" w:lastColumn="0" w:oddVBand="1" w:evenVBand="0" w:oddHBand="0" w:evenHBand="0" w:firstRowFirstColumn="0" w:firstRowLastColumn="0" w:lastRowFirstColumn="0" w:lastRowLastColumn="0"/>
            <w:tcW w:w="1450" w:type="dxa"/>
          </w:tcPr>
          <w:p w14:paraId="4E87C6D6" w14:textId="77777777" w:rsidR="0077160E" w:rsidRPr="00122E73" w:rsidRDefault="0077160E" w:rsidP="0077160E">
            <w:pPr>
              <w:autoSpaceDE w:val="0"/>
              <w:autoSpaceDN w:val="0"/>
              <w:adjustRightInd w:val="0"/>
              <w:spacing w:line="276" w:lineRule="auto"/>
              <w:ind w:left="60" w:right="60"/>
              <w:jc w:val="center"/>
              <w:rPr>
                <w:rFonts w:cstheme="majorBidi"/>
                <w:color w:val="000000"/>
                <w:lang w:val="en-GB"/>
              </w:rPr>
            </w:pPr>
            <w:r w:rsidRPr="00122E73">
              <w:rPr>
                <w:rFonts w:cstheme="majorBidi"/>
                <w:color w:val="000000"/>
                <w:lang w:val="en-GB"/>
              </w:rPr>
              <w:t>.000</w:t>
            </w:r>
          </w:p>
        </w:tc>
        <w:tc>
          <w:tcPr>
            <w:tcW w:w="2538" w:type="dxa"/>
          </w:tcPr>
          <w:p w14:paraId="49E3E558" w14:textId="77777777" w:rsidR="0077160E" w:rsidRPr="00122E73" w:rsidRDefault="0077160E" w:rsidP="0077160E">
            <w:pPr>
              <w:autoSpaceDE w:val="0"/>
              <w:autoSpaceDN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cstheme="majorBidi"/>
                <w:color w:val="000000"/>
                <w:lang w:val="en-GB"/>
              </w:rPr>
            </w:pPr>
            <w:r w:rsidRPr="00122E73">
              <w:rPr>
                <w:rFonts w:cstheme="majorBidi"/>
                <w:color w:val="000000"/>
                <w:lang w:val="en-GB"/>
              </w:rPr>
              <w:t>.000</w:t>
            </w:r>
          </w:p>
        </w:tc>
      </w:tr>
      <w:tr w:rsidR="0077160E" w:rsidRPr="00122E73" w14:paraId="344599F0" w14:textId="77777777" w:rsidTr="0077160E">
        <w:trPr>
          <w:trHeight w:val="294"/>
        </w:trPr>
        <w:tc>
          <w:tcPr>
            <w:cnfStyle w:val="000010000000" w:firstRow="0" w:lastRow="0" w:firstColumn="0" w:lastColumn="0" w:oddVBand="1" w:evenVBand="0" w:oddHBand="0" w:evenHBand="0" w:firstRowFirstColumn="0" w:firstRowLastColumn="0" w:lastRowFirstColumn="0" w:lastRowLastColumn="0"/>
            <w:tcW w:w="2896" w:type="dxa"/>
            <w:vMerge/>
          </w:tcPr>
          <w:p w14:paraId="71B754B2" w14:textId="77777777" w:rsidR="0077160E" w:rsidRPr="00122E73" w:rsidRDefault="0077160E" w:rsidP="0077160E">
            <w:pPr>
              <w:pStyle w:val="ListParagraph"/>
              <w:numPr>
                <w:ilvl w:val="0"/>
                <w:numId w:val="30"/>
              </w:numPr>
              <w:autoSpaceDE w:val="0"/>
              <w:autoSpaceDN w:val="0"/>
              <w:bidi/>
              <w:adjustRightInd w:val="0"/>
              <w:spacing w:line="276" w:lineRule="auto"/>
              <w:jc w:val="right"/>
              <w:rPr>
                <w:rFonts w:cstheme="majorBidi"/>
                <w:b/>
                <w:bCs/>
                <w:lang w:val="en-GB"/>
              </w:rPr>
            </w:pPr>
          </w:p>
        </w:tc>
        <w:tc>
          <w:tcPr>
            <w:tcW w:w="2357" w:type="dxa"/>
          </w:tcPr>
          <w:p w14:paraId="21391359" w14:textId="77777777" w:rsidR="0077160E" w:rsidRPr="00122E73" w:rsidRDefault="0077160E" w:rsidP="0077160E">
            <w:pPr>
              <w:autoSpaceDE w:val="0"/>
              <w:autoSpaceDN w:val="0"/>
              <w:adjustRightInd w:val="0"/>
              <w:spacing w:line="276" w:lineRule="auto"/>
              <w:ind w:left="60" w:right="60"/>
              <w:cnfStyle w:val="000000000000" w:firstRow="0" w:lastRow="0" w:firstColumn="0" w:lastColumn="0" w:oddVBand="0" w:evenVBand="0" w:oddHBand="0" w:evenHBand="0" w:firstRowFirstColumn="0" w:firstRowLastColumn="0" w:lastRowFirstColumn="0" w:lastRowLastColumn="0"/>
              <w:rPr>
                <w:rFonts w:cstheme="majorBidi"/>
                <w:color w:val="000000"/>
                <w:lang w:val="en-GB"/>
              </w:rPr>
            </w:pPr>
            <w:r w:rsidRPr="00122E73">
              <w:rPr>
                <w:rFonts w:cstheme="majorBidi"/>
                <w:color w:val="000000"/>
                <w:lang w:val="en-GB"/>
              </w:rPr>
              <w:t>N</w:t>
            </w:r>
          </w:p>
        </w:tc>
        <w:tc>
          <w:tcPr>
            <w:cnfStyle w:val="000010000000" w:firstRow="0" w:lastRow="0" w:firstColumn="0" w:lastColumn="0" w:oddVBand="1" w:evenVBand="0" w:oddHBand="0" w:evenHBand="0" w:firstRowFirstColumn="0" w:firstRowLastColumn="0" w:lastRowFirstColumn="0" w:lastRowLastColumn="0"/>
            <w:tcW w:w="1450" w:type="dxa"/>
          </w:tcPr>
          <w:p w14:paraId="25A7F95A" w14:textId="77777777" w:rsidR="0077160E" w:rsidRPr="00122E73" w:rsidRDefault="0077160E" w:rsidP="0077160E">
            <w:pPr>
              <w:autoSpaceDE w:val="0"/>
              <w:autoSpaceDN w:val="0"/>
              <w:adjustRightInd w:val="0"/>
              <w:spacing w:line="276" w:lineRule="auto"/>
              <w:ind w:left="60" w:right="60"/>
              <w:jc w:val="center"/>
              <w:rPr>
                <w:rFonts w:cstheme="majorBidi"/>
                <w:color w:val="000000"/>
                <w:lang w:val="en-GB"/>
              </w:rPr>
            </w:pPr>
            <w:r w:rsidRPr="00122E73">
              <w:rPr>
                <w:rFonts w:cstheme="majorBidi"/>
                <w:color w:val="000000"/>
                <w:lang w:val="en-GB"/>
              </w:rPr>
              <w:t>412</w:t>
            </w:r>
          </w:p>
        </w:tc>
        <w:tc>
          <w:tcPr>
            <w:tcW w:w="2538" w:type="dxa"/>
          </w:tcPr>
          <w:p w14:paraId="3815B821" w14:textId="77777777" w:rsidR="0077160E" w:rsidRPr="00122E73" w:rsidRDefault="0077160E" w:rsidP="0077160E">
            <w:pPr>
              <w:autoSpaceDE w:val="0"/>
              <w:autoSpaceDN w:val="0"/>
              <w:adjustRightInd w:val="0"/>
              <w:spacing w:line="276" w:lineRule="auto"/>
              <w:ind w:left="60" w:right="60"/>
              <w:jc w:val="center"/>
              <w:cnfStyle w:val="000000000000" w:firstRow="0" w:lastRow="0" w:firstColumn="0" w:lastColumn="0" w:oddVBand="0" w:evenVBand="0" w:oddHBand="0" w:evenHBand="0" w:firstRowFirstColumn="0" w:firstRowLastColumn="0" w:lastRowFirstColumn="0" w:lastRowLastColumn="0"/>
              <w:rPr>
                <w:rFonts w:cstheme="majorBidi"/>
                <w:color w:val="000000"/>
                <w:lang w:val="en-GB"/>
              </w:rPr>
            </w:pPr>
            <w:r w:rsidRPr="00122E73">
              <w:rPr>
                <w:rFonts w:cstheme="majorBidi"/>
                <w:color w:val="000000"/>
                <w:lang w:val="en-GB"/>
              </w:rPr>
              <w:t>412</w:t>
            </w:r>
          </w:p>
        </w:tc>
      </w:tr>
      <w:tr w:rsidR="0077160E" w:rsidRPr="00122E73" w14:paraId="2DC83A83" w14:textId="77777777" w:rsidTr="0077160E">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2896" w:type="dxa"/>
            <w:vMerge w:val="restart"/>
            <w:shd w:val="clear" w:color="auto" w:fill="BFBFBF" w:themeFill="background1" w:themeFillShade="BF"/>
          </w:tcPr>
          <w:p w14:paraId="6D2F5EC2" w14:textId="77777777" w:rsidR="0077160E" w:rsidRPr="00122E73" w:rsidRDefault="0077160E" w:rsidP="0077160E">
            <w:pPr>
              <w:pStyle w:val="ListParagraph"/>
              <w:numPr>
                <w:ilvl w:val="0"/>
                <w:numId w:val="30"/>
              </w:numPr>
              <w:tabs>
                <w:tab w:val="left" w:pos="90"/>
              </w:tabs>
              <w:autoSpaceDE w:val="0"/>
              <w:autoSpaceDN w:val="0"/>
              <w:adjustRightInd w:val="0"/>
              <w:spacing w:line="276" w:lineRule="auto"/>
              <w:rPr>
                <w:rFonts w:cstheme="majorBidi"/>
                <w:b/>
                <w:bCs/>
                <w:lang w:val="en-GB"/>
              </w:rPr>
            </w:pPr>
            <w:r w:rsidRPr="00122E73">
              <w:rPr>
                <w:rFonts w:cstheme="majorBidi"/>
                <w:b/>
                <w:bCs/>
                <w:lang w:val="en-GB"/>
              </w:rPr>
              <w:t>The Change of the Price Compared to 2019 (P4)</w:t>
            </w:r>
          </w:p>
        </w:tc>
        <w:tc>
          <w:tcPr>
            <w:tcW w:w="2357" w:type="dxa"/>
          </w:tcPr>
          <w:p w14:paraId="4D5318C2" w14:textId="77777777" w:rsidR="0077160E" w:rsidRPr="00122E73" w:rsidRDefault="0077160E" w:rsidP="0077160E">
            <w:pPr>
              <w:autoSpaceDE w:val="0"/>
              <w:autoSpaceDN w:val="0"/>
              <w:adjustRightInd w:val="0"/>
              <w:spacing w:line="276" w:lineRule="auto"/>
              <w:ind w:left="60" w:right="60"/>
              <w:cnfStyle w:val="000000100000" w:firstRow="0" w:lastRow="0" w:firstColumn="0" w:lastColumn="0" w:oddVBand="0" w:evenVBand="0" w:oddHBand="1" w:evenHBand="0" w:firstRowFirstColumn="0" w:firstRowLastColumn="0" w:lastRowFirstColumn="0" w:lastRowLastColumn="0"/>
              <w:rPr>
                <w:rFonts w:cstheme="majorBidi"/>
                <w:color w:val="000000"/>
                <w:lang w:val="en-GB"/>
              </w:rPr>
            </w:pPr>
            <w:r w:rsidRPr="00122E73">
              <w:rPr>
                <w:rFonts w:cstheme="majorBidi"/>
                <w:color w:val="000000"/>
                <w:lang w:val="en-GB"/>
              </w:rPr>
              <w:t>Pearson Correlation</w:t>
            </w:r>
          </w:p>
        </w:tc>
        <w:tc>
          <w:tcPr>
            <w:cnfStyle w:val="000010000000" w:firstRow="0" w:lastRow="0" w:firstColumn="0" w:lastColumn="0" w:oddVBand="1" w:evenVBand="0" w:oddHBand="0" w:evenHBand="0" w:firstRowFirstColumn="0" w:firstRowLastColumn="0" w:lastRowFirstColumn="0" w:lastRowLastColumn="0"/>
            <w:tcW w:w="1450" w:type="dxa"/>
          </w:tcPr>
          <w:p w14:paraId="07E9B40E" w14:textId="77777777" w:rsidR="0077160E" w:rsidRPr="00122E73" w:rsidRDefault="0077160E" w:rsidP="0077160E">
            <w:pPr>
              <w:autoSpaceDE w:val="0"/>
              <w:autoSpaceDN w:val="0"/>
              <w:adjustRightInd w:val="0"/>
              <w:spacing w:line="276" w:lineRule="auto"/>
              <w:ind w:left="60" w:right="60"/>
              <w:jc w:val="center"/>
              <w:rPr>
                <w:rFonts w:cstheme="majorBidi"/>
                <w:color w:val="000000"/>
                <w:lang w:val="en-GB"/>
              </w:rPr>
            </w:pPr>
            <w:r w:rsidRPr="00122E73">
              <w:rPr>
                <w:rFonts w:cstheme="majorBidi"/>
                <w:color w:val="000000"/>
                <w:lang w:val="en-GB"/>
              </w:rPr>
              <w:t>.451</w:t>
            </w:r>
            <w:r w:rsidRPr="00122E73">
              <w:rPr>
                <w:rFonts w:cstheme="majorBidi"/>
                <w:color w:val="000000"/>
                <w:vertAlign w:val="superscript"/>
                <w:lang w:val="en-GB"/>
              </w:rPr>
              <w:t>**</w:t>
            </w:r>
          </w:p>
        </w:tc>
        <w:tc>
          <w:tcPr>
            <w:tcW w:w="2538" w:type="dxa"/>
          </w:tcPr>
          <w:p w14:paraId="2BAD2DF1" w14:textId="77777777" w:rsidR="0077160E" w:rsidRPr="00122E73" w:rsidRDefault="0077160E" w:rsidP="0077160E">
            <w:pPr>
              <w:autoSpaceDE w:val="0"/>
              <w:autoSpaceDN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cstheme="majorBidi"/>
                <w:color w:val="000000"/>
                <w:lang w:val="en-GB"/>
              </w:rPr>
            </w:pPr>
            <w:r w:rsidRPr="00122E73">
              <w:rPr>
                <w:rFonts w:cstheme="majorBidi"/>
                <w:color w:val="000000"/>
                <w:lang w:val="en-GB"/>
              </w:rPr>
              <w:t>.283</w:t>
            </w:r>
            <w:r w:rsidRPr="00122E73">
              <w:rPr>
                <w:rFonts w:cstheme="majorBidi"/>
                <w:color w:val="000000"/>
                <w:vertAlign w:val="superscript"/>
                <w:lang w:val="en-GB"/>
              </w:rPr>
              <w:t>**</w:t>
            </w:r>
          </w:p>
        </w:tc>
      </w:tr>
      <w:tr w:rsidR="0077160E" w:rsidRPr="00122E73" w14:paraId="3C71EACB" w14:textId="77777777" w:rsidTr="0077160E">
        <w:trPr>
          <w:trHeight w:val="280"/>
        </w:trPr>
        <w:tc>
          <w:tcPr>
            <w:cnfStyle w:val="000010000000" w:firstRow="0" w:lastRow="0" w:firstColumn="0" w:lastColumn="0" w:oddVBand="1" w:evenVBand="0" w:oddHBand="0" w:evenHBand="0" w:firstRowFirstColumn="0" w:firstRowLastColumn="0" w:lastRowFirstColumn="0" w:lastRowLastColumn="0"/>
            <w:tcW w:w="2896" w:type="dxa"/>
            <w:vMerge/>
          </w:tcPr>
          <w:p w14:paraId="757983C3" w14:textId="77777777" w:rsidR="0077160E" w:rsidRPr="00122E73" w:rsidRDefault="0077160E" w:rsidP="0077160E">
            <w:pPr>
              <w:pStyle w:val="ListParagraph"/>
              <w:numPr>
                <w:ilvl w:val="0"/>
                <w:numId w:val="30"/>
              </w:numPr>
              <w:autoSpaceDE w:val="0"/>
              <w:autoSpaceDN w:val="0"/>
              <w:bidi/>
              <w:adjustRightInd w:val="0"/>
              <w:spacing w:line="276" w:lineRule="auto"/>
              <w:jc w:val="right"/>
              <w:rPr>
                <w:rFonts w:cstheme="majorBidi"/>
                <w:b/>
                <w:bCs/>
                <w:lang w:val="en-GB"/>
              </w:rPr>
            </w:pPr>
          </w:p>
        </w:tc>
        <w:tc>
          <w:tcPr>
            <w:tcW w:w="2357" w:type="dxa"/>
          </w:tcPr>
          <w:p w14:paraId="51C0B751" w14:textId="77777777" w:rsidR="0077160E" w:rsidRPr="00122E73" w:rsidRDefault="0077160E" w:rsidP="0077160E">
            <w:pPr>
              <w:autoSpaceDE w:val="0"/>
              <w:autoSpaceDN w:val="0"/>
              <w:adjustRightInd w:val="0"/>
              <w:spacing w:line="276" w:lineRule="auto"/>
              <w:ind w:left="60" w:right="60"/>
              <w:cnfStyle w:val="000000000000" w:firstRow="0" w:lastRow="0" w:firstColumn="0" w:lastColumn="0" w:oddVBand="0" w:evenVBand="0" w:oddHBand="0" w:evenHBand="0" w:firstRowFirstColumn="0" w:firstRowLastColumn="0" w:lastRowFirstColumn="0" w:lastRowLastColumn="0"/>
              <w:rPr>
                <w:rFonts w:cstheme="majorBidi"/>
                <w:color w:val="000000"/>
                <w:lang w:val="en-GB"/>
              </w:rPr>
            </w:pPr>
            <w:r w:rsidRPr="00122E73">
              <w:rPr>
                <w:rFonts w:cstheme="majorBidi"/>
                <w:color w:val="000000"/>
                <w:lang w:val="en-GB"/>
              </w:rPr>
              <w:t>Sig. (2-tailed)</w:t>
            </w:r>
          </w:p>
        </w:tc>
        <w:tc>
          <w:tcPr>
            <w:cnfStyle w:val="000010000000" w:firstRow="0" w:lastRow="0" w:firstColumn="0" w:lastColumn="0" w:oddVBand="1" w:evenVBand="0" w:oddHBand="0" w:evenHBand="0" w:firstRowFirstColumn="0" w:firstRowLastColumn="0" w:lastRowFirstColumn="0" w:lastRowLastColumn="0"/>
            <w:tcW w:w="1450" w:type="dxa"/>
          </w:tcPr>
          <w:p w14:paraId="6945726B" w14:textId="77777777" w:rsidR="0077160E" w:rsidRPr="00122E73" w:rsidRDefault="0077160E" w:rsidP="0077160E">
            <w:pPr>
              <w:autoSpaceDE w:val="0"/>
              <w:autoSpaceDN w:val="0"/>
              <w:adjustRightInd w:val="0"/>
              <w:spacing w:line="276" w:lineRule="auto"/>
              <w:ind w:left="60" w:right="60"/>
              <w:jc w:val="center"/>
              <w:rPr>
                <w:rFonts w:cstheme="majorBidi"/>
                <w:color w:val="000000"/>
                <w:lang w:val="en-GB"/>
              </w:rPr>
            </w:pPr>
            <w:r w:rsidRPr="00122E73">
              <w:rPr>
                <w:rFonts w:cstheme="majorBidi"/>
                <w:color w:val="000000"/>
                <w:lang w:val="en-GB"/>
              </w:rPr>
              <w:t>.000</w:t>
            </w:r>
          </w:p>
        </w:tc>
        <w:tc>
          <w:tcPr>
            <w:tcW w:w="2538" w:type="dxa"/>
          </w:tcPr>
          <w:p w14:paraId="28436477" w14:textId="77777777" w:rsidR="0077160E" w:rsidRPr="00122E73" w:rsidRDefault="0077160E" w:rsidP="0077160E">
            <w:pPr>
              <w:autoSpaceDE w:val="0"/>
              <w:autoSpaceDN w:val="0"/>
              <w:adjustRightInd w:val="0"/>
              <w:spacing w:line="276" w:lineRule="auto"/>
              <w:ind w:left="60" w:right="60"/>
              <w:jc w:val="center"/>
              <w:cnfStyle w:val="000000000000" w:firstRow="0" w:lastRow="0" w:firstColumn="0" w:lastColumn="0" w:oddVBand="0" w:evenVBand="0" w:oddHBand="0" w:evenHBand="0" w:firstRowFirstColumn="0" w:firstRowLastColumn="0" w:lastRowFirstColumn="0" w:lastRowLastColumn="0"/>
              <w:rPr>
                <w:rFonts w:cstheme="majorBidi"/>
                <w:color w:val="000000"/>
                <w:lang w:val="en-GB"/>
              </w:rPr>
            </w:pPr>
            <w:r w:rsidRPr="00122E73">
              <w:rPr>
                <w:rFonts w:cstheme="majorBidi"/>
                <w:color w:val="000000"/>
                <w:lang w:val="en-GB"/>
              </w:rPr>
              <w:t>.000</w:t>
            </w:r>
          </w:p>
        </w:tc>
      </w:tr>
      <w:tr w:rsidR="0077160E" w:rsidRPr="00122E73" w14:paraId="023FC0E0" w14:textId="77777777" w:rsidTr="0077160E">
        <w:trPr>
          <w:cnfStyle w:val="000000100000" w:firstRow="0" w:lastRow="0" w:firstColumn="0" w:lastColumn="0" w:oddVBand="0" w:evenVBand="0" w:oddHBand="1" w:evenHBand="0" w:firstRowFirstColumn="0" w:firstRowLastColumn="0" w:lastRowFirstColumn="0" w:lastRowLastColumn="0"/>
          <w:trHeight w:val="294"/>
        </w:trPr>
        <w:tc>
          <w:tcPr>
            <w:cnfStyle w:val="000010000000" w:firstRow="0" w:lastRow="0" w:firstColumn="0" w:lastColumn="0" w:oddVBand="1" w:evenVBand="0" w:oddHBand="0" w:evenHBand="0" w:firstRowFirstColumn="0" w:firstRowLastColumn="0" w:lastRowFirstColumn="0" w:lastRowLastColumn="0"/>
            <w:tcW w:w="2896" w:type="dxa"/>
            <w:vMerge/>
          </w:tcPr>
          <w:p w14:paraId="7949451C" w14:textId="77777777" w:rsidR="0077160E" w:rsidRPr="00122E73" w:rsidRDefault="0077160E" w:rsidP="0077160E">
            <w:pPr>
              <w:pStyle w:val="ListParagraph"/>
              <w:numPr>
                <w:ilvl w:val="0"/>
                <w:numId w:val="30"/>
              </w:numPr>
              <w:autoSpaceDE w:val="0"/>
              <w:autoSpaceDN w:val="0"/>
              <w:bidi/>
              <w:adjustRightInd w:val="0"/>
              <w:spacing w:line="276" w:lineRule="auto"/>
              <w:jc w:val="right"/>
              <w:rPr>
                <w:rFonts w:cstheme="majorBidi"/>
                <w:b/>
                <w:bCs/>
                <w:lang w:val="en-GB"/>
              </w:rPr>
            </w:pPr>
          </w:p>
        </w:tc>
        <w:tc>
          <w:tcPr>
            <w:tcW w:w="2357" w:type="dxa"/>
          </w:tcPr>
          <w:p w14:paraId="0AED3B6F" w14:textId="77777777" w:rsidR="0077160E" w:rsidRPr="00122E73" w:rsidRDefault="0077160E" w:rsidP="0077160E">
            <w:pPr>
              <w:autoSpaceDE w:val="0"/>
              <w:autoSpaceDN w:val="0"/>
              <w:adjustRightInd w:val="0"/>
              <w:spacing w:line="276" w:lineRule="auto"/>
              <w:ind w:left="60" w:right="60"/>
              <w:cnfStyle w:val="000000100000" w:firstRow="0" w:lastRow="0" w:firstColumn="0" w:lastColumn="0" w:oddVBand="0" w:evenVBand="0" w:oddHBand="1" w:evenHBand="0" w:firstRowFirstColumn="0" w:firstRowLastColumn="0" w:lastRowFirstColumn="0" w:lastRowLastColumn="0"/>
              <w:rPr>
                <w:rFonts w:cstheme="majorBidi"/>
                <w:color w:val="000000"/>
                <w:lang w:val="en-GB"/>
              </w:rPr>
            </w:pPr>
            <w:r w:rsidRPr="00122E73">
              <w:rPr>
                <w:rFonts w:cstheme="majorBidi"/>
                <w:color w:val="000000"/>
                <w:lang w:val="en-GB"/>
              </w:rPr>
              <w:t>N</w:t>
            </w:r>
          </w:p>
        </w:tc>
        <w:tc>
          <w:tcPr>
            <w:cnfStyle w:val="000010000000" w:firstRow="0" w:lastRow="0" w:firstColumn="0" w:lastColumn="0" w:oddVBand="1" w:evenVBand="0" w:oddHBand="0" w:evenHBand="0" w:firstRowFirstColumn="0" w:firstRowLastColumn="0" w:lastRowFirstColumn="0" w:lastRowLastColumn="0"/>
            <w:tcW w:w="1450" w:type="dxa"/>
          </w:tcPr>
          <w:p w14:paraId="4A0DD954" w14:textId="77777777" w:rsidR="0077160E" w:rsidRPr="00122E73" w:rsidRDefault="0077160E" w:rsidP="0077160E">
            <w:pPr>
              <w:autoSpaceDE w:val="0"/>
              <w:autoSpaceDN w:val="0"/>
              <w:adjustRightInd w:val="0"/>
              <w:spacing w:line="276" w:lineRule="auto"/>
              <w:ind w:left="60" w:right="60"/>
              <w:jc w:val="center"/>
              <w:rPr>
                <w:rFonts w:cstheme="majorBidi"/>
                <w:color w:val="000000"/>
                <w:lang w:val="en-GB"/>
              </w:rPr>
            </w:pPr>
            <w:r w:rsidRPr="00122E73">
              <w:rPr>
                <w:rFonts w:cstheme="majorBidi"/>
                <w:color w:val="000000"/>
                <w:lang w:val="en-GB"/>
              </w:rPr>
              <w:t>412</w:t>
            </w:r>
          </w:p>
        </w:tc>
        <w:tc>
          <w:tcPr>
            <w:tcW w:w="2538" w:type="dxa"/>
          </w:tcPr>
          <w:p w14:paraId="10575AB6" w14:textId="77777777" w:rsidR="0077160E" w:rsidRPr="00122E73" w:rsidRDefault="0077160E" w:rsidP="0077160E">
            <w:pPr>
              <w:autoSpaceDE w:val="0"/>
              <w:autoSpaceDN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cstheme="majorBidi"/>
                <w:color w:val="000000"/>
                <w:lang w:val="en-GB"/>
              </w:rPr>
            </w:pPr>
            <w:r w:rsidRPr="00122E73">
              <w:rPr>
                <w:rFonts w:cstheme="majorBidi"/>
                <w:color w:val="000000"/>
                <w:lang w:val="en-GB"/>
              </w:rPr>
              <w:t>412</w:t>
            </w:r>
          </w:p>
        </w:tc>
      </w:tr>
      <w:tr w:rsidR="0077160E" w:rsidRPr="00122E73" w14:paraId="7D878674" w14:textId="77777777" w:rsidTr="0077160E">
        <w:trPr>
          <w:trHeight w:val="280"/>
        </w:trPr>
        <w:tc>
          <w:tcPr>
            <w:cnfStyle w:val="000010000000" w:firstRow="0" w:lastRow="0" w:firstColumn="0" w:lastColumn="0" w:oddVBand="1" w:evenVBand="0" w:oddHBand="0" w:evenHBand="0" w:firstRowFirstColumn="0" w:firstRowLastColumn="0" w:lastRowFirstColumn="0" w:lastRowLastColumn="0"/>
            <w:tcW w:w="2896" w:type="dxa"/>
            <w:vMerge w:val="restart"/>
            <w:shd w:val="clear" w:color="auto" w:fill="BFBFBF" w:themeFill="background1" w:themeFillShade="BF"/>
          </w:tcPr>
          <w:p w14:paraId="62D71329" w14:textId="77777777" w:rsidR="0077160E" w:rsidRPr="00122E73" w:rsidRDefault="0077160E" w:rsidP="0077160E">
            <w:pPr>
              <w:pStyle w:val="ListParagraph"/>
              <w:numPr>
                <w:ilvl w:val="0"/>
                <w:numId w:val="30"/>
              </w:numPr>
              <w:tabs>
                <w:tab w:val="left" w:pos="90"/>
              </w:tabs>
              <w:autoSpaceDE w:val="0"/>
              <w:autoSpaceDN w:val="0"/>
              <w:adjustRightInd w:val="0"/>
              <w:spacing w:line="276" w:lineRule="auto"/>
              <w:rPr>
                <w:rFonts w:cstheme="majorBidi"/>
                <w:b/>
                <w:bCs/>
                <w:lang w:val="en-GB"/>
              </w:rPr>
            </w:pPr>
            <w:r w:rsidRPr="00122E73">
              <w:rPr>
                <w:rFonts w:cstheme="majorBidi"/>
                <w:b/>
                <w:bCs/>
                <w:lang w:val="en-GB"/>
              </w:rPr>
              <w:t>The Forecasted Price for 2022 Compared to 2021 (P5)</w:t>
            </w:r>
          </w:p>
        </w:tc>
        <w:tc>
          <w:tcPr>
            <w:tcW w:w="2357" w:type="dxa"/>
          </w:tcPr>
          <w:p w14:paraId="7006F82A" w14:textId="77777777" w:rsidR="0077160E" w:rsidRPr="00122E73" w:rsidRDefault="0077160E" w:rsidP="0077160E">
            <w:pPr>
              <w:autoSpaceDE w:val="0"/>
              <w:autoSpaceDN w:val="0"/>
              <w:adjustRightInd w:val="0"/>
              <w:spacing w:line="276" w:lineRule="auto"/>
              <w:ind w:left="60" w:right="60"/>
              <w:cnfStyle w:val="000000000000" w:firstRow="0" w:lastRow="0" w:firstColumn="0" w:lastColumn="0" w:oddVBand="0" w:evenVBand="0" w:oddHBand="0" w:evenHBand="0" w:firstRowFirstColumn="0" w:firstRowLastColumn="0" w:lastRowFirstColumn="0" w:lastRowLastColumn="0"/>
              <w:rPr>
                <w:rFonts w:cstheme="majorBidi"/>
                <w:color w:val="000000"/>
                <w:lang w:val="en-GB"/>
              </w:rPr>
            </w:pPr>
            <w:r w:rsidRPr="00122E73">
              <w:rPr>
                <w:rFonts w:cstheme="majorBidi"/>
                <w:color w:val="000000"/>
                <w:lang w:val="en-GB"/>
              </w:rPr>
              <w:t>Pearson Correlation</w:t>
            </w:r>
          </w:p>
        </w:tc>
        <w:tc>
          <w:tcPr>
            <w:cnfStyle w:val="000010000000" w:firstRow="0" w:lastRow="0" w:firstColumn="0" w:lastColumn="0" w:oddVBand="1" w:evenVBand="0" w:oddHBand="0" w:evenHBand="0" w:firstRowFirstColumn="0" w:firstRowLastColumn="0" w:lastRowFirstColumn="0" w:lastRowLastColumn="0"/>
            <w:tcW w:w="1450" w:type="dxa"/>
          </w:tcPr>
          <w:p w14:paraId="566B6628" w14:textId="77777777" w:rsidR="0077160E" w:rsidRPr="00122E73" w:rsidRDefault="0077160E" w:rsidP="0077160E">
            <w:pPr>
              <w:autoSpaceDE w:val="0"/>
              <w:autoSpaceDN w:val="0"/>
              <w:adjustRightInd w:val="0"/>
              <w:spacing w:line="276" w:lineRule="auto"/>
              <w:ind w:left="60" w:right="60"/>
              <w:jc w:val="center"/>
              <w:rPr>
                <w:rFonts w:cstheme="majorBidi"/>
                <w:color w:val="000000"/>
                <w:lang w:val="en-GB"/>
              </w:rPr>
            </w:pPr>
            <w:r w:rsidRPr="00122E73">
              <w:rPr>
                <w:rFonts w:cstheme="majorBidi"/>
                <w:color w:val="000000"/>
                <w:lang w:val="en-GB"/>
              </w:rPr>
              <w:t>.368</w:t>
            </w:r>
            <w:r w:rsidRPr="00122E73">
              <w:rPr>
                <w:rFonts w:cstheme="majorBidi"/>
                <w:color w:val="000000"/>
                <w:vertAlign w:val="superscript"/>
                <w:lang w:val="en-GB"/>
              </w:rPr>
              <w:t>**</w:t>
            </w:r>
          </w:p>
        </w:tc>
        <w:tc>
          <w:tcPr>
            <w:tcW w:w="2538" w:type="dxa"/>
          </w:tcPr>
          <w:p w14:paraId="713AF2F5" w14:textId="77777777" w:rsidR="0077160E" w:rsidRPr="00122E73" w:rsidRDefault="0077160E" w:rsidP="0077160E">
            <w:pPr>
              <w:autoSpaceDE w:val="0"/>
              <w:autoSpaceDN w:val="0"/>
              <w:adjustRightInd w:val="0"/>
              <w:spacing w:line="276" w:lineRule="auto"/>
              <w:ind w:left="60" w:right="60"/>
              <w:jc w:val="center"/>
              <w:cnfStyle w:val="000000000000" w:firstRow="0" w:lastRow="0" w:firstColumn="0" w:lastColumn="0" w:oddVBand="0" w:evenVBand="0" w:oddHBand="0" w:evenHBand="0" w:firstRowFirstColumn="0" w:firstRowLastColumn="0" w:lastRowFirstColumn="0" w:lastRowLastColumn="0"/>
              <w:rPr>
                <w:rFonts w:cstheme="majorBidi"/>
                <w:color w:val="000000"/>
                <w:lang w:val="en-GB"/>
              </w:rPr>
            </w:pPr>
            <w:r w:rsidRPr="00122E73">
              <w:rPr>
                <w:rFonts w:cstheme="majorBidi"/>
                <w:color w:val="000000"/>
                <w:lang w:val="en-GB"/>
              </w:rPr>
              <w:t>.251</w:t>
            </w:r>
            <w:r w:rsidRPr="00122E73">
              <w:rPr>
                <w:rFonts w:cstheme="majorBidi"/>
                <w:color w:val="000000"/>
                <w:vertAlign w:val="superscript"/>
                <w:lang w:val="en-GB"/>
              </w:rPr>
              <w:t>**</w:t>
            </w:r>
          </w:p>
        </w:tc>
      </w:tr>
      <w:tr w:rsidR="0077160E" w:rsidRPr="00122E73" w14:paraId="4F47D069" w14:textId="77777777" w:rsidTr="0077160E">
        <w:trPr>
          <w:cnfStyle w:val="000000100000" w:firstRow="0" w:lastRow="0" w:firstColumn="0" w:lastColumn="0" w:oddVBand="0" w:evenVBand="0" w:oddHBand="1" w:evenHBand="0" w:firstRowFirstColumn="0" w:firstRowLastColumn="0" w:lastRowFirstColumn="0" w:lastRowLastColumn="0"/>
          <w:trHeight w:val="294"/>
        </w:trPr>
        <w:tc>
          <w:tcPr>
            <w:cnfStyle w:val="000010000000" w:firstRow="0" w:lastRow="0" w:firstColumn="0" w:lastColumn="0" w:oddVBand="1" w:evenVBand="0" w:oddHBand="0" w:evenHBand="0" w:firstRowFirstColumn="0" w:firstRowLastColumn="0" w:lastRowFirstColumn="0" w:lastRowLastColumn="0"/>
            <w:tcW w:w="2896" w:type="dxa"/>
            <w:vMerge/>
          </w:tcPr>
          <w:p w14:paraId="533E0E3E" w14:textId="77777777" w:rsidR="0077160E" w:rsidRPr="00122E73" w:rsidRDefault="0077160E" w:rsidP="0077160E">
            <w:pPr>
              <w:pStyle w:val="ListParagraph"/>
              <w:numPr>
                <w:ilvl w:val="0"/>
                <w:numId w:val="30"/>
              </w:numPr>
              <w:autoSpaceDE w:val="0"/>
              <w:autoSpaceDN w:val="0"/>
              <w:bidi/>
              <w:adjustRightInd w:val="0"/>
              <w:spacing w:line="276" w:lineRule="auto"/>
              <w:jc w:val="right"/>
              <w:rPr>
                <w:rFonts w:cstheme="majorBidi"/>
                <w:b/>
                <w:bCs/>
                <w:lang w:val="en-GB"/>
              </w:rPr>
            </w:pPr>
          </w:p>
        </w:tc>
        <w:tc>
          <w:tcPr>
            <w:tcW w:w="2357" w:type="dxa"/>
          </w:tcPr>
          <w:p w14:paraId="0EB55557" w14:textId="77777777" w:rsidR="0077160E" w:rsidRPr="00122E73" w:rsidRDefault="0077160E" w:rsidP="0077160E">
            <w:pPr>
              <w:autoSpaceDE w:val="0"/>
              <w:autoSpaceDN w:val="0"/>
              <w:adjustRightInd w:val="0"/>
              <w:spacing w:line="276" w:lineRule="auto"/>
              <w:ind w:left="60" w:right="60"/>
              <w:cnfStyle w:val="000000100000" w:firstRow="0" w:lastRow="0" w:firstColumn="0" w:lastColumn="0" w:oddVBand="0" w:evenVBand="0" w:oddHBand="1" w:evenHBand="0" w:firstRowFirstColumn="0" w:firstRowLastColumn="0" w:lastRowFirstColumn="0" w:lastRowLastColumn="0"/>
              <w:rPr>
                <w:rFonts w:cstheme="majorBidi"/>
                <w:color w:val="000000"/>
                <w:lang w:val="en-GB"/>
              </w:rPr>
            </w:pPr>
            <w:r w:rsidRPr="00122E73">
              <w:rPr>
                <w:rFonts w:cstheme="majorBidi"/>
                <w:color w:val="000000"/>
                <w:lang w:val="en-GB"/>
              </w:rPr>
              <w:t>Sig. (2-tailed)</w:t>
            </w:r>
          </w:p>
        </w:tc>
        <w:tc>
          <w:tcPr>
            <w:cnfStyle w:val="000010000000" w:firstRow="0" w:lastRow="0" w:firstColumn="0" w:lastColumn="0" w:oddVBand="1" w:evenVBand="0" w:oddHBand="0" w:evenHBand="0" w:firstRowFirstColumn="0" w:firstRowLastColumn="0" w:lastRowFirstColumn="0" w:lastRowLastColumn="0"/>
            <w:tcW w:w="1450" w:type="dxa"/>
          </w:tcPr>
          <w:p w14:paraId="5D97A4E6" w14:textId="77777777" w:rsidR="0077160E" w:rsidRPr="00122E73" w:rsidRDefault="0077160E" w:rsidP="0077160E">
            <w:pPr>
              <w:autoSpaceDE w:val="0"/>
              <w:autoSpaceDN w:val="0"/>
              <w:adjustRightInd w:val="0"/>
              <w:spacing w:line="276" w:lineRule="auto"/>
              <w:ind w:left="60" w:right="60"/>
              <w:jc w:val="center"/>
              <w:rPr>
                <w:rFonts w:cstheme="majorBidi"/>
                <w:color w:val="000000"/>
                <w:lang w:val="en-GB"/>
              </w:rPr>
            </w:pPr>
            <w:r w:rsidRPr="00122E73">
              <w:rPr>
                <w:rFonts w:cstheme="majorBidi"/>
                <w:color w:val="000000"/>
                <w:lang w:val="en-GB"/>
              </w:rPr>
              <w:t>.000</w:t>
            </w:r>
          </w:p>
        </w:tc>
        <w:tc>
          <w:tcPr>
            <w:tcW w:w="2538" w:type="dxa"/>
          </w:tcPr>
          <w:p w14:paraId="1D9DF189" w14:textId="77777777" w:rsidR="0077160E" w:rsidRPr="00122E73" w:rsidRDefault="0077160E" w:rsidP="0077160E">
            <w:pPr>
              <w:autoSpaceDE w:val="0"/>
              <w:autoSpaceDN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cstheme="majorBidi"/>
                <w:color w:val="000000"/>
                <w:lang w:val="en-GB"/>
              </w:rPr>
            </w:pPr>
            <w:r w:rsidRPr="00122E73">
              <w:rPr>
                <w:rFonts w:cstheme="majorBidi"/>
                <w:color w:val="000000"/>
                <w:lang w:val="en-GB"/>
              </w:rPr>
              <w:t>.000</w:t>
            </w:r>
          </w:p>
        </w:tc>
      </w:tr>
      <w:tr w:rsidR="0077160E" w:rsidRPr="00122E73" w14:paraId="673B1821" w14:textId="77777777" w:rsidTr="0077160E">
        <w:trPr>
          <w:trHeight w:val="548"/>
        </w:trPr>
        <w:tc>
          <w:tcPr>
            <w:cnfStyle w:val="000010000000" w:firstRow="0" w:lastRow="0" w:firstColumn="0" w:lastColumn="0" w:oddVBand="1" w:evenVBand="0" w:oddHBand="0" w:evenHBand="0" w:firstRowFirstColumn="0" w:firstRowLastColumn="0" w:lastRowFirstColumn="0" w:lastRowLastColumn="0"/>
            <w:tcW w:w="2896" w:type="dxa"/>
            <w:vMerge/>
          </w:tcPr>
          <w:p w14:paraId="11133C77" w14:textId="77777777" w:rsidR="0077160E" w:rsidRPr="00122E73" w:rsidRDefault="0077160E" w:rsidP="0077160E">
            <w:pPr>
              <w:pStyle w:val="ListParagraph"/>
              <w:numPr>
                <w:ilvl w:val="0"/>
                <w:numId w:val="30"/>
              </w:numPr>
              <w:autoSpaceDE w:val="0"/>
              <w:autoSpaceDN w:val="0"/>
              <w:bidi/>
              <w:adjustRightInd w:val="0"/>
              <w:spacing w:line="276" w:lineRule="auto"/>
              <w:jc w:val="right"/>
              <w:rPr>
                <w:rFonts w:cstheme="majorBidi"/>
                <w:b/>
                <w:bCs/>
                <w:lang w:val="en-GB"/>
              </w:rPr>
            </w:pPr>
          </w:p>
        </w:tc>
        <w:tc>
          <w:tcPr>
            <w:tcW w:w="2357" w:type="dxa"/>
          </w:tcPr>
          <w:p w14:paraId="2A035F6C" w14:textId="77777777" w:rsidR="0077160E" w:rsidRPr="00122E73" w:rsidRDefault="0077160E" w:rsidP="0077160E">
            <w:pPr>
              <w:autoSpaceDE w:val="0"/>
              <w:autoSpaceDN w:val="0"/>
              <w:adjustRightInd w:val="0"/>
              <w:spacing w:line="276" w:lineRule="auto"/>
              <w:ind w:left="60" w:right="60"/>
              <w:cnfStyle w:val="000000000000" w:firstRow="0" w:lastRow="0" w:firstColumn="0" w:lastColumn="0" w:oddVBand="0" w:evenVBand="0" w:oddHBand="0" w:evenHBand="0" w:firstRowFirstColumn="0" w:firstRowLastColumn="0" w:lastRowFirstColumn="0" w:lastRowLastColumn="0"/>
              <w:rPr>
                <w:rFonts w:cstheme="majorBidi"/>
                <w:color w:val="000000"/>
                <w:lang w:val="en-GB"/>
              </w:rPr>
            </w:pPr>
            <w:r w:rsidRPr="00122E73">
              <w:rPr>
                <w:rFonts w:cstheme="majorBidi"/>
                <w:color w:val="000000"/>
                <w:lang w:val="en-GB"/>
              </w:rPr>
              <w:t>N</w:t>
            </w:r>
          </w:p>
        </w:tc>
        <w:tc>
          <w:tcPr>
            <w:cnfStyle w:val="000010000000" w:firstRow="0" w:lastRow="0" w:firstColumn="0" w:lastColumn="0" w:oddVBand="1" w:evenVBand="0" w:oddHBand="0" w:evenHBand="0" w:firstRowFirstColumn="0" w:firstRowLastColumn="0" w:lastRowFirstColumn="0" w:lastRowLastColumn="0"/>
            <w:tcW w:w="1450" w:type="dxa"/>
          </w:tcPr>
          <w:p w14:paraId="5E7082EE" w14:textId="77777777" w:rsidR="0077160E" w:rsidRPr="00122E73" w:rsidRDefault="0077160E" w:rsidP="0077160E">
            <w:pPr>
              <w:autoSpaceDE w:val="0"/>
              <w:autoSpaceDN w:val="0"/>
              <w:adjustRightInd w:val="0"/>
              <w:spacing w:line="276" w:lineRule="auto"/>
              <w:ind w:left="60" w:right="60"/>
              <w:jc w:val="center"/>
              <w:rPr>
                <w:rFonts w:cstheme="majorBidi"/>
                <w:color w:val="000000"/>
                <w:lang w:val="en-GB"/>
              </w:rPr>
            </w:pPr>
            <w:r w:rsidRPr="00122E73">
              <w:rPr>
                <w:rFonts w:cstheme="majorBidi"/>
                <w:color w:val="000000"/>
                <w:lang w:val="en-GB"/>
              </w:rPr>
              <w:t>412</w:t>
            </w:r>
          </w:p>
        </w:tc>
        <w:tc>
          <w:tcPr>
            <w:tcW w:w="2538" w:type="dxa"/>
          </w:tcPr>
          <w:p w14:paraId="1D5BD65B" w14:textId="77777777" w:rsidR="0077160E" w:rsidRPr="00122E73" w:rsidRDefault="0077160E" w:rsidP="0077160E">
            <w:pPr>
              <w:autoSpaceDE w:val="0"/>
              <w:autoSpaceDN w:val="0"/>
              <w:adjustRightInd w:val="0"/>
              <w:spacing w:line="276" w:lineRule="auto"/>
              <w:ind w:left="60" w:right="60"/>
              <w:jc w:val="center"/>
              <w:cnfStyle w:val="000000000000" w:firstRow="0" w:lastRow="0" w:firstColumn="0" w:lastColumn="0" w:oddVBand="0" w:evenVBand="0" w:oddHBand="0" w:evenHBand="0" w:firstRowFirstColumn="0" w:firstRowLastColumn="0" w:lastRowFirstColumn="0" w:lastRowLastColumn="0"/>
              <w:rPr>
                <w:rFonts w:cstheme="majorBidi"/>
                <w:color w:val="000000"/>
                <w:lang w:val="en-GB"/>
              </w:rPr>
            </w:pPr>
            <w:r w:rsidRPr="00122E73">
              <w:rPr>
                <w:rFonts w:cstheme="majorBidi"/>
                <w:color w:val="000000"/>
                <w:lang w:val="en-GB"/>
              </w:rPr>
              <w:t>412</w:t>
            </w:r>
          </w:p>
        </w:tc>
      </w:tr>
      <w:tr w:rsidR="0077160E" w:rsidRPr="00122E73" w14:paraId="236D1F6C" w14:textId="77777777" w:rsidTr="0077160E">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2896" w:type="dxa"/>
            <w:vMerge w:val="restart"/>
            <w:shd w:val="clear" w:color="auto" w:fill="BFBFBF" w:themeFill="background1" w:themeFillShade="BF"/>
          </w:tcPr>
          <w:p w14:paraId="6119973B" w14:textId="77777777" w:rsidR="0077160E" w:rsidRPr="00122E73" w:rsidRDefault="0077160E" w:rsidP="0077160E">
            <w:pPr>
              <w:pStyle w:val="ListParagraph"/>
              <w:numPr>
                <w:ilvl w:val="0"/>
                <w:numId w:val="30"/>
              </w:numPr>
              <w:tabs>
                <w:tab w:val="left" w:pos="90"/>
              </w:tabs>
              <w:autoSpaceDE w:val="0"/>
              <w:autoSpaceDN w:val="0"/>
              <w:adjustRightInd w:val="0"/>
              <w:spacing w:line="276" w:lineRule="auto"/>
              <w:rPr>
                <w:rFonts w:cstheme="majorBidi"/>
                <w:b/>
                <w:bCs/>
                <w:lang w:val="en-GB"/>
              </w:rPr>
            </w:pPr>
            <w:r w:rsidRPr="00122E73">
              <w:rPr>
                <w:rFonts w:cstheme="majorBidi"/>
                <w:b/>
                <w:bCs/>
                <w:lang w:val="en-GB"/>
              </w:rPr>
              <w:t>The Forecasted Price for 2023 Compared to 2021 (P6)</w:t>
            </w:r>
          </w:p>
        </w:tc>
        <w:tc>
          <w:tcPr>
            <w:tcW w:w="2357" w:type="dxa"/>
          </w:tcPr>
          <w:p w14:paraId="2DCBAC32" w14:textId="77777777" w:rsidR="0077160E" w:rsidRPr="00122E73" w:rsidRDefault="0077160E" w:rsidP="0077160E">
            <w:pPr>
              <w:autoSpaceDE w:val="0"/>
              <w:autoSpaceDN w:val="0"/>
              <w:adjustRightInd w:val="0"/>
              <w:spacing w:line="276" w:lineRule="auto"/>
              <w:ind w:left="60" w:right="60"/>
              <w:cnfStyle w:val="000000100000" w:firstRow="0" w:lastRow="0" w:firstColumn="0" w:lastColumn="0" w:oddVBand="0" w:evenVBand="0" w:oddHBand="1" w:evenHBand="0" w:firstRowFirstColumn="0" w:firstRowLastColumn="0" w:lastRowFirstColumn="0" w:lastRowLastColumn="0"/>
              <w:rPr>
                <w:rFonts w:cstheme="majorBidi"/>
                <w:color w:val="000000"/>
                <w:lang w:val="en-GB"/>
              </w:rPr>
            </w:pPr>
            <w:r w:rsidRPr="00122E73">
              <w:rPr>
                <w:rFonts w:cstheme="majorBidi"/>
                <w:color w:val="000000"/>
                <w:lang w:val="en-GB"/>
              </w:rPr>
              <w:t>Pearson Correlation</w:t>
            </w:r>
          </w:p>
        </w:tc>
        <w:tc>
          <w:tcPr>
            <w:cnfStyle w:val="000010000000" w:firstRow="0" w:lastRow="0" w:firstColumn="0" w:lastColumn="0" w:oddVBand="1" w:evenVBand="0" w:oddHBand="0" w:evenHBand="0" w:firstRowFirstColumn="0" w:firstRowLastColumn="0" w:lastRowFirstColumn="0" w:lastRowLastColumn="0"/>
            <w:tcW w:w="1450" w:type="dxa"/>
          </w:tcPr>
          <w:p w14:paraId="7999B401" w14:textId="77777777" w:rsidR="0077160E" w:rsidRPr="00122E73" w:rsidRDefault="0077160E" w:rsidP="0077160E">
            <w:pPr>
              <w:autoSpaceDE w:val="0"/>
              <w:autoSpaceDN w:val="0"/>
              <w:adjustRightInd w:val="0"/>
              <w:spacing w:line="276" w:lineRule="auto"/>
              <w:ind w:left="60" w:right="60"/>
              <w:jc w:val="center"/>
              <w:rPr>
                <w:rFonts w:cstheme="majorBidi"/>
                <w:color w:val="000000"/>
                <w:lang w:val="en-GB"/>
              </w:rPr>
            </w:pPr>
            <w:r w:rsidRPr="00122E73">
              <w:rPr>
                <w:rFonts w:cstheme="majorBidi"/>
                <w:color w:val="000000"/>
                <w:lang w:val="en-GB"/>
              </w:rPr>
              <w:t>.607</w:t>
            </w:r>
            <w:r w:rsidRPr="00122E73">
              <w:rPr>
                <w:rFonts w:cstheme="majorBidi"/>
                <w:color w:val="000000"/>
                <w:vertAlign w:val="superscript"/>
                <w:lang w:val="en-GB"/>
              </w:rPr>
              <w:t>**</w:t>
            </w:r>
          </w:p>
        </w:tc>
        <w:tc>
          <w:tcPr>
            <w:tcW w:w="2538" w:type="dxa"/>
          </w:tcPr>
          <w:p w14:paraId="189B9343" w14:textId="77777777" w:rsidR="0077160E" w:rsidRPr="00122E73" w:rsidRDefault="0077160E" w:rsidP="0077160E">
            <w:pPr>
              <w:autoSpaceDE w:val="0"/>
              <w:autoSpaceDN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cstheme="majorBidi"/>
                <w:color w:val="000000"/>
                <w:lang w:val="en-GB"/>
              </w:rPr>
            </w:pPr>
            <w:r w:rsidRPr="00122E73">
              <w:rPr>
                <w:rFonts w:cstheme="majorBidi"/>
                <w:color w:val="000000"/>
                <w:lang w:val="en-GB"/>
              </w:rPr>
              <w:t>.392</w:t>
            </w:r>
            <w:r w:rsidRPr="00122E73">
              <w:rPr>
                <w:rFonts w:cstheme="majorBidi"/>
                <w:color w:val="000000"/>
                <w:vertAlign w:val="superscript"/>
                <w:lang w:val="en-GB"/>
              </w:rPr>
              <w:t>**</w:t>
            </w:r>
          </w:p>
        </w:tc>
      </w:tr>
      <w:tr w:rsidR="0077160E" w:rsidRPr="00122E73" w14:paraId="0ABBB53C" w14:textId="77777777" w:rsidTr="0077160E">
        <w:trPr>
          <w:trHeight w:val="280"/>
        </w:trPr>
        <w:tc>
          <w:tcPr>
            <w:cnfStyle w:val="000010000000" w:firstRow="0" w:lastRow="0" w:firstColumn="0" w:lastColumn="0" w:oddVBand="1" w:evenVBand="0" w:oddHBand="0" w:evenHBand="0" w:firstRowFirstColumn="0" w:firstRowLastColumn="0" w:lastRowFirstColumn="0" w:lastRowLastColumn="0"/>
            <w:tcW w:w="2896" w:type="dxa"/>
            <w:vMerge/>
          </w:tcPr>
          <w:p w14:paraId="2C5B40E9" w14:textId="77777777" w:rsidR="0077160E" w:rsidRPr="00122E73" w:rsidRDefault="0077160E" w:rsidP="0077160E">
            <w:pPr>
              <w:autoSpaceDE w:val="0"/>
              <w:autoSpaceDN w:val="0"/>
              <w:adjustRightInd w:val="0"/>
              <w:spacing w:line="276" w:lineRule="auto"/>
              <w:rPr>
                <w:rFonts w:cstheme="majorBidi"/>
                <w:color w:val="000000"/>
                <w:lang w:val="en-GB"/>
              </w:rPr>
            </w:pPr>
          </w:p>
        </w:tc>
        <w:tc>
          <w:tcPr>
            <w:tcW w:w="2357" w:type="dxa"/>
          </w:tcPr>
          <w:p w14:paraId="43D5F9D8" w14:textId="77777777" w:rsidR="0077160E" w:rsidRPr="00122E73" w:rsidRDefault="0077160E" w:rsidP="0077160E">
            <w:pPr>
              <w:autoSpaceDE w:val="0"/>
              <w:autoSpaceDN w:val="0"/>
              <w:adjustRightInd w:val="0"/>
              <w:spacing w:line="276" w:lineRule="auto"/>
              <w:ind w:left="60" w:right="60"/>
              <w:cnfStyle w:val="000000000000" w:firstRow="0" w:lastRow="0" w:firstColumn="0" w:lastColumn="0" w:oddVBand="0" w:evenVBand="0" w:oddHBand="0" w:evenHBand="0" w:firstRowFirstColumn="0" w:firstRowLastColumn="0" w:lastRowFirstColumn="0" w:lastRowLastColumn="0"/>
              <w:rPr>
                <w:rFonts w:cstheme="majorBidi"/>
                <w:color w:val="000000"/>
                <w:lang w:val="en-GB"/>
              </w:rPr>
            </w:pPr>
            <w:r w:rsidRPr="00122E73">
              <w:rPr>
                <w:rFonts w:cstheme="majorBidi"/>
                <w:color w:val="000000"/>
                <w:lang w:val="en-GB"/>
              </w:rPr>
              <w:t>Sig. (2-tailed)</w:t>
            </w:r>
          </w:p>
        </w:tc>
        <w:tc>
          <w:tcPr>
            <w:cnfStyle w:val="000010000000" w:firstRow="0" w:lastRow="0" w:firstColumn="0" w:lastColumn="0" w:oddVBand="1" w:evenVBand="0" w:oddHBand="0" w:evenHBand="0" w:firstRowFirstColumn="0" w:firstRowLastColumn="0" w:lastRowFirstColumn="0" w:lastRowLastColumn="0"/>
            <w:tcW w:w="1450" w:type="dxa"/>
          </w:tcPr>
          <w:p w14:paraId="02DEAD16" w14:textId="77777777" w:rsidR="0077160E" w:rsidRPr="00122E73" w:rsidRDefault="0077160E" w:rsidP="0077160E">
            <w:pPr>
              <w:autoSpaceDE w:val="0"/>
              <w:autoSpaceDN w:val="0"/>
              <w:adjustRightInd w:val="0"/>
              <w:spacing w:line="276" w:lineRule="auto"/>
              <w:ind w:left="60" w:right="60"/>
              <w:jc w:val="center"/>
              <w:rPr>
                <w:rFonts w:cstheme="majorBidi"/>
                <w:color w:val="000000"/>
                <w:lang w:val="en-GB"/>
              </w:rPr>
            </w:pPr>
            <w:r w:rsidRPr="00122E73">
              <w:rPr>
                <w:rFonts w:cstheme="majorBidi"/>
                <w:color w:val="000000"/>
                <w:lang w:val="en-GB"/>
              </w:rPr>
              <w:t>.000</w:t>
            </w:r>
          </w:p>
        </w:tc>
        <w:tc>
          <w:tcPr>
            <w:tcW w:w="2538" w:type="dxa"/>
          </w:tcPr>
          <w:p w14:paraId="33A2E1C3" w14:textId="77777777" w:rsidR="0077160E" w:rsidRPr="00122E73" w:rsidRDefault="0077160E" w:rsidP="0077160E">
            <w:pPr>
              <w:autoSpaceDE w:val="0"/>
              <w:autoSpaceDN w:val="0"/>
              <w:adjustRightInd w:val="0"/>
              <w:spacing w:line="276" w:lineRule="auto"/>
              <w:ind w:left="60" w:right="60"/>
              <w:jc w:val="center"/>
              <w:cnfStyle w:val="000000000000" w:firstRow="0" w:lastRow="0" w:firstColumn="0" w:lastColumn="0" w:oddVBand="0" w:evenVBand="0" w:oddHBand="0" w:evenHBand="0" w:firstRowFirstColumn="0" w:firstRowLastColumn="0" w:lastRowFirstColumn="0" w:lastRowLastColumn="0"/>
              <w:rPr>
                <w:rFonts w:cstheme="majorBidi"/>
                <w:color w:val="000000"/>
                <w:lang w:val="en-GB"/>
              </w:rPr>
            </w:pPr>
            <w:r w:rsidRPr="00122E73">
              <w:rPr>
                <w:rFonts w:cstheme="majorBidi"/>
                <w:color w:val="000000"/>
                <w:lang w:val="en-GB"/>
              </w:rPr>
              <w:t>.000</w:t>
            </w:r>
          </w:p>
        </w:tc>
      </w:tr>
      <w:tr w:rsidR="0077160E" w:rsidRPr="00122E73" w14:paraId="2DE30566" w14:textId="77777777" w:rsidTr="0077160E">
        <w:trPr>
          <w:cnfStyle w:val="000000100000" w:firstRow="0" w:lastRow="0" w:firstColumn="0" w:lastColumn="0" w:oddVBand="0" w:evenVBand="0" w:oddHBand="1" w:evenHBand="0" w:firstRowFirstColumn="0" w:firstRowLastColumn="0" w:lastRowFirstColumn="0" w:lastRowLastColumn="0"/>
          <w:trHeight w:val="548"/>
        </w:trPr>
        <w:tc>
          <w:tcPr>
            <w:cnfStyle w:val="000010000000" w:firstRow="0" w:lastRow="0" w:firstColumn="0" w:lastColumn="0" w:oddVBand="1" w:evenVBand="0" w:oddHBand="0" w:evenHBand="0" w:firstRowFirstColumn="0" w:firstRowLastColumn="0" w:lastRowFirstColumn="0" w:lastRowLastColumn="0"/>
            <w:tcW w:w="2896" w:type="dxa"/>
            <w:vMerge/>
          </w:tcPr>
          <w:p w14:paraId="5E247C89" w14:textId="77777777" w:rsidR="0077160E" w:rsidRPr="00122E73" w:rsidRDefault="0077160E" w:rsidP="0077160E">
            <w:pPr>
              <w:autoSpaceDE w:val="0"/>
              <w:autoSpaceDN w:val="0"/>
              <w:adjustRightInd w:val="0"/>
              <w:spacing w:line="276" w:lineRule="auto"/>
              <w:rPr>
                <w:rFonts w:cstheme="majorBidi"/>
                <w:lang w:val="en-GB"/>
              </w:rPr>
            </w:pPr>
          </w:p>
        </w:tc>
        <w:tc>
          <w:tcPr>
            <w:tcW w:w="2357" w:type="dxa"/>
          </w:tcPr>
          <w:p w14:paraId="38CA8762" w14:textId="77777777" w:rsidR="0077160E" w:rsidRPr="00122E73" w:rsidRDefault="0077160E" w:rsidP="0077160E">
            <w:pPr>
              <w:autoSpaceDE w:val="0"/>
              <w:autoSpaceDN w:val="0"/>
              <w:adjustRightInd w:val="0"/>
              <w:spacing w:line="276" w:lineRule="auto"/>
              <w:ind w:left="60" w:right="60"/>
              <w:cnfStyle w:val="000000100000" w:firstRow="0" w:lastRow="0" w:firstColumn="0" w:lastColumn="0" w:oddVBand="0" w:evenVBand="0" w:oddHBand="1" w:evenHBand="0" w:firstRowFirstColumn="0" w:firstRowLastColumn="0" w:lastRowFirstColumn="0" w:lastRowLastColumn="0"/>
              <w:rPr>
                <w:rFonts w:cstheme="majorBidi"/>
                <w:color w:val="000000"/>
                <w:lang w:val="en-GB"/>
              </w:rPr>
            </w:pPr>
            <w:r w:rsidRPr="00122E73">
              <w:rPr>
                <w:rFonts w:cstheme="majorBidi"/>
                <w:color w:val="000000"/>
                <w:lang w:val="en-GB"/>
              </w:rPr>
              <w:t>N</w:t>
            </w:r>
          </w:p>
        </w:tc>
        <w:tc>
          <w:tcPr>
            <w:cnfStyle w:val="000010000000" w:firstRow="0" w:lastRow="0" w:firstColumn="0" w:lastColumn="0" w:oddVBand="1" w:evenVBand="0" w:oddHBand="0" w:evenHBand="0" w:firstRowFirstColumn="0" w:firstRowLastColumn="0" w:lastRowFirstColumn="0" w:lastRowLastColumn="0"/>
            <w:tcW w:w="1450" w:type="dxa"/>
          </w:tcPr>
          <w:p w14:paraId="4CB89EDB" w14:textId="77777777" w:rsidR="0077160E" w:rsidRPr="00122E73" w:rsidRDefault="0077160E" w:rsidP="0077160E">
            <w:pPr>
              <w:autoSpaceDE w:val="0"/>
              <w:autoSpaceDN w:val="0"/>
              <w:adjustRightInd w:val="0"/>
              <w:spacing w:line="276" w:lineRule="auto"/>
              <w:ind w:left="60" w:right="60"/>
              <w:jc w:val="center"/>
              <w:rPr>
                <w:rFonts w:cstheme="majorBidi"/>
                <w:color w:val="000000"/>
                <w:lang w:val="en-GB"/>
              </w:rPr>
            </w:pPr>
            <w:r w:rsidRPr="00122E73">
              <w:rPr>
                <w:rFonts w:cstheme="majorBidi"/>
                <w:color w:val="000000"/>
                <w:lang w:val="en-GB"/>
              </w:rPr>
              <w:t>412</w:t>
            </w:r>
          </w:p>
        </w:tc>
        <w:tc>
          <w:tcPr>
            <w:tcW w:w="2538" w:type="dxa"/>
          </w:tcPr>
          <w:p w14:paraId="61B312BF" w14:textId="77777777" w:rsidR="0077160E" w:rsidRPr="00122E73" w:rsidRDefault="0077160E" w:rsidP="0077160E">
            <w:pPr>
              <w:autoSpaceDE w:val="0"/>
              <w:autoSpaceDN w:val="0"/>
              <w:adjustRightInd w:val="0"/>
              <w:spacing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cstheme="majorBidi"/>
                <w:color w:val="000000"/>
                <w:lang w:val="en-GB"/>
              </w:rPr>
            </w:pPr>
            <w:r w:rsidRPr="00122E73">
              <w:rPr>
                <w:rFonts w:cstheme="majorBidi"/>
                <w:color w:val="000000"/>
                <w:lang w:val="en-GB"/>
              </w:rPr>
              <w:t>412</w:t>
            </w:r>
          </w:p>
        </w:tc>
      </w:tr>
    </w:tbl>
    <w:p w14:paraId="75468267" w14:textId="3E2A437A" w:rsidR="00D17C6D" w:rsidRPr="00D6072E" w:rsidRDefault="005836B8" w:rsidP="0077160E">
      <w:pPr>
        <w:tabs>
          <w:tab w:val="left" w:pos="90"/>
        </w:tabs>
        <w:autoSpaceDE w:val="0"/>
        <w:autoSpaceDN w:val="0"/>
        <w:adjustRightInd w:val="0"/>
        <w:spacing w:after="0" w:line="276" w:lineRule="auto"/>
        <w:jc w:val="both"/>
        <w:rPr>
          <w:rFonts w:cstheme="majorBidi"/>
          <w:sz w:val="20"/>
          <w:szCs w:val="20"/>
          <w:lang w:val="en-GB"/>
        </w:rPr>
      </w:pPr>
      <w:r w:rsidRPr="00D6072E">
        <w:rPr>
          <w:rFonts w:cstheme="majorBidi"/>
          <w:sz w:val="20"/>
          <w:szCs w:val="20"/>
          <w:lang w:val="en-GB"/>
        </w:rPr>
        <w:t>*</w:t>
      </w:r>
      <w:r w:rsidR="00D17C6D" w:rsidRPr="00D6072E">
        <w:rPr>
          <w:rFonts w:cstheme="majorBidi"/>
          <w:sz w:val="20"/>
          <w:szCs w:val="20"/>
          <w:lang w:val="en-GB"/>
        </w:rPr>
        <w:t xml:space="preserve">P1 is the average price per square meter for an apartment in a compound in three </w:t>
      </w:r>
      <w:r w:rsidR="0012578D">
        <w:rPr>
          <w:rFonts w:cstheme="majorBidi"/>
          <w:sz w:val="20"/>
          <w:szCs w:val="20"/>
          <w:lang w:val="en-GB"/>
        </w:rPr>
        <w:t>categories</w:t>
      </w:r>
      <w:r w:rsidR="00D17C6D" w:rsidRPr="00D6072E">
        <w:rPr>
          <w:rFonts w:cstheme="majorBidi"/>
          <w:sz w:val="20"/>
          <w:szCs w:val="20"/>
          <w:lang w:val="en-GB"/>
        </w:rPr>
        <w:t>: without finishing, half finishing, and full finishing.</w:t>
      </w:r>
    </w:p>
    <w:p w14:paraId="39D43046" w14:textId="5F4E9B04" w:rsidR="00711B16" w:rsidRPr="00032DA6" w:rsidRDefault="005836B8" w:rsidP="0077160E">
      <w:pPr>
        <w:tabs>
          <w:tab w:val="left" w:pos="90"/>
        </w:tabs>
        <w:autoSpaceDE w:val="0"/>
        <w:autoSpaceDN w:val="0"/>
        <w:adjustRightInd w:val="0"/>
        <w:spacing w:after="0" w:line="276" w:lineRule="auto"/>
        <w:jc w:val="both"/>
        <w:rPr>
          <w:rFonts w:cstheme="majorBidi"/>
          <w:color w:val="FF0000"/>
          <w:sz w:val="20"/>
          <w:szCs w:val="20"/>
          <w:lang w:val="en-GB" w:bidi="ar-EG"/>
        </w:rPr>
      </w:pPr>
      <w:r w:rsidRPr="00D6072E">
        <w:rPr>
          <w:rFonts w:cstheme="majorBidi"/>
          <w:sz w:val="20"/>
          <w:szCs w:val="20"/>
          <w:lang w:val="en-GB" w:bidi="ar-EG"/>
        </w:rPr>
        <w:t>**</w:t>
      </w:r>
      <w:r w:rsidR="00711B16" w:rsidRPr="00D6072E">
        <w:rPr>
          <w:rFonts w:cstheme="majorBidi"/>
          <w:sz w:val="20"/>
          <w:szCs w:val="20"/>
          <w:lang w:val="en-GB"/>
        </w:rPr>
        <w:t>P2</w:t>
      </w:r>
      <w:r w:rsidR="00D17C6D" w:rsidRPr="00D6072E">
        <w:rPr>
          <w:rFonts w:cstheme="majorBidi"/>
          <w:sz w:val="20"/>
          <w:szCs w:val="20"/>
          <w:lang w:val="en-GB"/>
        </w:rPr>
        <w:t xml:space="preserve"> </w:t>
      </w:r>
      <w:r w:rsidR="00711B16" w:rsidRPr="00D6072E">
        <w:rPr>
          <w:rFonts w:cstheme="majorBidi"/>
          <w:sz w:val="20"/>
          <w:szCs w:val="20"/>
          <w:lang w:val="en-GB"/>
        </w:rPr>
        <w:t xml:space="preserve">is the average price per square meter for </w:t>
      </w:r>
      <w:r w:rsidR="00D17C6D" w:rsidRPr="00D6072E">
        <w:rPr>
          <w:rFonts w:cstheme="majorBidi"/>
          <w:sz w:val="20"/>
          <w:szCs w:val="20"/>
          <w:lang w:val="en-GB"/>
        </w:rPr>
        <w:t xml:space="preserve">an </w:t>
      </w:r>
      <w:r w:rsidR="00711B16" w:rsidRPr="00D6072E">
        <w:rPr>
          <w:rFonts w:cstheme="majorBidi"/>
          <w:sz w:val="20"/>
          <w:szCs w:val="20"/>
          <w:lang w:val="en-GB"/>
        </w:rPr>
        <w:t xml:space="preserve">apartment outside </w:t>
      </w:r>
      <w:r w:rsidR="00D17C6D" w:rsidRPr="00D6072E">
        <w:rPr>
          <w:rFonts w:cstheme="majorBidi"/>
          <w:sz w:val="20"/>
          <w:szCs w:val="20"/>
          <w:lang w:val="en-GB"/>
        </w:rPr>
        <w:t xml:space="preserve">a </w:t>
      </w:r>
      <w:r w:rsidR="00711B16" w:rsidRPr="00D6072E">
        <w:rPr>
          <w:rFonts w:cstheme="majorBidi"/>
          <w:sz w:val="20"/>
          <w:szCs w:val="20"/>
          <w:lang w:val="en-GB"/>
        </w:rPr>
        <w:t>compound</w:t>
      </w:r>
      <w:r w:rsidR="00D17C6D" w:rsidRPr="00D6072E">
        <w:rPr>
          <w:rFonts w:cstheme="majorBidi"/>
          <w:sz w:val="20"/>
          <w:szCs w:val="20"/>
          <w:lang w:val="en-GB"/>
        </w:rPr>
        <w:t xml:space="preserve"> </w:t>
      </w:r>
      <w:r w:rsidR="00711B16" w:rsidRPr="00D6072E">
        <w:rPr>
          <w:rFonts w:cstheme="majorBidi"/>
          <w:sz w:val="20"/>
          <w:szCs w:val="20"/>
          <w:lang w:val="en-GB"/>
        </w:rPr>
        <w:t xml:space="preserve">in three </w:t>
      </w:r>
      <w:r w:rsidR="0012578D">
        <w:rPr>
          <w:rFonts w:cstheme="majorBidi"/>
          <w:sz w:val="20"/>
          <w:szCs w:val="20"/>
          <w:lang w:val="en-GB"/>
        </w:rPr>
        <w:t>categories</w:t>
      </w:r>
      <w:r w:rsidR="00D17C6D" w:rsidRPr="00D6072E">
        <w:rPr>
          <w:rFonts w:cstheme="majorBidi"/>
          <w:sz w:val="20"/>
          <w:szCs w:val="20"/>
          <w:lang w:val="en-GB"/>
        </w:rPr>
        <w:t>:</w:t>
      </w:r>
      <w:r w:rsidR="00711B16" w:rsidRPr="00D6072E">
        <w:rPr>
          <w:rFonts w:cstheme="majorBidi"/>
          <w:sz w:val="20"/>
          <w:szCs w:val="20"/>
          <w:lang w:val="en-GB"/>
        </w:rPr>
        <w:t xml:space="preserve"> without finishing, half finishing</w:t>
      </w:r>
      <w:r w:rsidR="00D17C6D" w:rsidRPr="00D6072E">
        <w:rPr>
          <w:rFonts w:cstheme="majorBidi"/>
          <w:sz w:val="20"/>
          <w:szCs w:val="20"/>
          <w:lang w:val="en-GB"/>
        </w:rPr>
        <w:t>,</w:t>
      </w:r>
      <w:r w:rsidR="00711B16" w:rsidRPr="00D6072E">
        <w:rPr>
          <w:rFonts w:cstheme="majorBidi"/>
          <w:sz w:val="20"/>
          <w:szCs w:val="20"/>
          <w:lang w:val="en-GB"/>
        </w:rPr>
        <w:t xml:space="preserve"> and </w:t>
      </w:r>
      <w:r w:rsidRPr="00D6072E">
        <w:rPr>
          <w:rFonts w:cstheme="majorBidi"/>
          <w:sz w:val="20"/>
          <w:szCs w:val="20"/>
          <w:lang w:val="en-GB"/>
        </w:rPr>
        <w:t>full</w:t>
      </w:r>
      <w:r w:rsidR="00711B16" w:rsidRPr="00D6072E">
        <w:rPr>
          <w:rFonts w:cstheme="majorBidi"/>
          <w:sz w:val="20"/>
          <w:szCs w:val="20"/>
          <w:lang w:val="en-GB"/>
        </w:rPr>
        <w:t xml:space="preserve"> finishing.</w:t>
      </w:r>
      <w:r w:rsidR="00711B16" w:rsidRPr="00032DA6">
        <w:rPr>
          <w:rFonts w:cstheme="majorBidi"/>
          <w:sz w:val="20"/>
          <w:szCs w:val="20"/>
          <w:lang w:val="en-GB"/>
        </w:rPr>
        <w:t xml:space="preserve"> </w:t>
      </w:r>
    </w:p>
    <w:p w14:paraId="30910E5D" w14:textId="045CE1FC" w:rsidR="00711B16" w:rsidRPr="00032DA6" w:rsidRDefault="00D17C6D" w:rsidP="00DE108C">
      <w:pPr>
        <w:tabs>
          <w:tab w:val="left" w:pos="90"/>
        </w:tabs>
        <w:autoSpaceDE w:val="0"/>
        <w:autoSpaceDN w:val="0"/>
        <w:adjustRightInd w:val="0"/>
        <w:spacing w:after="0" w:line="276" w:lineRule="auto"/>
        <w:rPr>
          <w:rFonts w:cstheme="majorBidi"/>
          <w:sz w:val="10"/>
          <w:szCs w:val="10"/>
          <w:lang w:val="en-GB"/>
        </w:rPr>
      </w:pPr>
      <w:r>
        <w:rPr>
          <w:rFonts w:cstheme="majorBidi"/>
          <w:sz w:val="10"/>
          <w:szCs w:val="10"/>
          <w:lang w:val="en-GB"/>
        </w:rPr>
        <w:t xml:space="preserve"> </w:t>
      </w:r>
    </w:p>
    <w:p w14:paraId="47E0D43C" w14:textId="6D7D03CE" w:rsidR="00711B16" w:rsidRPr="004C4582" w:rsidRDefault="0077160E" w:rsidP="00DE108C">
      <w:pPr>
        <w:tabs>
          <w:tab w:val="left" w:pos="90"/>
        </w:tabs>
        <w:autoSpaceDE w:val="0"/>
        <w:autoSpaceDN w:val="0"/>
        <w:adjustRightInd w:val="0"/>
        <w:spacing w:after="0" w:line="276" w:lineRule="auto"/>
        <w:jc w:val="both"/>
        <w:rPr>
          <w:rFonts w:cstheme="majorBidi"/>
          <w:lang w:val="en-GB"/>
        </w:rPr>
      </w:pPr>
      <w:r w:rsidRPr="004C4582">
        <w:rPr>
          <w:rFonts w:cstheme="majorBidi"/>
          <w:lang w:val="en-GB"/>
        </w:rPr>
        <w:t>Table (</w:t>
      </w:r>
      <w:r w:rsidR="00AA1337" w:rsidRPr="004C4582">
        <w:rPr>
          <w:rFonts w:cstheme="majorBidi"/>
          <w:lang w:val="en-GB"/>
        </w:rPr>
        <w:t>14</w:t>
      </w:r>
      <w:r w:rsidRPr="004C4582">
        <w:rPr>
          <w:rFonts w:cstheme="majorBidi"/>
          <w:lang w:val="en-GB"/>
        </w:rPr>
        <w:t>) above</w:t>
      </w:r>
      <w:r w:rsidR="00F63BEC" w:rsidRPr="004C4582">
        <w:rPr>
          <w:rFonts w:cstheme="majorBidi"/>
          <w:lang w:val="en-GB"/>
        </w:rPr>
        <w:t xml:space="preserve"> shows the significance of the proposed index components and affirms the strong correlation between the components. We compose the index through three main step</w:t>
      </w:r>
      <w:r w:rsidR="008C65E1" w:rsidRPr="004C4582">
        <w:rPr>
          <w:rFonts w:cstheme="majorBidi"/>
          <w:lang w:val="en-GB"/>
        </w:rPr>
        <w:t>s</w:t>
      </w:r>
      <w:r w:rsidR="00F63BEC" w:rsidRPr="004C4582">
        <w:rPr>
          <w:rFonts w:cstheme="majorBidi"/>
          <w:lang w:val="en-GB"/>
        </w:rPr>
        <w:t xml:space="preserve">: (1) weighing, (2) </w:t>
      </w:r>
      <w:r w:rsidR="00603094" w:rsidRPr="004C4582">
        <w:rPr>
          <w:rFonts w:cstheme="majorBidi"/>
          <w:lang w:val="en-GB"/>
        </w:rPr>
        <w:t>n</w:t>
      </w:r>
      <w:r w:rsidR="00191E6F" w:rsidRPr="004C4582">
        <w:rPr>
          <w:rFonts w:cstheme="majorBidi"/>
          <w:lang w:val="en-GB"/>
        </w:rPr>
        <w:t>ormalization</w:t>
      </w:r>
      <w:r w:rsidR="00603094" w:rsidRPr="004C4582">
        <w:rPr>
          <w:rFonts w:cstheme="majorBidi"/>
          <w:lang w:val="en-GB"/>
        </w:rPr>
        <w:t xml:space="preserve">, </w:t>
      </w:r>
      <w:r w:rsidR="00191E6F" w:rsidRPr="004C4582">
        <w:rPr>
          <w:rFonts w:cstheme="majorBidi"/>
          <w:lang w:val="en-GB"/>
        </w:rPr>
        <w:t xml:space="preserve">and (3) </w:t>
      </w:r>
      <w:r w:rsidR="00603094" w:rsidRPr="004C4582">
        <w:rPr>
          <w:rFonts w:cstheme="majorBidi"/>
          <w:lang w:val="en-GB"/>
        </w:rPr>
        <w:t>a</w:t>
      </w:r>
      <w:r w:rsidR="00191E6F" w:rsidRPr="004C4582">
        <w:rPr>
          <w:rFonts w:cstheme="majorBidi"/>
          <w:lang w:val="en-GB"/>
        </w:rPr>
        <w:t>ggregation.</w:t>
      </w:r>
      <w:r w:rsidR="008C65E1" w:rsidRPr="004C4582">
        <w:rPr>
          <w:rFonts w:cstheme="majorBidi"/>
          <w:lang w:val="en-GB"/>
        </w:rPr>
        <w:t xml:space="preserve"> </w:t>
      </w:r>
      <w:r w:rsidR="22DC693E" w:rsidRPr="004C4582">
        <w:rPr>
          <w:rFonts w:cstheme="majorBidi"/>
          <w:lang w:val="en-GB"/>
        </w:rPr>
        <w:t>T</w:t>
      </w:r>
      <w:r w:rsidR="00711B16" w:rsidRPr="004C4582">
        <w:rPr>
          <w:rFonts w:cstheme="majorBidi"/>
          <w:lang w:val="en-GB"/>
        </w:rPr>
        <w:t>o estimate</w:t>
      </w:r>
      <w:r w:rsidR="4D45C5DB" w:rsidRPr="004C4582">
        <w:rPr>
          <w:rFonts w:cstheme="majorBidi"/>
          <w:lang w:val="en-GB"/>
        </w:rPr>
        <w:t xml:space="preserve"> </w:t>
      </w:r>
      <w:r w:rsidR="00E21242" w:rsidRPr="004C4582">
        <w:rPr>
          <w:rFonts w:cstheme="majorBidi"/>
          <w:lang w:val="en-GB"/>
        </w:rPr>
        <w:t xml:space="preserve">the index </w:t>
      </w:r>
      <w:r w:rsidR="00711B16" w:rsidRPr="004C4582">
        <w:rPr>
          <w:rFonts w:cstheme="majorBidi"/>
          <w:lang w:val="en-GB"/>
        </w:rPr>
        <w:t xml:space="preserve">weights, </w:t>
      </w:r>
      <w:r w:rsidR="00E21242" w:rsidRPr="004C4582">
        <w:rPr>
          <w:rFonts w:cstheme="majorBidi"/>
          <w:lang w:val="en-GB"/>
        </w:rPr>
        <w:t xml:space="preserve">Principal Components Analysis was used </w:t>
      </w:r>
      <w:r w:rsidR="00711B16" w:rsidRPr="004C4582">
        <w:rPr>
          <w:rFonts w:cstheme="majorBidi"/>
          <w:lang w:val="en-GB"/>
        </w:rPr>
        <w:t xml:space="preserve">(PCA) </w:t>
      </w:r>
      <w:r w:rsidR="00E21242" w:rsidRPr="004C4582">
        <w:rPr>
          <w:rFonts w:cstheme="majorBidi"/>
          <w:lang w:val="en-GB"/>
        </w:rPr>
        <w:t>as indicated in</w:t>
      </w:r>
      <w:r w:rsidR="00711B16" w:rsidRPr="004C4582">
        <w:rPr>
          <w:rFonts w:cstheme="majorBidi"/>
          <w:lang w:val="en-GB"/>
        </w:rPr>
        <w:t xml:space="preserve"> (Filmer and Pritchett 2010). This approach standardizes the sub-indicators by calculating z-scores using the following formula</w:t>
      </w:r>
      <w:r w:rsidRPr="004C4582">
        <w:rPr>
          <w:rFonts w:cstheme="majorBidi"/>
          <w:lang w:val="en-GB"/>
        </w:rPr>
        <w:t>:</w:t>
      </w:r>
    </w:p>
    <w:p w14:paraId="173AE275" w14:textId="7BB649A4" w:rsidR="00711B16" w:rsidRPr="00122E73" w:rsidRDefault="00711B16" w:rsidP="0077160E">
      <w:pPr>
        <w:tabs>
          <w:tab w:val="left" w:pos="90"/>
        </w:tabs>
        <w:autoSpaceDE w:val="0"/>
        <w:autoSpaceDN w:val="0"/>
        <w:adjustRightInd w:val="0"/>
        <w:spacing w:after="0" w:line="276" w:lineRule="auto"/>
        <w:ind w:left="180"/>
        <w:jc w:val="center"/>
        <w:rPr>
          <w:rFonts w:eastAsiaTheme="minorEastAsia" w:cstheme="majorBidi"/>
          <w:lang w:val="en-GB"/>
        </w:rPr>
      </w:pPr>
      <m:oMath>
        <m:r>
          <w:rPr>
            <w:rFonts w:ascii="Cambria Math" w:hAnsi="Cambria Math" w:cstheme="majorBidi"/>
            <w:lang w:val="en-GB"/>
          </w:rPr>
          <m:t>I=</m:t>
        </m:r>
        <m:f>
          <m:fPr>
            <m:ctrlPr>
              <w:rPr>
                <w:rFonts w:ascii="Cambria Math" w:hAnsi="Cambria Math" w:cstheme="majorBidi"/>
                <w:i/>
                <w:lang w:val="en-GB"/>
              </w:rPr>
            </m:ctrlPr>
          </m:fPr>
          <m:num>
            <m:r>
              <w:rPr>
                <w:rFonts w:ascii="Cambria Math" w:hAnsi="Cambria Math" w:cstheme="majorBidi"/>
                <w:lang w:val="en-GB"/>
              </w:rPr>
              <m:t>x-</m:t>
            </m:r>
            <m:acc>
              <m:accPr>
                <m:chr m:val="̅"/>
                <m:ctrlPr>
                  <w:rPr>
                    <w:rFonts w:ascii="Cambria Math" w:hAnsi="Cambria Math" w:cstheme="majorBidi"/>
                    <w:i/>
                    <w:lang w:val="en-GB"/>
                  </w:rPr>
                </m:ctrlPr>
              </m:accPr>
              <m:e>
                <m:r>
                  <w:rPr>
                    <w:rFonts w:ascii="Cambria Math" w:hAnsi="Cambria Math" w:cstheme="majorBidi"/>
                    <w:lang w:val="en-GB"/>
                  </w:rPr>
                  <m:t>x</m:t>
                </m:r>
              </m:e>
            </m:acc>
          </m:num>
          <m:den>
            <m:r>
              <w:rPr>
                <w:rFonts w:ascii="Cambria Math" w:hAnsi="Cambria Math" w:cstheme="majorBidi"/>
                <w:lang w:val="en-GB"/>
              </w:rPr>
              <m:t>σ</m:t>
            </m:r>
          </m:den>
        </m:f>
      </m:oMath>
      <w:r w:rsidRPr="00122E73">
        <w:rPr>
          <w:rFonts w:eastAsiaTheme="minorEastAsia" w:cstheme="majorBidi"/>
          <w:lang w:val="en-GB"/>
        </w:rPr>
        <w:t>,</w:t>
      </w:r>
      <w:r w:rsidR="00E21242" w:rsidRPr="00122E73">
        <w:rPr>
          <w:rFonts w:eastAsiaTheme="minorEastAsia" w:cstheme="majorBidi"/>
          <w:lang w:val="en-GB"/>
        </w:rPr>
        <w:t xml:space="preserve">  </w:t>
      </w:r>
      <w:r w:rsidR="0077160E" w:rsidRPr="00122E73">
        <w:rPr>
          <w:rFonts w:eastAsiaTheme="minorEastAsia" w:cstheme="majorBidi"/>
          <w:lang w:val="en-GB"/>
        </w:rPr>
        <w:t xml:space="preserve">              </w:t>
      </w:r>
      <w:r w:rsidR="00E21242" w:rsidRPr="00122E73">
        <w:rPr>
          <w:rFonts w:eastAsiaTheme="minorEastAsia" w:cstheme="majorBidi"/>
          <w:lang w:val="en-GB"/>
        </w:rPr>
        <w:t>(2)</w:t>
      </w:r>
    </w:p>
    <w:p w14:paraId="490E621E" w14:textId="1DBA04A7" w:rsidR="00711B16" w:rsidRPr="00122E73" w:rsidRDefault="5F1CB9A9" w:rsidP="00DE108C">
      <w:pPr>
        <w:tabs>
          <w:tab w:val="left" w:pos="90"/>
        </w:tabs>
        <w:autoSpaceDE w:val="0"/>
        <w:autoSpaceDN w:val="0"/>
        <w:adjustRightInd w:val="0"/>
        <w:spacing w:after="0" w:line="276" w:lineRule="auto"/>
        <w:ind w:left="180"/>
        <w:jc w:val="both"/>
        <w:rPr>
          <w:rFonts w:cstheme="majorBidi"/>
          <w:lang w:val="en-GB"/>
        </w:rPr>
      </w:pPr>
      <w:r w:rsidRPr="037454A3">
        <w:rPr>
          <w:rFonts w:cstheme="majorBidi"/>
          <w:lang w:val="en-GB"/>
        </w:rPr>
        <w:t>W</w:t>
      </w:r>
      <w:r w:rsidR="660BA4E9" w:rsidRPr="037454A3">
        <w:rPr>
          <w:rFonts w:cstheme="majorBidi"/>
          <w:lang w:val="en-GB"/>
        </w:rPr>
        <w:t>here,</w:t>
      </w:r>
    </w:p>
    <w:p w14:paraId="47D6FAE8" w14:textId="77777777" w:rsidR="00711B16" w:rsidRPr="00122E73" w:rsidRDefault="00711B16" w:rsidP="00DE108C">
      <w:pPr>
        <w:pStyle w:val="ListParagraph"/>
        <w:numPr>
          <w:ilvl w:val="0"/>
          <w:numId w:val="34"/>
        </w:numPr>
        <w:tabs>
          <w:tab w:val="left" w:pos="90"/>
        </w:tabs>
        <w:autoSpaceDE w:val="0"/>
        <w:autoSpaceDN w:val="0"/>
        <w:adjustRightInd w:val="0"/>
        <w:spacing w:after="0" w:line="276" w:lineRule="auto"/>
        <w:jc w:val="both"/>
        <w:rPr>
          <w:rFonts w:cstheme="majorBidi"/>
          <w:lang w:val="en-GB"/>
        </w:rPr>
      </w:pPr>
      <m:oMath>
        <m:r>
          <w:rPr>
            <w:rFonts w:ascii="Cambria Math" w:hAnsi="Cambria Math" w:cstheme="majorBidi"/>
            <w:lang w:val="en-GB"/>
          </w:rPr>
          <m:t>x</m:t>
        </m:r>
      </m:oMath>
      <w:r w:rsidRPr="00122E73">
        <w:rPr>
          <w:rFonts w:cstheme="majorBidi"/>
          <w:lang w:val="en-GB"/>
        </w:rPr>
        <w:t xml:space="preserve"> is the sub-indicator value,</w:t>
      </w:r>
    </w:p>
    <w:p w14:paraId="1D64603D" w14:textId="77777777" w:rsidR="00711B16" w:rsidRPr="00122E73" w:rsidRDefault="004C4582" w:rsidP="00DE108C">
      <w:pPr>
        <w:pStyle w:val="ListParagraph"/>
        <w:numPr>
          <w:ilvl w:val="0"/>
          <w:numId w:val="34"/>
        </w:numPr>
        <w:tabs>
          <w:tab w:val="left" w:pos="90"/>
        </w:tabs>
        <w:autoSpaceDE w:val="0"/>
        <w:autoSpaceDN w:val="0"/>
        <w:adjustRightInd w:val="0"/>
        <w:spacing w:after="0" w:line="276" w:lineRule="auto"/>
        <w:jc w:val="both"/>
        <w:rPr>
          <w:rFonts w:cstheme="majorBidi"/>
          <w:lang w:val="en-GB"/>
        </w:rPr>
      </w:pPr>
      <m:oMath>
        <m:acc>
          <m:accPr>
            <m:chr m:val="̅"/>
            <m:ctrlPr>
              <w:rPr>
                <w:rFonts w:ascii="Cambria Math" w:hAnsi="Cambria Math" w:cstheme="majorBidi"/>
                <w:lang w:val="en-GB"/>
              </w:rPr>
            </m:ctrlPr>
          </m:accPr>
          <m:e>
            <m:r>
              <w:rPr>
                <w:rFonts w:ascii="Cambria Math" w:hAnsi="Cambria Math" w:cstheme="majorBidi"/>
                <w:lang w:val="en-GB"/>
              </w:rPr>
              <m:t>x</m:t>
            </m:r>
          </m:e>
        </m:acc>
      </m:oMath>
      <w:r w:rsidR="00711B16" w:rsidRPr="00122E73">
        <w:rPr>
          <w:rFonts w:cstheme="majorBidi"/>
          <w:lang w:val="en-GB"/>
        </w:rPr>
        <w:t xml:space="preserve"> is the mean value,</w:t>
      </w:r>
    </w:p>
    <w:p w14:paraId="2ECCC25A" w14:textId="77777777" w:rsidR="00711B16" w:rsidRPr="00122E73" w:rsidRDefault="00711B16" w:rsidP="00DE108C">
      <w:pPr>
        <w:pStyle w:val="ListParagraph"/>
        <w:numPr>
          <w:ilvl w:val="0"/>
          <w:numId w:val="34"/>
        </w:numPr>
        <w:tabs>
          <w:tab w:val="left" w:pos="90"/>
        </w:tabs>
        <w:autoSpaceDE w:val="0"/>
        <w:autoSpaceDN w:val="0"/>
        <w:adjustRightInd w:val="0"/>
        <w:spacing w:after="0" w:line="276" w:lineRule="auto"/>
        <w:jc w:val="both"/>
        <w:rPr>
          <w:rFonts w:cstheme="majorBidi"/>
          <w:lang w:val="en-GB"/>
        </w:rPr>
      </w:pPr>
      <m:oMath>
        <m:r>
          <w:rPr>
            <w:rFonts w:ascii="Cambria Math" w:hAnsi="Cambria Math" w:cstheme="majorBidi"/>
            <w:lang w:val="en-GB"/>
          </w:rPr>
          <m:t>σ</m:t>
        </m:r>
      </m:oMath>
      <w:r w:rsidRPr="00122E73">
        <w:rPr>
          <w:rFonts w:cstheme="majorBidi"/>
          <w:lang w:val="en-GB"/>
        </w:rPr>
        <w:t xml:space="preserve"> is the standard deviation value.</w:t>
      </w:r>
    </w:p>
    <w:p w14:paraId="13C1AE95" w14:textId="77777777" w:rsidR="00EC1BD3" w:rsidRPr="00122E73" w:rsidRDefault="00EC1BD3" w:rsidP="00DE108C">
      <w:pPr>
        <w:tabs>
          <w:tab w:val="left" w:pos="90"/>
        </w:tabs>
        <w:autoSpaceDE w:val="0"/>
        <w:autoSpaceDN w:val="0"/>
        <w:adjustRightInd w:val="0"/>
        <w:spacing w:after="0" w:line="276" w:lineRule="auto"/>
        <w:jc w:val="both"/>
        <w:rPr>
          <w:rFonts w:cstheme="majorBidi"/>
          <w:lang w:val="en-GB"/>
        </w:rPr>
      </w:pPr>
    </w:p>
    <w:p w14:paraId="25BF1F26" w14:textId="151D80E1" w:rsidR="00122E73" w:rsidRPr="00122E73" w:rsidRDefault="00B62CF0" w:rsidP="00122E73">
      <w:pPr>
        <w:tabs>
          <w:tab w:val="left" w:pos="90"/>
        </w:tabs>
        <w:autoSpaceDE w:val="0"/>
        <w:autoSpaceDN w:val="0"/>
        <w:adjustRightInd w:val="0"/>
        <w:spacing w:after="0" w:line="276" w:lineRule="auto"/>
        <w:jc w:val="both"/>
        <w:rPr>
          <w:rFonts w:cstheme="majorBidi"/>
          <w:lang w:val="en-GB"/>
        </w:rPr>
      </w:pPr>
      <w:r w:rsidRPr="004C4582">
        <w:rPr>
          <w:rFonts w:cstheme="majorBidi"/>
          <w:lang w:val="en-GB"/>
        </w:rPr>
        <w:t xml:space="preserve">After </w:t>
      </w:r>
      <w:r w:rsidR="0077160E" w:rsidRPr="004C4582">
        <w:rPr>
          <w:rFonts w:cstheme="majorBidi"/>
          <w:lang w:val="en-GB"/>
        </w:rPr>
        <w:t>applying</w:t>
      </w:r>
      <w:r w:rsidRPr="004C4582">
        <w:rPr>
          <w:rFonts w:cstheme="majorBidi"/>
          <w:lang w:val="en-GB"/>
        </w:rPr>
        <w:t xml:space="preserve"> the normalization and aggregation steps, the</w:t>
      </w:r>
      <w:r w:rsidR="00711B16" w:rsidRPr="004C4582">
        <w:rPr>
          <w:rFonts w:cstheme="majorBidi"/>
          <w:lang w:val="en-GB"/>
        </w:rPr>
        <w:t xml:space="preserve"> index scores are then divided into </w:t>
      </w:r>
      <w:r w:rsidR="0077160E" w:rsidRPr="004C4582">
        <w:rPr>
          <w:rFonts w:cstheme="majorBidi"/>
          <w:lang w:val="en-GB"/>
        </w:rPr>
        <w:t xml:space="preserve">three </w:t>
      </w:r>
      <w:r w:rsidR="00711B16" w:rsidRPr="004C4582">
        <w:rPr>
          <w:rFonts w:cstheme="majorBidi"/>
          <w:lang w:val="en-GB"/>
        </w:rPr>
        <w:t>quintiles</w:t>
      </w:r>
      <w:r w:rsidR="0077160E" w:rsidRPr="004C4582">
        <w:rPr>
          <w:rFonts w:cstheme="majorBidi"/>
          <w:lang w:val="en-GB"/>
        </w:rPr>
        <w:t xml:space="preserve">: </w:t>
      </w:r>
      <w:r w:rsidR="00711B16" w:rsidRPr="004C4582">
        <w:rPr>
          <w:rFonts w:cstheme="majorBidi"/>
          <w:lang w:val="en-GB"/>
        </w:rPr>
        <w:t xml:space="preserve">low, </w:t>
      </w:r>
      <w:r w:rsidRPr="004C4582">
        <w:rPr>
          <w:rFonts w:cstheme="majorBidi"/>
          <w:lang w:val="en-GB"/>
        </w:rPr>
        <w:t>moderate</w:t>
      </w:r>
      <w:r w:rsidR="0077160E" w:rsidRPr="004C4582">
        <w:rPr>
          <w:rFonts w:cstheme="majorBidi"/>
          <w:lang w:val="en-GB"/>
        </w:rPr>
        <w:t xml:space="preserve">, </w:t>
      </w:r>
      <w:r w:rsidR="00711B16" w:rsidRPr="004C4582">
        <w:rPr>
          <w:rFonts w:cstheme="majorBidi"/>
          <w:lang w:val="en-GB"/>
        </w:rPr>
        <w:t xml:space="preserve">and high. The </w:t>
      </w:r>
      <w:r w:rsidR="00DD5D58" w:rsidRPr="004C4582">
        <w:rPr>
          <w:rFonts w:cstheme="majorBidi"/>
          <w:lang w:val="en-GB"/>
        </w:rPr>
        <w:t xml:space="preserve">adequacy of the data to </w:t>
      </w:r>
      <w:r w:rsidR="005242C5" w:rsidRPr="004C4582">
        <w:rPr>
          <w:rFonts w:cstheme="majorBidi"/>
          <w:lang w:val="en-GB"/>
        </w:rPr>
        <w:t>employing F</w:t>
      </w:r>
      <w:r w:rsidR="00711B16" w:rsidRPr="004C4582">
        <w:rPr>
          <w:rFonts w:cstheme="majorBidi"/>
          <w:lang w:val="en-GB"/>
        </w:rPr>
        <w:t xml:space="preserve">actor </w:t>
      </w:r>
      <w:r w:rsidR="005242C5" w:rsidRPr="004C4582">
        <w:rPr>
          <w:rFonts w:cstheme="majorBidi"/>
          <w:lang w:val="en-GB"/>
        </w:rPr>
        <w:t>A</w:t>
      </w:r>
      <w:r w:rsidR="00711B16" w:rsidRPr="004C4582">
        <w:rPr>
          <w:rFonts w:cstheme="majorBidi"/>
          <w:lang w:val="en-GB"/>
        </w:rPr>
        <w:t>nalysis is measured by Kaiser-Meyer-Olkin (KMO) test.</w:t>
      </w:r>
      <w:r w:rsidR="005242C5" w:rsidRPr="004C4582">
        <w:rPr>
          <w:rFonts w:cstheme="majorBidi"/>
          <w:lang w:val="en-GB"/>
        </w:rPr>
        <w:t xml:space="preserve"> As indicated in table (</w:t>
      </w:r>
      <w:r w:rsidR="00AA1337" w:rsidRPr="004C4582">
        <w:rPr>
          <w:rFonts w:cstheme="majorBidi"/>
          <w:lang w:val="en-GB"/>
        </w:rPr>
        <w:t>15</w:t>
      </w:r>
      <w:r w:rsidR="005242C5" w:rsidRPr="004C4582">
        <w:rPr>
          <w:rFonts w:cstheme="majorBidi"/>
          <w:lang w:val="en-GB"/>
        </w:rPr>
        <w:t>)</w:t>
      </w:r>
      <w:r w:rsidR="00711B16" w:rsidRPr="004C4582">
        <w:rPr>
          <w:rFonts w:cstheme="majorBidi"/>
          <w:lang w:val="en-GB"/>
        </w:rPr>
        <w:t>, KMO is equal to 0.8</w:t>
      </w:r>
      <w:r w:rsidR="00AA1337" w:rsidRPr="004C4582">
        <w:rPr>
          <w:rFonts w:cstheme="majorBidi"/>
          <w:lang w:val="en-GB"/>
        </w:rPr>
        <w:t xml:space="preserve"> </w:t>
      </w:r>
      <w:r w:rsidR="00B47649" w:rsidRPr="004C4582">
        <w:rPr>
          <w:rFonts w:cstheme="majorBidi"/>
          <w:lang w:val="en-GB"/>
        </w:rPr>
        <w:t>which affirms the robustness of desi</w:t>
      </w:r>
      <w:r w:rsidR="00373BA5" w:rsidRPr="004C4582">
        <w:rPr>
          <w:rFonts w:cstheme="majorBidi"/>
          <w:lang w:val="en-GB"/>
        </w:rPr>
        <w:t>gned index</w:t>
      </w:r>
      <w:r w:rsidR="00B47649" w:rsidRPr="004C4582">
        <w:rPr>
          <w:rFonts w:cstheme="majorBidi"/>
          <w:lang w:val="en-GB"/>
        </w:rPr>
        <w:t>.</w:t>
      </w:r>
    </w:p>
    <w:tbl>
      <w:tblPr>
        <w:tblW w:w="58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80"/>
        <w:gridCol w:w="2340"/>
        <w:gridCol w:w="1038"/>
      </w:tblGrid>
      <w:tr w:rsidR="00711B16" w:rsidRPr="00032DA6" w14:paraId="1ECBBBDD" w14:textId="77777777" w:rsidTr="00603094">
        <w:trPr>
          <w:cantSplit/>
          <w:jc w:val="center"/>
        </w:trPr>
        <w:tc>
          <w:tcPr>
            <w:tcW w:w="5858" w:type="dxa"/>
            <w:gridSpan w:val="3"/>
            <w:tcBorders>
              <w:top w:val="nil"/>
              <w:left w:val="nil"/>
              <w:bottom w:val="single" w:sz="4" w:space="0" w:color="auto"/>
              <w:right w:val="nil"/>
            </w:tcBorders>
            <w:shd w:val="clear" w:color="auto" w:fill="FFFFFF"/>
            <w:vAlign w:val="center"/>
          </w:tcPr>
          <w:p w14:paraId="34EA6259" w14:textId="3FCFCB32" w:rsidR="00711B16" w:rsidRPr="00603094" w:rsidRDefault="00711B16" w:rsidP="00DE108C">
            <w:pPr>
              <w:autoSpaceDE w:val="0"/>
              <w:autoSpaceDN w:val="0"/>
              <w:adjustRightInd w:val="0"/>
              <w:spacing w:after="0" w:line="276" w:lineRule="auto"/>
              <w:ind w:left="60" w:right="60"/>
              <w:rPr>
                <w:rFonts w:cstheme="majorBidi"/>
                <w:b/>
                <w:bCs/>
                <w:color w:val="000000"/>
                <w:lang w:val="en-GB"/>
              </w:rPr>
            </w:pPr>
            <w:r w:rsidRPr="00603094">
              <w:rPr>
                <w:rFonts w:ascii="Times New Roman" w:eastAsiaTheme="majorEastAsia" w:hAnsi="Times New Roman" w:cs="Times New Roman"/>
                <w:b/>
                <w:bCs/>
                <w:lang w:val="en-GB"/>
              </w:rPr>
              <w:t xml:space="preserve">Table </w:t>
            </w:r>
            <w:r w:rsidR="005242C5" w:rsidRPr="00603094">
              <w:rPr>
                <w:rFonts w:ascii="Times New Roman" w:eastAsiaTheme="majorEastAsia" w:hAnsi="Times New Roman" w:cs="Times New Roman"/>
                <w:b/>
                <w:bCs/>
                <w:lang w:val="en-GB"/>
              </w:rPr>
              <w:t>(</w:t>
            </w:r>
            <w:r w:rsidR="00AA1337">
              <w:rPr>
                <w:rFonts w:ascii="Times New Roman" w:eastAsiaTheme="majorEastAsia" w:hAnsi="Times New Roman" w:cs="Times New Roman"/>
                <w:b/>
                <w:bCs/>
                <w:lang w:val="en-GB"/>
              </w:rPr>
              <w:t>15</w:t>
            </w:r>
            <w:r w:rsidR="005242C5" w:rsidRPr="00603094">
              <w:rPr>
                <w:rFonts w:ascii="Times New Roman" w:eastAsiaTheme="majorEastAsia" w:hAnsi="Times New Roman" w:cs="Times New Roman"/>
                <w:b/>
                <w:bCs/>
                <w:lang w:val="en-GB"/>
              </w:rPr>
              <w:t>)</w:t>
            </w:r>
            <w:r w:rsidRPr="00603094">
              <w:rPr>
                <w:rFonts w:ascii="Times New Roman" w:eastAsiaTheme="majorEastAsia" w:hAnsi="Times New Roman" w:cs="Times New Roman"/>
                <w:b/>
                <w:bCs/>
                <w:lang w:val="en-GB"/>
              </w:rPr>
              <w:t>: KMO and Bartlett's Test</w:t>
            </w:r>
          </w:p>
        </w:tc>
      </w:tr>
      <w:tr w:rsidR="00711B16" w:rsidRPr="00032DA6" w14:paraId="626EB7BB" w14:textId="77777777" w:rsidTr="00603094">
        <w:trPr>
          <w:cantSplit/>
          <w:jc w:val="center"/>
        </w:trPr>
        <w:tc>
          <w:tcPr>
            <w:tcW w:w="4820" w:type="dxa"/>
            <w:gridSpan w:val="2"/>
            <w:tcBorders>
              <w:top w:val="single" w:sz="4" w:space="0" w:color="auto"/>
              <w:left w:val="single" w:sz="4" w:space="0" w:color="auto"/>
              <w:bottom w:val="nil"/>
              <w:right w:val="nil"/>
            </w:tcBorders>
            <w:shd w:val="clear" w:color="auto" w:fill="FFFFFF"/>
          </w:tcPr>
          <w:p w14:paraId="08F2C45C" w14:textId="77777777" w:rsidR="00711B16" w:rsidRPr="00032DA6" w:rsidRDefault="00711B16" w:rsidP="00DE108C">
            <w:pPr>
              <w:autoSpaceDE w:val="0"/>
              <w:autoSpaceDN w:val="0"/>
              <w:adjustRightInd w:val="0"/>
              <w:spacing w:after="0" w:line="276" w:lineRule="auto"/>
              <w:ind w:left="60" w:right="60"/>
              <w:rPr>
                <w:rFonts w:cstheme="majorBidi"/>
                <w:color w:val="000000"/>
                <w:sz w:val="20"/>
                <w:szCs w:val="20"/>
                <w:lang w:val="en-GB"/>
              </w:rPr>
            </w:pPr>
            <w:r w:rsidRPr="00032DA6">
              <w:rPr>
                <w:rFonts w:cstheme="majorBidi"/>
                <w:color w:val="000000"/>
                <w:sz w:val="20"/>
                <w:szCs w:val="20"/>
                <w:lang w:val="en-GB"/>
              </w:rPr>
              <w:t>Kaiser-Meyer-Olkin Measure of Sampling Adequacy.</w:t>
            </w:r>
          </w:p>
        </w:tc>
        <w:tc>
          <w:tcPr>
            <w:tcW w:w="1038" w:type="dxa"/>
            <w:tcBorders>
              <w:top w:val="single" w:sz="4" w:space="0" w:color="auto"/>
              <w:left w:val="single" w:sz="16" w:space="0" w:color="000000"/>
              <w:bottom w:val="nil"/>
              <w:right w:val="single" w:sz="4" w:space="0" w:color="auto"/>
            </w:tcBorders>
            <w:shd w:val="clear" w:color="auto" w:fill="FFFFFF"/>
            <w:vAlign w:val="center"/>
          </w:tcPr>
          <w:p w14:paraId="6463C44D" w14:textId="77777777" w:rsidR="00711B16" w:rsidRPr="00032DA6" w:rsidRDefault="00711B16" w:rsidP="00DE108C">
            <w:pPr>
              <w:autoSpaceDE w:val="0"/>
              <w:autoSpaceDN w:val="0"/>
              <w:adjustRightInd w:val="0"/>
              <w:spacing w:after="0" w:line="276" w:lineRule="auto"/>
              <w:ind w:left="60" w:right="60"/>
              <w:jc w:val="right"/>
              <w:rPr>
                <w:rFonts w:cstheme="majorBidi"/>
                <w:color w:val="000000"/>
                <w:sz w:val="20"/>
                <w:szCs w:val="20"/>
                <w:lang w:val="en-GB"/>
              </w:rPr>
            </w:pPr>
            <w:r w:rsidRPr="00032DA6">
              <w:rPr>
                <w:rFonts w:cstheme="majorBidi"/>
                <w:color w:val="000000"/>
                <w:sz w:val="20"/>
                <w:szCs w:val="20"/>
                <w:lang w:val="en-GB"/>
              </w:rPr>
              <w:t>.802</w:t>
            </w:r>
          </w:p>
        </w:tc>
      </w:tr>
      <w:tr w:rsidR="00711B16" w:rsidRPr="00032DA6" w14:paraId="655952B3" w14:textId="77777777" w:rsidTr="00603094">
        <w:trPr>
          <w:cantSplit/>
          <w:jc w:val="center"/>
        </w:trPr>
        <w:tc>
          <w:tcPr>
            <w:tcW w:w="2480" w:type="dxa"/>
            <w:vMerge w:val="restart"/>
            <w:tcBorders>
              <w:top w:val="nil"/>
              <w:left w:val="single" w:sz="4" w:space="0" w:color="auto"/>
              <w:bottom w:val="single" w:sz="16" w:space="0" w:color="000000"/>
              <w:right w:val="nil"/>
            </w:tcBorders>
            <w:shd w:val="clear" w:color="auto" w:fill="FFFFFF"/>
          </w:tcPr>
          <w:p w14:paraId="4C8B6124" w14:textId="77777777" w:rsidR="00711B16" w:rsidRPr="00032DA6" w:rsidRDefault="00711B16" w:rsidP="00DE108C">
            <w:pPr>
              <w:autoSpaceDE w:val="0"/>
              <w:autoSpaceDN w:val="0"/>
              <w:adjustRightInd w:val="0"/>
              <w:spacing w:after="0" w:line="276" w:lineRule="auto"/>
              <w:ind w:left="60" w:right="60"/>
              <w:rPr>
                <w:rFonts w:cstheme="majorBidi"/>
                <w:color w:val="000000"/>
                <w:sz w:val="20"/>
                <w:szCs w:val="20"/>
                <w:lang w:val="en-GB"/>
              </w:rPr>
            </w:pPr>
            <w:r w:rsidRPr="00032DA6">
              <w:rPr>
                <w:rFonts w:cstheme="majorBidi"/>
                <w:color w:val="000000"/>
                <w:sz w:val="20"/>
                <w:szCs w:val="20"/>
                <w:lang w:val="en-GB"/>
              </w:rPr>
              <w:t>Bartlett's Test of Sphericity</w:t>
            </w:r>
          </w:p>
        </w:tc>
        <w:tc>
          <w:tcPr>
            <w:tcW w:w="2340" w:type="dxa"/>
            <w:tcBorders>
              <w:top w:val="nil"/>
              <w:left w:val="nil"/>
              <w:bottom w:val="nil"/>
              <w:right w:val="single" w:sz="16" w:space="0" w:color="000000"/>
            </w:tcBorders>
            <w:shd w:val="clear" w:color="auto" w:fill="FFFFFF"/>
          </w:tcPr>
          <w:p w14:paraId="1A1A849D" w14:textId="77777777" w:rsidR="00711B16" w:rsidRPr="00032DA6" w:rsidRDefault="00711B16" w:rsidP="00DE108C">
            <w:pPr>
              <w:autoSpaceDE w:val="0"/>
              <w:autoSpaceDN w:val="0"/>
              <w:adjustRightInd w:val="0"/>
              <w:spacing w:after="0" w:line="276" w:lineRule="auto"/>
              <w:ind w:left="60" w:right="60"/>
              <w:rPr>
                <w:rFonts w:cstheme="majorBidi"/>
                <w:color w:val="000000"/>
                <w:sz w:val="20"/>
                <w:szCs w:val="20"/>
                <w:lang w:val="en-GB"/>
              </w:rPr>
            </w:pPr>
            <w:r w:rsidRPr="00032DA6">
              <w:rPr>
                <w:rFonts w:cstheme="majorBidi"/>
                <w:color w:val="000000"/>
                <w:sz w:val="20"/>
                <w:szCs w:val="20"/>
                <w:lang w:val="en-GB"/>
              </w:rPr>
              <w:t>Approx. Chi-Square</w:t>
            </w:r>
          </w:p>
        </w:tc>
        <w:tc>
          <w:tcPr>
            <w:tcW w:w="1038" w:type="dxa"/>
            <w:tcBorders>
              <w:top w:val="nil"/>
              <w:left w:val="single" w:sz="16" w:space="0" w:color="000000"/>
              <w:bottom w:val="nil"/>
              <w:right w:val="single" w:sz="4" w:space="0" w:color="auto"/>
            </w:tcBorders>
            <w:shd w:val="clear" w:color="auto" w:fill="FFFFFF"/>
            <w:vAlign w:val="center"/>
          </w:tcPr>
          <w:p w14:paraId="065E290C" w14:textId="77777777" w:rsidR="00711B16" w:rsidRPr="00032DA6" w:rsidRDefault="00711B16" w:rsidP="00DE108C">
            <w:pPr>
              <w:autoSpaceDE w:val="0"/>
              <w:autoSpaceDN w:val="0"/>
              <w:adjustRightInd w:val="0"/>
              <w:spacing w:after="0" w:line="276" w:lineRule="auto"/>
              <w:ind w:left="60" w:right="60"/>
              <w:jc w:val="right"/>
              <w:rPr>
                <w:rFonts w:cstheme="majorBidi"/>
                <w:color w:val="000000"/>
                <w:sz w:val="20"/>
                <w:szCs w:val="20"/>
                <w:lang w:val="en-GB"/>
              </w:rPr>
            </w:pPr>
            <w:r w:rsidRPr="00032DA6">
              <w:rPr>
                <w:rFonts w:cstheme="majorBidi"/>
                <w:color w:val="000000"/>
                <w:sz w:val="20"/>
                <w:szCs w:val="20"/>
                <w:lang w:val="en-GB"/>
              </w:rPr>
              <w:t>939.480</w:t>
            </w:r>
          </w:p>
        </w:tc>
      </w:tr>
      <w:tr w:rsidR="00711B16" w:rsidRPr="00032DA6" w14:paraId="2796241D" w14:textId="77777777" w:rsidTr="00603094">
        <w:trPr>
          <w:cantSplit/>
          <w:jc w:val="center"/>
        </w:trPr>
        <w:tc>
          <w:tcPr>
            <w:tcW w:w="2480" w:type="dxa"/>
            <w:vMerge/>
            <w:tcBorders>
              <w:top w:val="nil"/>
              <w:left w:val="single" w:sz="4" w:space="0" w:color="auto"/>
              <w:bottom w:val="single" w:sz="16" w:space="0" w:color="000000"/>
              <w:right w:val="nil"/>
            </w:tcBorders>
            <w:shd w:val="clear" w:color="auto" w:fill="FFFFFF"/>
          </w:tcPr>
          <w:p w14:paraId="2EC696B6" w14:textId="77777777" w:rsidR="00711B16" w:rsidRPr="00032DA6" w:rsidRDefault="00711B16" w:rsidP="00DE108C">
            <w:pPr>
              <w:autoSpaceDE w:val="0"/>
              <w:autoSpaceDN w:val="0"/>
              <w:adjustRightInd w:val="0"/>
              <w:spacing w:after="0" w:line="276" w:lineRule="auto"/>
              <w:rPr>
                <w:rFonts w:cstheme="majorBidi"/>
                <w:color w:val="000000"/>
                <w:sz w:val="20"/>
                <w:szCs w:val="20"/>
                <w:lang w:val="en-GB"/>
              </w:rPr>
            </w:pPr>
          </w:p>
        </w:tc>
        <w:tc>
          <w:tcPr>
            <w:tcW w:w="2340" w:type="dxa"/>
            <w:tcBorders>
              <w:top w:val="nil"/>
              <w:left w:val="nil"/>
              <w:bottom w:val="nil"/>
              <w:right w:val="single" w:sz="16" w:space="0" w:color="000000"/>
            </w:tcBorders>
            <w:shd w:val="clear" w:color="auto" w:fill="FFFFFF"/>
          </w:tcPr>
          <w:p w14:paraId="13909D5C" w14:textId="77777777" w:rsidR="00711B16" w:rsidRPr="00032DA6" w:rsidRDefault="00711B16" w:rsidP="00DE108C">
            <w:pPr>
              <w:autoSpaceDE w:val="0"/>
              <w:autoSpaceDN w:val="0"/>
              <w:adjustRightInd w:val="0"/>
              <w:spacing w:after="0" w:line="276" w:lineRule="auto"/>
              <w:ind w:left="60" w:right="60"/>
              <w:rPr>
                <w:rFonts w:cstheme="majorBidi"/>
                <w:color w:val="000000"/>
                <w:sz w:val="20"/>
                <w:szCs w:val="20"/>
                <w:lang w:val="en-GB"/>
              </w:rPr>
            </w:pPr>
            <w:r w:rsidRPr="00032DA6">
              <w:rPr>
                <w:rFonts w:cstheme="majorBidi"/>
                <w:color w:val="000000"/>
                <w:sz w:val="20"/>
                <w:szCs w:val="20"/>
                <w:lang w:val="en-GB"/>
              </w:rPr>
              <w:t>Df</w:t>
            </w:r>
          </w:p>
        </w:tc>
        <w:tc>
          <w:tcPr>
            <w:tcW w:w="1038" w:type="dxa"/>
            <w:tcBorders>
              <w:top w:val="nil"/>
              <w:left w:val="single" w:sz="16" w:space="0" w:color="000000"/>
              <w:bottom w:val="nil"/>
              <w:right w:val="single" w:sz="4" w:space="0" w:color="auto"/>
            </w:tcBorders>
            <w:shd w:val="clear" w:color="auto" w:fill="FFFFFF"/>
            <w:vAlign w:val="center"/>
          </w:tcPr>
          <w:p w14:paraId="2DF192B6" w14:textId="77777777" w:rsidR="00711B16" w:rsidRPr="00032DA6" w:rsidRDefault="00711B16" w:rsidP="00DE108C">
            <w:pPr>
              <w:autoSpaceDE w:val="0"/>
              <w:autoSpaceDN w:val="0"/>
              <w:adjustRightInd w:val="0"/>
              <w:spacing w:after="0" w:line="276" w:lineRule="auto"/>
              <w:ind w:left="60" w:right="60"/>
              <w:jc w:val="right"/>
              <w:rPr>
                <w:rFonts w:cstheme="majorBidi"/>
                <w:color w:val="000000"/>
                <w:sz w:val="20"/>
                <w:szCs w:val="20"/>
                <w:lang w:val="en-GB"/>
              </w:rPr>
            </w:pPr>
            <w:r w:rsidRPr="00032DA6">
              <w:rPr>
                <w:rFonts w:cstheme="majorBidi"/>
                <w:color w:val="000000"/>
                <w:sz w:val="20"/>
                <w:szCs w:val="20"/>
                <w:lang w:val="en-GB"/>
              </w:rPr>
              <w:t>15</w:t>
            </w:r>
          </w:p>
        </w:tc>
      </w:tr>
      <w:tr w:rsidR="00711B16" w:rsidRPr="00032DA6" w14:paraId="08EC83F0" w14:textId="77777777" w:rsidTr="00603094">
        <w:trPr>
          <w:cantSplit/>
          <w:jc w:val="center"/>
        </w:trPr>
        <w:tc>
          <w:tcPr>
            <w:tcW w:w="2480" w:type="dxa"/>
            <w:vMerge/>
            <w:tcBorders>
              <w:top w:val="nil"/>
              <w:left w:val="single" w:sz="4" w:space="0" w:color="auto"/>
              <w:bottom w:val="single" w:sz="4" w:space="0" w:color="auto"/>
              <w:right w:val="nil"/>
            </w:tcBorders>
            <w:shd w:val="clear" w:color="auto" w:fill="FFFFFF"/>
          </w:tcPr>
          <w:p w14:paraId="45F437C3" w14:textId="77777777" w:rsidR="00711B16" w:rsidRPr="00032DA6" w:rsidRDefault="00711B16" w:rsidP="00DE108C">
            <w:pPr>
              <w:autoSpaceDE w:val="0"/>
              <w:autoSpaceDN w:val="0"/>
              <w:adjustRightInd w:val="0"/>
              <w:spacing w:after="0" w:line="276" w:lineRule="auto"/>
              <w:rPr>
                <w:rFonts w:cstheme="majorBidi"/>
                <w:color w:val="000000"/>
                <w:sz w:val="20"/>
                <w:szCs w:val="20"/>
                <w:lang w:val="en-GB"/>
              </w:rPr>
            </w:pPr>
          </w:p>
        </w:tc>
        <w:tc>
          <w:tcPr>
            <w:tcW w:w="2340" w:type="dxa"/>
            <w:tcBorders>
              <w:top w:val="nil"/>
              <w:left w:val="nil"/>
              <w:bottom w:val="single" w:sz="4" w:space="0" w:color="auto"/>
              <w:right w:val="single" w:sz="16" w:space="0" w:color="000000"/>
            </w:tcBorders>
            <w:shd w:val="clear" w:color="auto" w:fill="FFFFFF"/>
          </w:tcPr>
          <w:p w14:paraId="450C1BC4" w14:textId="77777777" w:rsidR="00711B16" w:rsidRPr="00032DA6" w:rsidRDefault="00711B16" w:rsidP="00DE108C">
            <w:pPr>
              <w:autoSpaceDE w:val="0"/>
              <w:autoSpaceDN w:val="0"/>
              <w:adjustRightInd w:val="0"/>
              <w:spacing w:after="0" w:line="276" w:lineRule="auto"/>
              <w:ind w:left="60" w:right="60"/>
              <w:rPr>
                <w:rFonts w:cstheme="majorBidi"/>
                <w:color w:val="000000"/>
                <w:sz w:val="20"/>
                <w:szCs w:val="20"/>
                <w:lang w:val="en-GB"/>
              </w:rPr>
            </w:pPr>
            <w:r w:rsidRPr="00032DA6">
              <w:rPr>
                <w:rFonts w:cstheme="majorBidi"/>
                <w:color w:val="000000"/>
                <w:sz w:val="20"/>
                <w:szCs w:val="20"/>
                <w:lang w:val="en-GB"/>
              </w:rPr>
              <w:t>Sig.</w:t>
            </w:r>
          </w:p>
        </w:tc>
        <w:tc>
          <w:tcPr>
            <w:tcW w:w="1038" w:type="dxa"/>
            <w:tcBorders>
              <w:top w:val="nil"/>
              <w:left w:val="single" w:sz="16" w:space="0" w:color="000000"/>
              <w:bottom w:val="single" w:sz="4" w:space="0" w:color="auto"/>
              <w:right w:val="single" w:sz="4" w:space="0" w:color="auto"/>
            </w:tcBorders>
            <w:shd w:val="clear" w:color="auto" w:fill="FFFFFF"/>
            <w:vAlign w:val="center"/>
          </w:tcPr>
          <w:p w14:paraId="7C920591" w14:textId="77777777" w:rsidR="00711B16" w:rsidRPr="00032DA6" w:rsidRDefault="00711B16" w:rsidP="00DE108C">
            <w:pPr>
              <w:autoSpaceDE w:val="0"/>
              <w:autoSpaceDN w:val="0"/>
              <w:adjustRightInd w:val="0"/>
              <w:spacing w:after="0" w:line="276" w:lineRule="auto"/>
              <w:ind w:left="60" w:right="60"/>
              <w:jc w:val="right"/>
              <w:rPr>
                <w:rFonts w:cstheme="majorBidi"/>
                <w:color w:val="000000"/>
                <w:sz w:val="20"/>
                <w:szCs w:val="20"/>
                <w:lang w:val="en-GB"/>
              </w:rPr>
            </w:pPr>
            <w:r w:rsidRPr="00032DA6">
              <w:rPr>
                <w:rFonts w:cstheme="majorBidi"/>
                <w:color w:val="000000"/>
                <w:sz w:val="20"/>
                <w:szCs w:val="20"/>
                <w:lang w:val="en-GB"/>
              </w:rPr>
              <w:t>.000</w:t>
            </w:r>
          </w:p>
        </w:tc>
      </w:tr>
    </w:tbl>
    <w:p w14:paraId="4E6AC13A" w14:textId="26DF6013" w:rsidR="00073DBE" w:rsidRPr="00032DA6" w:rsidRDefault="00073DBE" w:rsidP="00DE108C">
      <w:pPr>
        <w:spacing w:line="276" w:lineRule="auto"/>
        <w:rPr>
          <w:b/>
          <w:lang w:val="en-GB"/>
        </w:rPr>
      </w:pPr>
      <w:r w:rsidRPr="004C4582">
        <w:rPr>
          <w:lang w:val="en-GB"/>
        </w:rPr>
        <w:t xml:space="preserve">The constructed index is then employed in the </w:t>
      </w:r>
      <w:r w:rsidR="005851F8" w:rsidRPr="004C4582">
        <w:rPr>
          <w:lang w:val="en-GB"/>
        </w:rPr>
        <w:t xml:space="preserve">empirical model </w:t>
      </w:r>
      <w:r w:rsidR="00ED2FBC" w:rsidRPr="004C4582">
        <w:rPr>
          <w:lang w:val="en-GB"/>
        </w:rPr>
        <w:t>to examine the determinants of housing prices in Egypt</w:t>
      </w:r>
      <w:r w:rsidR="00820E46" w:rsidRPr="004C4582">
        <w:rPr>
          <w:lang w:val="en-GB"/>
        </w:rPr>
        <w:t xml:space="preserve">, </w:t>
      </w:r>
      <w:r w:rsidR="00ED2FBC" w:rsidRPr="004C4582">
        <w:rPr>
          <w:lang w:val="en-GB"/>
        </w:rPr>
        <w:t xml:space="preserve">as </w:t>
      </w:r>
      <w:r w:rsidR="00820E46" w:rsidRPr="004C4582">
        <w:rPr>
          <w:lang w:val="en-GB"/>
        </w:rPr>
        <w:t>illustrated</w:t>
      </w:r>
      <w:r w:rsidR="00ED2FBC" w:rsidRPr="004C4582">
        <w:rPr>
          <w:lang w:val="en-GB"/>
        </w:rPr>
        <w:t xml:space="preserve"> in the next section.</w:t>
      </w:r>
    </w:p>
    <w:p w14:paraId="2B4EF987" w14:textId="59668E37" w:rsidR="00D65CA5" w:rsidRPr="00032DA6" w:rsidRDefault="00D65CA5" w:rsidP="00DE108C">
      <w:pPr>
        <w:pStyle w:val="Heading1"/>
        <w:numPr>
          <w:ilvl w:val="0"/>
          <w:numId w:val="25"/>
        </w:numPr>
        <w:spacing w:line="276" w:lineRule="auto"/>
        <w:rPr>
          <w:lang w:val="en-GB"/>
        </w:rPr>
      </w:pPr>
      <w:bookmarkStart w:id="57" w:name="_Toc91438053"/>
      <w:r w:rsidRPr="00032DA6">
        <w:rPr>
          <w:lang w:val="en-GB"/>
        </w:rPr>
        <w:t xml:space="preserve">Determinants of </w:t>
      </w:r>
      <w:r w:rsidR="00573017" w:rsidRPr="00032DA6">
        <w:rPr>
          <w:lang w:val="en-GB"/>
        </w:rPr>
        <w:t>H</w:t>
      </w:r>
      <w:r w:rsidRPr="00032DA6">
        <w:rPr>
          <w:lang w:val="en-GB"/>
        </w:rPr>
        <w:t xml:space="preserve">ousing </w:t>
      </w:r>
      <w:r w:rsidR="00573017" w:rsidRPr="00032DA6">
        <w:rPr>
          <w:lang w:val="en-GB"/>
        </w:rPr>
        <w:t>P</w:t>
      </w:r>
      <w:r w:rsidRPr="00032DA6">
        <w:rPr>
          <w:lang w:val="en-GB"/>
        </w:rPr>
        <w:t xml:space="preserve">rices in Egypt: </w:t>
      </w:r>
      <w:r w:rsidR="00224497" w:rsidRPr="00032DA6">
        <w:rPr>
          <w:lang w:val="en-GB"/>
        </w:rPr>
        <w:t xml:space="preserve">Empirical </w:t>
      </w:r>
      <w:r w:rsidR="00573017" w:rsidRPr="00032DA6">
        <w:rPr>
          <w:lang w:val="en-GB"/>
        </w:rPr>
        <w:t>M</w:t>
      </w:r>
      <w:r w:rsidRPr="00032DA6">
        <w:rPr>
          <w:lang w:val="en-GB"/>
        </w:rPr>
        <w:t>odel</w:t>
      </w:r>
      <w:bookmarkEnd w:id="55"/>
      <w:bookmarkEnd w:id="57"/>
      <w:r w:rsidRPr="00032DA6">
        <w:rPr>
          <w:lang w:val="en-GB"/>
        </w:rPr>
        <w:t xml:space="preserve"> </w:t>
      </w:r>
    </w:p>
    <w:p w14:paraId="2F86E137" w14:textId="630E5F49" w:rsidR="009219B6" w:rsidRPr="00C86F6D" w:rsidRDefault="000C448F" w:rsidP="00A112B3">
      <w:pPr>
        <w:autoSpaceDE w:val="0"/>
        <w:autoSpaceDN w:val="0"/>
        <w:adjustRightInd w:val="0"/>
        <w:spacing w:after="0" w:line="276" w:lineRule="auto"/>
        <w:ind w:right="-180" w:firstLine="357"/>
        <w:jc w:val="both"/>
        <w:rPr>
          <w:rFonts w:cstheme="majorBidi"/>
          <w:lang w:val="en-GB"/>
        </w:rPr>
      </w:pPr>
      <w:r w:rsidRPr="00C86F6D">
        <w:rPr>
          <w:rFonts w:cstheme="majorBidi"/>
          <w:lang w:val="en-GB"/>
        </w:rPr>
        <w:t xml:space="preserve">As explained </w:t>
      </w:r>
      <w:r w:rsidRPr="004C4582">
        <w:rPr>
          <w:rFonts w:cstheme="majorBidi"/>
          <w:lang w:val="en-GB"/>
        </w:rPr>
        <w:t>in the previous section</w:t>
      </w:r>
      <w:r w:rsidRPr="00256941">
        <w:rPr>
          <w:rFonts w:cstheme="majorBidi"/>
          <w:lang w:val="en-GB"/>
        </w:rPr>
        <w:t>, t</w:t>
      </w:r>
      <w:r w:rsidR="00AB5F92" w:rsidRPr="00256941">
        <w:rPr>
          <w:rFonts w:cstheme="majorBidi"/>
          <w:lang w:val="en-GB"/>
        </w:rPr>
        <w:t>he EHPI</w:t>
      </w:r>
      <w:r w:rsidR="009219B6" w:rsidRPr="00256941">
        <w:rPr>
          <w:rFonts w:cstheme="majorBidi"/>
          <w:lang w:val="en-GB"/>
        </w:rPr>
        <w:t xml:space="preserve"> </w:t>
      </w:r>
      <w:r w:rsidRPr="00256941">
        <w:rPr>
          <w:rFonts w:cstheme="majorBidi"/>
          <w:lang w:val="en-GB"/>
        </w:rPr>
        <w:t xml:space="preserve">is the dependent </w:t>
      </w:r>
      <w:r w:rsidRPr="004C4582">
        <w:rPr>
          <w:rFonts w:cstheme="majorBidi"/>
          <w:lang w:val="en-GB"/>
        </w:rPr>
        <w:t>variable and it is ordinal in nature</w:t>
      </w:r>
      <w:r w:rsidR="002D2A1C" w:rsidRPr="004C4582">
        <w:rPr>
          <w:rFonts w:cstheme="majorBidi"/>
          <w:lang w:val="en-GB"/>
        </w:rPr>
        <w:t xml:space="preserve">; </w:t>
      </w:r>
      <w:r w:rsidRPr="004C4582">
        <w:rPr>
          <w:rFonts w:cstheme="majorBidi"/>
          <w:lang w:val="en-GB"/>
        </w:rPr>
        <w:t xml:space="preserve">divided into </w:t>
      </w:r>
      <w:r w:rsidR="009219B6" w:rsidRPr="004C4582">
        <w:rPr>
          <w:rFonts w:cstheme="majorBidi"/>
          <w:lang w:val="en-GB"/>
        </w:rPr>
        <w:t>three level</w:t>
      </w:r>
      <w:r w:rsidRPr="004C4582">
        <w:rPr>
          <w:rFonts w:cstheme="majorBidi"/>
          <w:lang w:val="en-GB"/>
        </w:rPr>
        <w:t xml:space="preserve">s: </w:t>
      </w:r>
      <w:r w:rsidR="009219B6" w:rsidRPr="004C4582">
        <w:rPr>
          <w:rFonts w:cstheme="majorBidi"/>
          <w:lang w:val="en-GB"/>
        </w:rPr>
        <w:t xml:space="preserve">low, </w:t>
      </w:r>
      <w:r w:rsidR="00FC7FA8" w:rsidRPr="004C4582">
        <w:rPr>
          <w:rFonts w:cstheme="majorBidi"/>
          <w:lang w:val="en-GB"/>
        </w:rPr>
        <w:t xml:space="preserve">moderate, </w:t>
      </w:r>
      <w:r w:rsidRPr="004C4582">
        <w:rPr>
          <w:rFonts w:cstheme="majorBidi"/>
          <w:lang w:val="en-GB"/>
        </w:rPr>
        <w:t xml:space="preserve">and </w:t>
      </w:r>
      <w:r w:rsidR="00FC7FA8" w:rsidRPr="004C4582">
        <w:rPr>
          <w:rFonts w:cstheme="majorBidi"/>
          <w:lang w:val="en-GB"/>
        </w:rPr>
        <w:t>h</w:t>
      </w:r>
      <w:r w:rsidR="009219B6" w:rsidRPr="004C4582">
        <w:rPr>
          <w:rFonts w:cstheme="majorBidi"/>
          <w:lang w:val="en-GB"/>
        </w:rPr>
        <w:t>igh</w:t>
      </w:r>
      <w:r w:rsidR="44502B52" w:rsidRPr="004C4582">
        <w:rPr>
          <w:rFonts w:cstheme="majorBidi"/>
          <w:lang w:val="en-GB"/>
        </w:rPr>
        <w:t>,</w:t>
      </w:r>
      <w:r w:rsidRPr="004C4582">
        <w:rPr>
          <w:rFonts w:cstheme="majorBidi"/>
          <w:lang w:val="en-GB"/>
        </w:rPr>
        <w:t xml:space="preserve"> where the high</w:t>
      </w:r>
      <w:r w:rsidRPr="00C86F6D">
        <w:rPr>
          <w:rFonts w:cstheme="majorBidi"/>
          <w:lang w:val="en-GB"/>
        </w:rPr>
        <w:t xml:space="preserve"> is the reference point for future comparisons</w:t>
      </w:r>
      <w:r w:rsidR="009219B6" w:rsidRPr="00C86F6D">
        <w:rPr>
          <w:rFonts w:cstheme="majorBidi"/>
          <w:lang w:val="en-GB"/>
        </w:rPr>
        <w:t>. The ordinal logistic regression model takes the following form:</w:t>
      </w:r>
    </w:p>
    <w:p w14:paraId="647ACE26" w14:textId="77777777" w:rsidR="009219B6" w:rsidRPr="00C86F6D" w:rsidRDefault="009219B6" w:rsidP="00DE108C">
      <w:pPr>
        <w:autoSpaceDE w:val="0"/>
        <w:autoSpaceDN w:val="0"/>
        <w:adjustRightInd w:val="0"/>
        <w:spacing w:after="0" w:line="276" w:lineRule="auto"/>
        <w:jc w:val="center"/>
        <w:rPr>
          <w:rFonts w:eastAsiaTheme="minorEastAsia" w:cstheme="majorBidi"/>
          <w:lang w:val="en-GB"/>
        </w:rPr>
      </w:pPr>
      <m:oMath>
        <m:r>
          <w:rPr>
            <w:rFonts w:ascii="Cambria Math" w:hAnsi="Cambria Math" w:cstheme="majorBidi"/>
            <w:lang w:val="en-GB"/>
          </w:rPr>
          <m:t>log</m:t>
        </m:r>
        <m:d>
          <m:dPr>
            <m:begChr m:val="["/>
            <m:endChr m:val="]"/>
            <m:ctrlPr>
              <w:rPr>
                <w:rFonts w:ascii="Cambria Math" w:hAnsi="Cambria Math" w:cstheme="majorBidi"/>
                <w:i/>
                <w:lang w:val="en-GB"/>
              </w:rPr>
            </m:ctrlPr>
          </m:dPr>
          <m:e>
            <m:f>
              <m:fPr>
                <m:ctrlPr>
                  <w:rPr>
                    <w:rFonts w:ascii="Cambria Math" w:hAnsi="Cambria Math" w:cstheme="majorBidi"/>
                    <w:i/>
                    <w:lang w:val="en-GB"/>
                  </w:rPr>
                </m:ctrlPr>
              </m:fPr>
              <m:num>
                <m:r>
                  <w:rPr>
                    <w:rFonts w:ascii="Cambria Math" w:hAnsi="Cambria Math" w:cstheme="majorBidi"/>
                    <w:lang w:val="en-GB"/>
                  </w:rPr>
                  <m:t>P</m:t>
                </m:r>
                <m:d>
                  <m:dPr>
                    <m:ctrlPr>
                      <w:rPr>
                        <w:rFonts w:ascii="Cambria Math" w:hAnsi="Cambria Math" w:cstheme="majorBidi"/>
                        <w:i/>
                        <w:lang w:val="en-GB"/>
                      </w:rPr>
                    </m:ctrlPr>
                  </m:dPr>
                  <m:e>
                    <m:r>
                      <w:rPr>
                        <w:rFonts w:ascii="Cambria Math" w:hAnsi="Cambria Math" w:cstheme="majorBidi"/>
                        <w:lang w:val="en-GB"/>
                      </w:rPr>
                      <m:t>Y≤j</m:t>
                    </m:r>
                  </m:e>
                </m:d>
              </m:num>
              <m:den>
                <m:r>
                  <w:rPr>
                    <w:rFonts w:ascii="Cambria Math" w:hAnsi="Cambria Math" w:cstheme="majorBidi"/>
                    <w:lang w:val="en-GB"/>
                  </w:rPr>
                  <m:t>1-P</m:t>
                </m:r>
                <m:d>
                  <m:dPr>
                    <m:ctrlPr>
                      <w:rPr>
                        <w:rFonts w:ascii="Cambria Math" w:hAnsi="Cambria Math" w:cstheme="majorBidi"/>
                        <w:i/>
                        <w:lang w:val="en-GB"/>
                      </w:rPr>
                    </m:ctrlPr>
                  </m:dPr>
                  <m:e>
                    <m:r>
                      <w:rPr>
                        <w:rFonts w:ascii="Cambria Math" w:hAnsi="Cambria Math" w:cstheme="majorBidi"/>
                        <w:lang w:val="en-GB"/>
                      </w:rPr>
                      <m:t>Y≤j</m:t>
                    </m:r>
                  </m:e>
                </m:d>
              </m:den>
            </m:f>
          </m:e>
        </m:d>
        <m:r>
          <w:rPr>
            <w:rFonts w:ascii="Cambria Math" w:hAnsi="Cambria Math" w:cstheme="majorBidi"/>
            <w:lang w:val="en-GB"/>
          </w:rPr>
          <m:t>=</m:t>
        </m:r>
        <m:sSub>
          <m:sSubPr>
            <m:ctrlPr>
              <w:rPr>
                <w:rFonts w:ascii="Cambria Math" w:hAnsi="Cambria Math" w:cstheme="majorBidi"/>
                <w:i/>
                <w:lang w:val="en-GB"/>
              </w:rPr>
            </m:ctrlPr>
          </m:sSubPr>
          <m:e>
            <m:r>
              <w:rPr>
                <w:rFonts w:ascii="Cambria Math" w:hAnsi="Cambria Math" w:cstheme="majorBidi"/>
                <w:lang w:val="en-GB"/>
              </w:rPr>
              <m:t>α</m:t>
            </m:r>
          </m:e>
          <m:sub>
            <m:r>
              <w:rPr>
                <w:rFonts w:ascii="Cambria Math" w:hAnsi="Cambria Math" w:cstheme="majorBidi"/>
                <w:lang w:val="en-GB"/>
              </w:rPr>
              <m:t>j</m:t>
            </m:r>
          </m:sub>
        </m:sSub>
        <m:r>
          <w:rPr>
            <w:rFonts w:ascii="Cambria Math" w:hAnsi="Cambria Math" w:cstheme="majorBidi"/>
            <w:lang w:val="en-GB"/>
          </w:rPr>
          <m:t>-(</m:t>
        </m:r>
        <m:sSub>
          <m:sSubPr>
            <m:ctrlPr>
              <w:rPr>
                <w:rFonts w:ascii="Cambria Math" w:hAnsi="Cambria Math" w:cstheme="majorBidi"/>
                <w:i/>
                <w:lang w:val="en-GB"/>
              </w:rPr>
            </m:ctrlPr>
          </m:sSubPr>
          <m:e>
            <m:r>
              <w:rPr>
                <w:rFonts w:ascii="Cambria Math" w:hAnsi="Cambria Math" w:cstheme="majorBidi"/>
                <w:lang w:val="en-GB"/>
              </w:rPr>
              <m:t>β</m:t>
            </m:r>
          </m:e>
          <m:sub>
            <m:r>
              <w:rPr>
                <w:rFonts w:ascii="Cambria Math" w:hAnsi="Cambria Math" w:cstheme="majorBidi"/>
                <w:lang w:val="en-GB"/>
              </w:rPr>
              <m:t>1</m:t>
            </m:r>
          </m:sub>
        </m:sSub>
        <m:sSub>
          <m:sSubPr>
            <m:ctrlPr>
              <w:rPr>
                <w:rFonts w:ascii="Cambria Math" w:hAnsi="Cambria Math" w:cstheme="majorBidi"/>
                <w:i/>
                <w:lang w:val="en-GB"/>
              </w:rPr>
            </m:ctrlPr>
          </m:sSubPr>
          <m:e>
            <m:r>
              <w:rPr>
                <w:rFonts w:ascii="Cambria Math" w:hAnsi="Cambria Math" w:cstheme="majorBidi"/>
                <w:lang w:val="en-GB"/>
              </w:rPr>
              <m:t>X</m:t>
            </m:r>
          </m:e>
          <m:sub>
            <m:r>
              <w:rPr>
                <w:rFonts w:ascii="Cambria Math" w:hAnsi="Cambria Math" w:cstheme="majorBidi"/>
                <w:lang w:val="en-GB"/>
              </w:rPr>
              <m:t>1</m:t>
            </m:r>
          </m:sub>
        </m:sSub>
        <m:r>
          <w:rPr>
            <w:rFonts w:ascii="Cambria Math" w:hAnsi="Cambria Math" w:cstheme="majorBidi"/>
            <w:lang w:val="en-GB"/>
          </w:rPr>
          <m:t>+</m:t>
        </m:r>
        <m:sSub>
          <m:sSubPr>
            <m:ctrlPr>
              <w:rPr>
                <w:rFonts w:ascii="Cambria Math" w:hAnsi="Cambria Math" w:cstheme="majorBidi"/>
                <w:i/>
                <w:lang w:val="en-GB"/>
              </w:rPr>
            </m:ctrlPr>
          </m:sSubPr>
          <m:e>
            <m:r>
              <w:rPr>
                <w:rFonts w:ascii="Cambria Math" w:hAnsi="Cambria Math" w:cstheme="majorBidi"/>
                <w:lang w:val="en-GB"/>
              </w:rPr>
              <m:t>β</m:t>
            </m:r>
          </m:e>
          <m:sub>
            <m:r>
              <w:rPr>
                <w:rFonts w:ascii="Cambria Math" w:hAnsi="Cambria Math" w:cstheme="majorBidi"/>
                <w:lang w:val="en-GB"/>
              </w:rPr>
              <m:t>2</m:t>
            </m:r>
          </m:sub>
        </m:sSub>
        <m:sSub>
          <m:sSubPr>
            <m:ctrlPr>
              <w:rPr>
                <w:rFonts w:ascii="Cambria Math" w:hAnsi="Cambria Math" w:cstheme="majorBidi"/>
                <w:i/>
                <w:lang w:val="en-GB"/>
              </w:rPr>
            </m:ctrlPr>
          </m:sSubPr>
          <m:e>
            <m:r>
              <w:rPr>
                <w:rFonts w:ascii="Cambria Math" w:hAnsi="Cambria Math" w:cstheme="majorBidi"/>
                <w:lang w:val="en-GB"/>
              </w:rPr>
              <m:t>X</m:t>
            </m:r>
          </m:e>
          <m:sub>
            <m:r>
              <w:rPr>
                <w:rFonts w:ascii="Cambria Math" w:hAnsi="Cambria Math" w:cstheme="majorBidi"/>
                <w:lang w:val="en-GB"/>
              </w:rPr>
              <m:t>2</m:t>
            </m:r>
          </m:sub>
        </m:sSub>
        <m:r>
          <w:rPr>
            <w:rFonts w:ascii="Cambria Math" w:hAnsi="Cambria Math" w:cstheme="majorBidi"/>
            <w:lang w:val="en-GB"/>
          </w:rPr>
          <m:t>+…+</m:t>
        </m:r>
        <m:sSub>
          <m:sSubPr>
            <m:ctrlPr>
              <w:rPr>
                <w:rFonts w:ascii="Cambria Math" w:hAnsi="Cambria Math" w:cstheme="majorBidi"/>
                <w:i/>
                <w:lang w:val="en-GB"/>
              </w:rPr>
            </m:ctrlPr>
          </m:sSubPr>
          <m:e>
            <m:r>
              <w:rPr>
                <w:rFonts w:ascii="Cambria Math" w:hAnsi="Cambria Math" w:cstheme="majorBidi"/>
                <w:lang w:val="en-GB"/>
              </w:rPr>
              <m:t>β</m:t>
            </m:r>
          </m:e>
          <m:sub>
            <m:r>
              <w:rPr>
                <w:rFonts w:ascii="Cambria Math" w:hAnsi="Cambria Math" w:cstheme="majorBidi"/>
                <w:lang w:val="en-GB"/>
              </w:rPr>
              <m:t>k</m:t>
            </m:r>
          </m:sub>
        </m:sSub>
        <m:sSub>
          <m:sSubPr>
            <m:ctrlPr>
              <w:rPr>
                <w:rFonts w:ascii="Cambria Math" w:hAnsi="Cambria Math" w:cstheme="majorBidi"/>
                <w:i/>
                <w:lang w:val="en-GB"/>
              </w:rPr>
            </m:ctrlPr>
          </m:sSubPr>
          <m:e>
            <m:r>
              <w:rPr>
                <w:rFonts w:ascii="Cambria Math" w:hAnsi="Cambria Math" w:cstheme="majorBidi"/>
                <w:lang w:val="en-GB"/>
              </w:rPr>
              <m:t>X</m:t>
            </m:r>
          </m:e>
          <m:sub>
            <m:r>
              <w:rPr>
                <w:rFonts w:ascii="Cambria Math" w:hAnsi="Cambria Math" w:cstheme="majorBidi"/>
                <w:lang w:val="en-GB"/>
              </w:rPr>
              <m:t>k</m:t>
            </m:r>
          </m:sub>
        </m:sSub>
        <m:r>
          <w:rPr>
            <w:rFonts w:ascii="Cambria Math" w:hAnsi="Cambria Math" w:cstheme="majorBidi"/>
            <w:lang w:val="en-GB"/>
          </w:rPr>
          <m:t>),             j=1,…,J-1</m:t>
        </m:r>
      </m:oMath>
      <w:r w:rsidRPr="00C86F6D">
        <w:rPr>
          <w:rFonts w:eastAsiaTheme="minorEastAsia" w:cstheme="majorBidi"/>
          <w:lang w:val="en-GB"/>
        </w:rPr>
        <w:t xml:space="preserve">                         (1)</w:t>
      </w:r>
    </w:p>
    <w:p w14:paraId="5E6591A7" w14:textId="5867D813" w:rsidR="009219B6" w:rsidRPr="00C86F6D" w:rsidRDefault="02B7E9ED" w:rsidP="00DE108C">
      <w:pPr>
        <w:autoSpaceDE w:val="0"/>
        <w:autoSpaceDN w:val="0"/>
        <w:adjustRightInd w:val="0"/>
        <w:spacing w:after="0" w:line="276" w:lineRule="auto"/>
        <w:jc w:val="both"/>
        <w:rPr>
          <w:rFonts w:cstheme="majorBidi"/>
          <w:lang w:val="en-GB"/>
        </w:rPr>
      </w:pPr>
      <w:r w:rsidRPr="3895219B">
        <w:rPr>
          <w:rFonts w:cstheme="majorBidi"/>
          <w:lang w:val="en-GB"/>
        </w:rPr>
        <w:t>W</w:t>
      </w:r>
      <w:r w:rsidR="009219B6" w:rsidRPr="3895219B">
        <w:rPr>
          <w:rFonts w:cstheme="majorBidi"/>
          <w:lang w:val="en-GB"/>
        </w:rPr>
        <w:t>here</w:t>
      </w:r>
      <w:r w:rsidR="009219B6" w:rsidRPr="00C86F6D">
        <w:rPr>
          <w:rFonts w:cstheme="majorBidi"/>
          <w:lang w:val="en-GB"/>
        </w:rPr>
        <w:t xml:space="preserve">, </w:t>
      </w:r>
    </w:p>
    <w:p w14:paraId="648ED09D" w14:textId="77B0F76E" w:rsidR="009219B6" w:rsidRPr="00C86F6D" w:rsidRDefault="00FC7FA8" w:rsidP="00FC7FA8">
      <w:pPr>
        <w:pStyle w:val="ListParagraph"/>
        <w:numPr>
          <w:ilvl w:val="0"/>
          <w:numId w:val="31"/>
        </w:numPr>
        <w:autoSpaceDE w:val="0"/>
        <w:autoSpaceDN w:val="0"/>
        <w:adjustRightInd w:val="0"/>
        <w:spacing w:after="0" w:line="276" w:lineRule="auto"/>
        <w:jc w:val="both"/>
        <w:rPr>
          <w:rFonts w:cstheme="majorBidi"/>
          <w:lang w:val="en-GB"/>
        </w:rPr>
      </w:pPr>
      <w:r w:rsidRPr="00C86F6D">
        <w:rPr>
          <w:rFonts w:cstheme="majorBidi"/>
          <w:lang w:val="en-GB"/>
        </w:rPr>
        <w:t>X is</w:t>
      </w:r>
      <w:r w:rsidR="009219B6" w:rsidRPr="00C86F6D">
        <w:rPr>
          <w:rFonts w:cstheme="majorBidi"/>
          <w:lang w:val="en-GB"/>
        </w:rPr>
        <w:t xml:space="preserve"> the set of k predictors/independent variables with J-1 levels response/dependent variable,</w:t>
      </w:r>
    </w:p>
    <w:p w14:paraId="55E60D0C" w14:textId="2D3B4D84" w:rsidR="009219B6" w:rsidRPr="00C86F6D" w:rsidRDefault="004C4582" w:rsidP="00FC7FA8">
      <w:pPr>
        <w:pStyle w:val="ListParagraph"/>
        <w:numPr>
          <w:ilvl w:val="0"/>
          <w:numId w:val="31"/>
        </w:numPr>
        <w:spacing w:line="276" w:lineRule="auto"/>
        <w:jc w:val="both"/>
        <w:rPr>
          <w:rFonts w:cstheme="majorBidi"/>
          <w:lang w:val="en-GB"/>
        </w:rPr>
      </w:pPr>
      <m:oMath>
        <m:sSub>
          <m:sSubPr>
            <m:ctrlPr>
              <w:rPr>
                <w:rFonts w:ascii="Cambria Math" w:hAnsi="Cambria Math" w:cstheme="majorBidi"/>
                <w:lang w:val="en-GB"/>
              </w:rPr>
            </m:ctrlPr>
          </m:sSubPr>
          <m:e>
            <m:r>
              <w:rPr>
                <w:rFonts w:ascii="Cambria Math" w:hAnsi="Cambria Math" w:cstheme="majorBidi"/>
                <w:lang w:val="en-GB"/>
              </w:rPr>
              <m:t>α</m:t>
            </m:r>
          </m:e>
          <m:sub>
            <m:r>
              <w:rPr>
                <w:rFonts w:ascii="Cambria Math" w:hAnsi="Cambria Math" w:cstheme="majorBidi"/>
                <w:lang w:val="en-GB"/>
              </w:rPr>
              <m:t>j</m:t>
            </m:r>
          </m:sub>
        </m:sSub>
      </m:oMath>
      <w:r w:rsidR="009219B6" w:rsidRPr="00C86F6D">
        <w:rPr>
          <w:rFonts w:cstheme="majorBidi"/>
          <w:lang w:val="en-GB"/>
        </w:rPr>
        <w:t xml:space="preserve"> is called</w:t>
      </w:r>
      <w:r w:rsidR="00FC7FA8" w:rsidRPr="00C86F6D">
        <w:rPr>
          <w:rFonts w:cstheme="majorBidi"/>
          <w:lang w:val="en-GB"/>
        </w:rPr>
        <w:t xml:space="preserve"> the</w:t>
      </w:r>
      <w:r w:rsidR="009219B6" w:rsidRPr="00C86F6D">
        <w:rPr>
          <w:rFonts w:cstheme="majorBidi"/>
          <w:lang w:val="en-GB"/>
        </w:rPr>
        <w:t xml:space="preserve"> threshold,</w:t>
      </w:r>
    </w:p>
    <w:p w14:paraId="758F626B" w14:textId="77777777" w:rsidR="009219B6" w:rsidRPr="00C86F6D" w:rsidRDefault="009219B6" w:rsidP="00FC7FA8">
      <w:pPr>
        <w:pStyle w:val="ListParagraph"/>
        <w:numPr>
          <w:ilvl w:val="0"/>
          <w:numId w:val="31"/>
        </w:numPr>
        <w:spacing w:line="276" w:lineRule="auto"/>
        <w:jc w:val="both"/>
        <w:rPr>
          <w:rFonts w:eastAsiaTheme="minorEastAsia" w:cstheme="majorBidi"/>
          <w:lang w:val="en-GB"/>
        </w:rPr>
      </w:pPr>
      <m:oMath>
        <m:r>
          <w:rPr>
            <w:rFonts w:ascii="Cambria Math" w:hAnsi="Cambria Math" w:cstheme="majorBidi"/>
            <w:lang w:val="en-GB"/>
          </w:rPr>
          <m:t>β</m:t>
        </m:r>
      </m:oMath>
      <w:r w:rsidRPr="00C86F6D">
        <w:rPr>
          <w:rFonts w:eastAsiaTheme="minorEastAsia" w:cstheme="majorBidi"/>
          <w:lang w:val="en-GB"/>
        </w:rPr>
        <w:t xml:space="preserve"> is the parameter for each predictor variable.</w:t>
      </w:r>
    </w:p>
    <w:p w14:paraId="18BF93A4" w14:textId="28091CFF" w:rsidR="009219B6" w:rsidRPr="00C86F6D" w:rsidRDefault="009219B6" w:rsidP="00FC7FA8">
      <w:pPr>
        <w:pStyle w:val="ListParagraph"/>
        <w:numPr>
          <w:ilvl w:val="0"/>
          <w:numId w:val="31"/>
        </w:numPr>
        <w:spacing w:line="276" w:lineRule="auto"/>
        <w:jc w:val="both"/>
        <w:rPr>
          <w:rFonts w:eastAsiaTheme="minorEastAsia" w:cstheme="majorBidi"/>
          <w:lang w:val="en-GB"/>
        </w:rPr>
      </w:pPr>
      <w:r w:rsidRPr="00C86F6D">
        <w:rPr>
          <w:rFonts w:eastAsiaTheme="minorEastAsia" w:cstheme="majorBidi"/>
          <w:lang w:val="en-GB"/>
        </w:rPr>
        <w:t>The cumulative logit probability model (</w:t>
      </w:r>
      <w:r w:rsidR="00FC7FA8" w:rsidRPr="00C86F6D">
        <w:rPr>
          <w:rFonts w:eastAsiaTheme="minorEastAsia" w:cstheme="majorBidi"/>
          <w:lang w:val="en-GB"/>
        </w:rPr>
        <w:t>e.g.,</w:t>
      </w:r>
      <w:r w:rsidRPr="00C86F6D">
        <w:rPr>
          <w:rFonts w:eastAsiaTheme="minorEastAsia" w:cstheme="majorBidi"/>
          <w:lang w:val="en-GB"/>
        </w:rPr>
        <w:t xml:space="preserve"> </w:t>
      </w:r>
      <m:oMath>
        <m:r>
          <w:rPr>
            <w:rFonts w:ascii="Cambria Math" w:hAnsi="Cambria Math" w:cstheme="majorBidi"/>
            <w:lang w:val="en-GB"/>
          </w:rPr>
          <m:t>P</m:t>
        </m:r>
        <m:d>
          <m:dPr>
            <m:ctrlPr>
              <w:rPr>
                <w:rFonts w:ascii="Cambria Math" w:hAnsi="Cambria Math" w:cstheme="majorBidi"/>
                <w:i/>
                <w:lang w:val="en-GB"/>
              </w:rPr>
            </m:ctrlPr>
          </m:dPr>
          <m:e>
            <m:r>
              <w:rPr>
                <w:rFonts w:ascii="Cambria Math" w:hAnsi="Cambria Math" w:cstheme="majorBidi"/>
                <w:lang w:val="en-GB"/>
              </w:rPr>
              <m:t>Y≤j</m:t>
            </m:r>
          </m:e>
        </m:d>
      </m:oMath>
      <w:r w:rsidRPr="00C86F6D">
        <w:rPr>
          <w:rFonts w:eastAsiaTheme="minorEastAsia" w:cstheme="majorBidi"/>
          <w:lang w:val="en-GB"/>
        </w:rPr>
        <w:t xml:space="preserve">) </w:t>
      </w:r>
      <w:r w:rsidR="475FADBE" w:rsidRPr="31535F23">
        <w:rPr>
          <w:rFonts w:eastAsiaTheme="minorEastAsia" w:cstheme="majorBidi"/>
          <w:lang w:val="en-GB"/>
        </w:rPr>
        <w:t>Takes</w:t>
      </w:r>
      <w:r w:rsidRPr="00C86F6D">
        <w:rPr>
          <w:rFonts w:eastAsiaTheme="minorEastAsia" w:cstheme="majorBidi"/>
          <w:lang w:val="en-GB"/>
        </w:rPr>
        <w:t xml:space="preserve"> the form as:</w:t>
      </w:r>
    </w:p>
    <w:p w14:paraId="088FBC4B" w14:textId="54419D91" w:rsidR="009219B6" w:rsidRPr="00032DA6" w:rsidRDefault="009219B6" w:rsidP="00FC7FA8">
      <w:pPr>
        <w:pStyle w:val="ListParagraph"/>
        <w:spacing w:line="276" w:lineRule="auto"/>
        <w:jc w:val="both"/>
        <w:rPr>
          <w:rFonts w:ascii="Times New Roman" w:hAnsi="Times New Roman" w:cs="Times New Roman"/>
          <w:sz w:val="24"/>
          <w:szCs w:val="24"/>
          <w:lang w:val="en-GB"/>
        </w:rPr>
      </w:pPr>
      <m:oMath>
        <m:r>
          <w:rPr>
            <w:rFonts w:ascii="Cambria Math" w:hAnsi="Cambria Math" w:cstheme="majorBidi"/>
            <w:lang w:val="en-GB"/>
          </w:rPr>
          <m:t>P</m:t>
        </m:r>
        <m:d>
          <m:dPr>
            <m:ctrlPr>
              <w:rPr>
                <w:rFonts w:ascii="Cambria Math" w:hAnsi="Cambria Math" w:cstheme="majorBidi"/>
                <w:i/>
                <w:lang w:val="en-GB"/>
              </w:rPr>
            </m:ctrlPr>
          </m:dPr>
          <m:e>
            <m:r>
              <w:rPr>
                <w:rFonts w:ascii="Cambria Math" w:hAnsi="Cambria Math" w:cstheme="majorBidi"/>
                <w:lang w:val="en-GB"/>
              </w:rPr>
              <m:t>Y≤j</m:t>
            </m:r>
          </m:e>
        </m:d>
        <m:r>
          <w:rPr>
            <w:rFonts w:ascii="Cambria Math" w:hAnsi="Cambria Math" w:cstheme="majorBidi"/>
            <w:lang w:val="en-GB"/>
          </w:rPr>
          <m:t>=</m:t>
        </m:r>
        <m:f>
          <m:fPr>
            <m:ctrlPr>
              <w:rPr>
                <w:rFonts w:ascii="Cambria Math" w:hAnsi="Cambria Math" w:cstheme="majorBidi"/>
                <w:i/>
                <w:lang w:val="en-GB"/>
              </w:rPr>
            </m:ctrlPr>
          </m:fPr>
          <m:num>
            <m:sSup>
              <m:sSupPr>
                <m:ctrlPr>
                  <w:rPr>
                    <w:rFonts w:ascii="Cambria Math" w:hAnsi="Cambria Math" w:cstheme="majorBidi"/>
                    <w:i/>
                    <w:lang w:val="en-GB"/>
                  </w:rPr>
                </m:ctrlPr>
              </m:sSupPr>
              <m:e>
                <m:r>
                  <w:rPr>
                    <w:rFonts w:ascii="Cambria Math" w:hAnsi="Cambria Math" w:cstheme="majorBidi"/>
                    <w:lang w:val="en-GB"/>
                  </w:rPr>
                  <m:t>e</m:t>
                </m:r>
              </m:e>
              <m:sup>
                <m:sSub>
                  <m:sSubPr>
                    <m:ctrlPr>
                      <w:rPr>
                        <w:rFonts w:ascii="Cambria Math" w:hAnsi="Cambria Math" w:cstheme="majorBidi"/>
                        <w:i/>
                        <w:lang w:val="en-GB"/>
                      </w:rPr>
                    </m:ctrlPr>
                  </m:sSubPr>
                  <m:e>
                    <m:r>
                      <w:rPr>
                        <w:rFonts w:ascii="Cambria Math" w:hAnsi="Cambria Math" w:cstheme="majorBidi"/>
                        <w:lang w:val="en-GB"/>
                      </w:rPr>
                      <m:t>α</m:t>
                    </m:r>
                  </m:e>
                  <m:sub>
                    <m:r>
                      <w:rPr>
                        <w:rFonts w:ascii="Cambria Math" w:hAnsi="Cambria Math" w:cstheme="majorBidi"/>
                        <w:lang w:val="en-GB"/>
                      </w:rPr>
                      <m:t>j</m:t>
                    </m:r>
                  </m:sub>
                </m:sSub>
                <m:r>
                  <w:rPr>
                    <w:rFonts w:ascii="Cambria Math" w:hAnsi="Cambria Math" w:cstheme="majorBidi"/>
                    <w:lang w:val="en-GB"/>
                  </w:rPr>
                  <m:t>-(</m:t>
                </m:r>
                <m:sSub>
                  <m:sSubPr>
                    <m:ctrlPr>
                      <w:rPr>
                        <w:rFonts w:ascii="Cambria Math" w:hAnsi="Cambria Math" w:cstheme="majorBidi"/>
                        <w:i/>
                        <w:lang w:val="en-GB"/>
                      </w:rPr>
                    </m:ctrlPr>
                  </m:sSubPr>
                  <m:e>
                    <m:r>
                      <w:rPr>
                        <w:rFonts w:ascii="Cambria Math" w:hAnsi="Cambria Math" w:cstheme="majorBidi"/>
                        <w:lang w:val="en-GB"/>
                      </w:rPr>
                      <m:t>β</m:t>
                    </m:r>
                  </m:e>
                  <m:sub>
                    <m:r>
                      <w:rPr>
                        <w:rFonts w:ascii="Cambria Math" w:hAnsi="Cambria Math" w:cstheme="majorBidi"/>
                        <w:lang w:val="en-GB"/>
                      </w:rPr>
                      <m:t>1</m:t>
                    </m:r>
                  </m:sub>
                </m:sSub>
                <m:sSub>
                  <m:sSubPr>
                    <m:ctrlPr>
                      <w:rPr>
                        <w:rFonts w:ascii="Cambria Math" w:hAnsi="Cambria Math" w:cstheme="majorBidi"/>
                        <w:i/>
                        <w:lang w:val="en-GB"/>
                      </w:rPr>
                    </m:ctrlPr>
                  </m:sSubPr>
                  <m:e>
                    <m:r>
                      <w:rPr>
                        <w:rFonts w:ascii="Cambria Math" w:hAnsi="Cambria Math" w:cstheme="majorBidi"/>
                        <w:lang w:val="en-GB"/>
                      </w:rPr>
                      <m:t>X</m:t>
                    </m:r>
                  </m:e>
                  <m:sub>
                    <m:r>
                      <w:rPr>
                        <w:rFonts w:ascii="Cambria Math" w:hAnsi="Cambria Math" w:cstheme="majorBidi"/>
                        <w:lang w:val="en-GB"/>
                      </w:rPr>
                      <m:t>1</m:t>
                    </m:r>
                  </m:sub>
                </m:sSub>
                <m:r>
                  <w:rPr>
                    <w:rFonts w:ascii="Cambria Math" w:hAnsi="Cambria Math" w:cstheme="majorBidi"/>
                    <w:lang w:val="en-GB"/>
                  </w:rPr>
                  <m:t>+</m:t>
                </m:r>
                <m:sSub>
                  <m:sSubPr>
                    <m:ctrlPr>
                      <w:rPr>
                        <w:rFonts w:ascii="Cambria Math" w:hAnsi="Cambria Math" w:cstheme="majorBidi"/>
                        <w:i/>
                        <w:lang w:val="en-GB"/>
                      </w:rPr>
                    </m:ctrlPr>
                  </m:sSubPr>
                  <m:e>
                    <m:r>
                      <w:rPr>
                        <w:rFonts w:ascii="Cambria Math" w:hAnsi="Cambria Math" w:cstheme="majorBidi"/>
                        <w:lang w:val="en-GB"/>
                      </w:rPr>
                      <m:t>β</m:t>
                    </m:r>
                  </m:e>
                  <m:sub>
                    <m:r>
                      <w:rPr>
                        <w:rFonts w:ascii="Cambria Math" w:hAnsi="Cambria Math" w:cstheme="majorBidi"/>
                        <w:lang w:val="en-GB"/>
                      </w:rPr>
                      <m:t>2</m:t>
                    </m:r>
                  </m:sub>
                </m:sSub>
                <m:sSub>
                  <m:sSubPr>
                    <m:ctrlPr>
                      <w:rPr>
                        <w:rFonts w:ascii="Cambria Math" w:hAnsi="Cambria Math" w:cstheme="majorBidi"/>
                        <w:i/>
                        <w:lang w:val="en-GB"/>
                      </w:rPr>
                    </m:ctrlPr>
                  </m:sSubPr>
                  <m:e>
                    <m:r>
                      <w:rPr>
                        <w:rFonts w:ascii="Cambria Math" w:hAnsi="Cambria Math" w:cstheme="majorBidi"/>
                        <w:lang w:val="en-GB"/>
                      </w:rPr>
                      <m:t>X</m:t>
                    </m:r>
                  </m:e>
                  <m:sub>
                    <m:r>
                      <w:rPr>
                        <w:rFonts w:ascii="Cambria Math" w:hAnsi="Cambria Math" w:cstheme="majorBidi"/>
                        <w:lang w:val="en-GB"/>
                      </w:rPr>
                      <m:t>2</m:t>
                    </m:r>
                  </m:sub>
                </m:sSub>
                <m:r>
                  <w:rPr>
                    <w:rFonts w:ascii="Cambria Math" w:hAnsi="Cambria Math" w:cstheme="majorBidi"/>
                    <w:lang w:val="en-GB"/>
                  </w:rPr>
                  <m:t>+…+</m:t>
                </m:r>
                <m:sSub>
                  <m:sSubPr>
                    <m:ctrlPr>
                      <w:rPr>
                        <w:rFonts w:ascii="Cambria Math" w:hAnsi="Cambria Math" w:cstheme="majorBidi"/>
                        <w:i/>
                        <w:lang w:val="en-GB"/>
                      </w:rPr>
                    </m:ctrlPr>
                  </m:sSubPr>
                  <m:e>
                    <m:r>
                      <w:rPr>
                        <w:rFonts w:ascii="Cambria Math" w:hAnsi="Cambria Math" w:cstheme="majorBidi"/>
                        <w:lang w:val="en-GB"/>
                      </w:rPr>
                      <m:t>β</m:t>
                    </m:r>
                  </m:e>
                  <m:sub>
                    <m:r>
                      <w:rPr>
                        <w:rFonts w:ascii="Cambria Math" w:hAnsi="Cambria Math" w:cstheme="majorBidi"/>
                        <w:lang w:val="en-GB"/>
                      </w:rPr>
                      <m:t>k</m:t>
                    </m:r>
                  </m:sub>
                </m:sSub>
                <m:sSub>
                  <m:sSubPr>
                    <m:ctrlPr>
                      <w:rPr>
                        <w:rFonts w:ascii="Cambria Math" w:hAnsi="Cambria Math" w:cstheme="majorBidi"/>
                        <w:i/>
                        <w:lang w:val="en-GB"/>
                      </w:rPr>
                    </m:ctrlPr>
                  </m:sSubPr>
                  <m:e>
                    <m:r>
                      <w:rPr>
                        <w:rFonts w:ascii="Cambria Math" w:hAnsi="Cambria Math" w:cstheme="majorBidi"/>
                        <w:lang w:val="en-GB"/>
                      </w:rPr>
                      <m:t>X</m:t>
                    </m:r>
                  </m:e>
                  <m:sub>
                    <m:r>
                      <w:rPr>
                        <w:rFonts w:ascii="Cambria Math" w:hAnsi="Cambria Math" w:cstheme="majorBidi"/>
                        <w:lang w:val="en-GB"/>
                      </w:rPr>
                      <m:t>k</m:t>
                    </m:r>
                  </m:sub>
                </m:sSub>
                <m:r>
                  <w:rPr>
                    <w:rFonts w:ascii="Cambria Math" w:hAnsi="Cambria Math" w:cstheme="majorBidi"/>
                    <w:lang w:val="en-GB"/>
                  </w:rPr>
                  <m:t>)</m:t>
                </m:r>
              </m:sup>
            </m:sSup>
          </m:num>
          <m:den>
            <m:r>
              <w:rPr>
                <w:rFonts w:ascii="Cambria Math" w:hAnsi="Cambria Math" w:cstheme="majorBidi"/>
                <w:lang w:val="en-GB"/>
              </w:rPr>
              <m:t>1+</m:t>
            </m:r>
            <m:sSup>
              <m:sSupPr>
                <m:ctrlPr>
                  <w:rPr>
                    <w:rFonts w:ascii="Cambria Math" w:hAnsi="Cambria Math" w:cstheme="majorBidi"/>
                    <w:i/>
                    <w:lang w:val="en-GB"/>
                  </w:rPr>
                </m:ctrlPr>
              </m:sSupPr>
              <m:e>
                <m:r>
                  <w:rPr>
                    <w:rFonts w:ascii="Cambria Math" w:hAnsi="Cambria Math" w:cstheme="majorBidi"/>
                    <w:lang w:val="en-GB"/>
                  </w:rPr>
                  <m:t>e</m:t>
                </m:r>
              </m:e>
              <m:sup>
                <m:sSub>
                  <m:sSubPr>
                    <m:ctrlPr>
                      <w:rPr>
                        <w:rFonts w:ascii="Cambria Math" w:hAnsi="Cambria Math" w:cstheme="majorBidi"/>
                        <w:i/>
                        <w:lang w:val="en-GB"/>
                      </w:rPr>
                    </m:ctrlPr>
                  </m:sSubPr>
                  <m:e>
                    <m:r>
                      <w:rPr>
                        <w:rFonts w:ascii="Cambria Math" w:hAnsi="Cambria Math" w:cstheme="majorBidi"/>
                        <w:lang w:val="en-GB"/>
                      </w:rPr>
                      <m:t>α</m:t>
                    </m:r>
                  </m:e>
                  <m:sub>
                    <m:r>
                      <w:rPr>
                        <w:rFonts w:ascii="Cambria Math" w:hAnsi="Cambria Math" w:cstheme="majorBidi"/>
                        <w:lang w:val="en-GB"/>
                      </w:rPr>
                      <m:t>j</m:t>
                    </m:r>
                  </m:sub>
                </m:sSub>
                <m:r>
                  <w:rPr>
                    <w:rFonts w:ascii="Cambria Math" w:hAnsi="Cambria Math" w:cstheme="majorBidi"/>
                    <w:lang w:val="en-GB"/>
                  </w:rPr>
                  <m:t>-(</m:t>
                </m:r>
                <m:sSub>
                  <m:sSubPr>
                    <m:ctrlPr>
                      <w:rPr>
                        <w:rFonts w:ascii="Cambria Math" w:hAnsi="Cambria Math" w:cstheme="majorBidi"/>
                        <w:i/>
                        <w:lang w:val="en-GB"/>
                      </w:rPr>
                    </m:ctrlPr>
                  </m:sSubPr>
                  <m:e>
                    <m:r>
                      <w:rPr>
                        <w:rFonts w:ascii="Cambria Math" w:hAnsi="Cambria Math" w:cstheme="majorBidi"/>
                        <w:lang w:val="en-GB"/>
                      </w:rPr>
                      <m:t>β</m:t>
                    </m:r>
                  </m:e>
                  <m:sub>
                    <m:r>
                      <w:rPr>
                        <w:rFonts w:ascii="Cambria Math" w:hAnsi="Cambria Math" w:cstheme="majorBidi"/>
                        <w:lang w:val="en-GB"/>
                      </w:rPr>
                      <m:t>1</m:t>
                    </m:r>
                  </m:sub>
                </m:sSub>
                <m:sSub>
                  <m:sSubPr>
                    <m:ctrlPr>
                      <w:rPr>
                        <w:rFonts w:ascii="Cambria Math" w:hAnsi="Cambria Math" w:cstheme="majorBidi"/>
                        <w:i/>
                        <w:lang w:val="en-GB"/>
                      </w:rPr>
                    </m:ctrlPr>
                  </m:sSubPr>
                  <m:e>
                    <m:r>
                      <w:rPr>
                        <w:rFonts w:ascii="Cambria Math" w:hAnsi="Cambria Math" w:cstheme="majorBidi"/>
                        <w:lang w:val="en-GB"/>
                      </w:rPr>
                      <m:t>X</m:t>
                    </m:r>
                  </m:e>
                  <m:sub>
                    <m:r>
                      <w:rPr>
                        <w:rFonts w:ascii="Cambria Math" w:hAnsi="Cambria Math" w:cstheme="majorBidi"/>
                        <w:lang w:val="en-GB"/>
                      </w:rPr>
                      <m:t>1</m:t>
                    </m:r>
                  </m:sub>
                </m:sSub>
                <m:r>
                  <w:rPr>
                    <w:rFonts w:ascii="Cambria Math" w:hAnsi="Cambria Math" w:cstheme="majorBidi"/>
                    <w:lang w:val="en-GB"/>
                  </w:rPr>
                  <m:t>+</m:t>
                </m:r>
                <m:sSub>
                  <m:sSubPr>
                    <m:ctrlPr>
                      <w:rPr>
                        <w:rFonts w:ascii="Cambria Math" w:hAnsi="Cambria Math" w:cstheme="majorBidi"/>
                        <w:i/>
                        <w:lang w:val="en-GB"/>
                      </w:rPr>
                    </m:ctrlPr>
                  </m:sSubPr>
                  <m:e>
                    <m:r>
                      <w:rPr>
                        <w:rFonts w:ascii="Cambria Math" w:hAnsi="Cambria Math" w:cstheme="majorBidi"/>
                        <w:lang w:val="en-GB"/>
                      </w:rPr>
                      <m:t>β</m:t>
                    </m:r>
                  </m:e>
                  <m:sub>
                    <m:r>
                      <w:rPr>
                        <w:rFonts w:ascii="Cambria Math" w:hAnsi="Cambria Math" w:cstheme="majorBidi"/>
                        <w:lang w:val="en-GB"/>
                      </w:rPr>
                      <m:t>2</m:t>
                    </m:r>
                  </m:sub>
                </m:sSub>
                <m:sSub>
                  <m:sSubPr>
                    <m:ctrlPr>
                      <w:rPr>
                        <w:rFonts w:ascii="Cambria Math" w:hAnsi="Cambria Math" w:cstheme="majorBidi"/>
                        <w:i/>
                        <w:lang w:val="en-GB"/>
                      </w:rPr>
                    </m:ctrlPr>
                  </m:sSubPr>
                  <m:e>
                    <m:r>
                      <w:rPr>
                        <w:rFonts w:ascii="Cambria Math" w:hAnsi="Cambria Math" w:cstheme="majorBidi"/>
                        <w:lang w:val="en-GB"/>
                      </w:rPr>
                      <m:t>X</m:t>
                    </m:r>
                  </m:e>
                  <m:sub>
                    <m:r>
                      <w:rPr>
                        <w:rFonts w:ascii="Cambria Math" w:hAnsi="Cambria Math" w:cstheme="majorBidi"/>
                        <w:lang w:val="en-GB"/>
                      </w:rPr>
                      <m:t>2</m:t>
                    </m:r>
                  </m:sub>
                </m:sSub>
                <m:r>
                  <w:rPr>
                    <w:rFonts w:ascii="Cambria Math" w:hAnsi="Cambria Math" w:cstheme="majorBidi"/>
                    <w:lang w:val="en-GB"/>
                  </w:rPr>
                  <m:t>+…+</m:t>
                </m:r>
                <m:sSub>
                  <m:sSubPr>
                    <m:ctrlPr>
                      <w:rPr>
                        <w:rFonts w:ascii="Cambria Math" w:hAnsi="Cambria Math" w:cstheme="majorBidi"/>
                        <w:i/>
                        <w:lang w:val="en-GB"/>
                      </w:rPr>
                    </m:ctrlPr>
                  </m:sSubPr>
                  <m:e>
                    <m:r>
                      <w:rPr>
                        <w:rFonts w:ascii="Cambria Math" w:hAnsi="Cambria Math" w:cstheme="majorBidi"/>
                        <w:lang w:val="en-GB"/>
                      </w:rPr>
                      <m:t>β</m:t>
                    </m:r>
                  </m:e>
                  <m:sub>
                    <m:r>
                      <w:rPr>
                        <w:rFonts w:ascii="Cambria Math" w:hAnsi="Cambria Math" w:cstheme="majorBidi"/>
                        <w:lang w:val="en-GB"/>
                      </w:rPr>
                      <m:t>k</m:t>
                    </m:r>
                  </m:sub>
                </m:sSub>
                <m:sSub>
                  <m:sSubPr>
                    <m:ctrlPr>
                      <w:rPr>
                        <w:rFonts w:ascii="Cambria Math" w:hAnsi="Cambria Math" w:cstheme="majorBidi"/>
                        <w:i/>
                        <w:lang w:val="en-GB"/>
                      </w:rPr>
                    </m:ctrlPr>
                  </m:sSubPr>
                  <m:e>
                    <m:r>
                      <w:rPr>
                        <w:rFonts w:ascii="Cambria Math" w:hAnsi="Cambria Math" w:cstheme="majorBidi"/>
                        <w:lang w:val="en-GB"/>
                      </w:rPr>
                      <m:t>X</m:t>
                    </m:r>
                  </m:e>
                  <m:sub>
                    <m:r>
                      <w:rPr>
                        <w:rFonts w:ascii="Cambria Math" w:hAnsi="Cambria Math" w:cstheme="majorBidi"/>
                        <w:lang w:val="en-GB"/>
                      </w:rPr>
                      <m:t>k</m:t>
                    </m:r>
                  </m:sub>
                </m:sSub>
                <m:r>
                  <w:rPr>
                    <w:rFonts w:ascii="Cambria Math" w:hAnsi="Cambria Math" w:cstheme="majorBidi"/>
                    <w:lang w:val="en-GB"/>
                  </w:rPr>
                  <m:t>)</m:t>
                </m:r>
              </m:sup>
            </m:sSup>
          </m:den>
        </m:f>
      </m:oMath>
      <w:r w:rsidRPr="00C86F6D">
        <w:rPr>
          <w:rFonts w:eastAsiaTheme="minorEastAsia" w:cstheme="majorBidi"/>
          <w:lang w:val="en-GB"/>
        </w:rPr>
        <w:t xml:space="preserve"> .                                                                       </w:t>
      </w:r>
      <w:r w:rsidRPr="00032DA6">
        <w:rPr>
          <w:rFonts w:ascii="Times New Roman" w:eastAsiaTheme="minorEastAsia" w:hAnsi="Times New Roman" w:cs="Times New Roman"/>
          <w:sz w:val="24"/>
          <w:szCs w:val="24"/>
          <w:lang w:val="en-GB"/>
        </w:rPr>
        <w:t>(2)</w:t>
      </w:r>
    </w:p>
    <w:p w14:paraId="0D374830" w14:textId="77777777" w:rsidR="009219B6" w:rsidRPr="00032DA6" w:rsidRDefault="009219B6" w:rsidP="00DE108C">
      <w:pPr>
        <w:autoSpaceDE w:val="0"/>
        <w:autoSpaceDN w:val="0"/>
        <w:adjustRightInd w:val="0"/>
        <w:spacing w:after="0" w:line="276" w:lineRule="auto"/>
        <w:rPr>
          <w:rFonts w:ascii="BookAntiqua-Bold" w:hAnsi="BookAntiqua-Bold"/>
          <w:b/>
          <w:bCs/>
          <w:sz w:val="20"/>
          <w:szCs w:val="20"/>
          <w:rtl/>
          <w:lang w:val="en-GB" w:bidi="ar-EG"/>
        </w:rPr>
      </w:pPr>
    </w:p>
    <w:p w14:paraId="1CD92318" w14:textId="28F30557" w:rsidR="009219B6" w:rsidRPr="00816831" w:rsidRDefault="00DB05BC" w:rsidP="006850D2">
      <w:pPr>
        <w:pStyle w:val="Heading2"/>
        <w:numPr>
          <w:ilvl w:val="0"/>
          <w:numId w:val="43"/>
        </w:numPr>
        <w:rPr>
          <w:lang w:val="en-GB"/>
        </w:rPr>
      </w:pPr>
      <w:bookmarkStart w:id="58" w:name="_Toc91438054"/>
      <w:r w:rsidRPr="00816831">
        <w:rPr>
          <w:lang w:val="en-GB"/>
        </w:rPr>
        <w:t>Model Variables</w:t>
      </w:r>
      <w:bookmarkEnd w:id="58"/>
    </w:p>
    <w:p w14:paraId="659C0830" w14:textId="51CB7D3C" w:rsidR="009219B6" w:rsidRPr="00C86F6D" w:rsidRDefault="009219B6" w:rsidP="00DE108C">
      <w:pPr>
        <w:autoSpaceDE w:val="0"/>
        <w:autoSpaceDN w:val="0"/>
        <w:adjustRightInd w:val="0"/>
        <w:spacing w:after="0" w:line="276" w:lineRule="auto"/>
        <w:jc w:val="both"/>
        <w:rPr>
          <w:rFonts w:cstheme="majorBidi"/>
          <w:lang w:val="en-GB"/>
        </w:rPr>
      </w:pPr>
      <w:r w:rsidRPr="00816831">
        <w:rPr>
          <w:rFonts w:cstheme="majorBidi"/>
          <w:lang w:val="en-GB"/>
        </w:rPr>
        <w:t xml:space="preserve">The dependent variable </w:t>
      </w:r>
      <w:r w:rsidR="002552AC" w:rsidRPr="00816831">
        <w:rPr>
          <w:rFonts w:cstheme="majorBidi"/>
          <w:lang w:val="en-GB"/>
        </w:rPr>
        <w:t>is the</w:t>
      </w:r>
      <w:r w:rsidR="00FC7FA8" w:rsidRPr="00816831">
        <w:rPr>
          <w:rFonts w:cstheme="majorBidi"/>
          <w:lang w:val="en-GB"/>
        </w:rPr>
        <w:t xml:space="preserve"> Egyptian Housing Price Index (</w:t>
      </w:r>
      <w:r w:rsidR="002552AC" w:rsidRPr="00816831">
        <w:rPr>
          <w:rFonts w:cstheme="majorBidi"/>
          <w:lang w:val="en-GB"/>
        </w:rPr>
        <w:t>EHPI</w:t>
      </w:r>
      <w:r w:rsidR="00FC7FA8" w:rsidRPr="00816831">
        <w:rPr>
          <w:rFonts w:cstheme="majorBidi"/>
          <w:lang w:val="en-GB"/>
        </w:rPr>
        <w:t>)</w:t>
      </w:r>
      <w:r w:rsidRPr="00816831">
        <w:rPr>
          <w:rFonts w:cstheme="majorBidi"/>
          <w:lang w:val="en-GB"/>
        </w:rPr>
        <w:t>. Three housing price levels are distinguished in the study as the dependent variable of the ordinal logit model</w:t>
      </w:r>
      <w:r w:rsidR="00C86F6D" w:rsidRPr="00816831">
        <w:rPr>
          <w:rFonts w:cstheme="majorBidi"/>
          <w:lang w:val="en-GB"/>
        </w:rPr>
        <w:t xml:space="preserve">: Low (low prices), Moderate (moderate prices), High (high prices), </w:t>
      </w:r>
      <w:r w:rsidRPr="00816831">
        <w:rPr>
          <w:rFonts w:cstheme="majorBidi"/>
          <w:lang w:val="en-GB"/>
        </w:rPr>
        <w:t xml:space="preserve">as shown in table </w:t>
      </w:r>
      <w:r w:rsidR="009C63A6" w:rsidRPr="00816831">
        <w:rPr>
          <w:rFonts w:cstheme="majorBidi"/>
          <w:lang w:val="en-GB"/>
        </w:rPr>
        <w:t>(</w:t>
      </w:r>
      <w:r w:rsidR="00AA1337" w:rsidRPr="00816831">
        <w:rPr>
          <w:rFonts w:cstheme="majorBidi"/>
          <w:lang w:val="en-GB"/>
        </w:rPr>
        <w:t>16</w:t>
      </w:r>
      <w:r w:rsidR="009C63A6" w:rsidRPr="00816831">
        <w:rPr>
          <w:rFonts w:cstheme="majorBidi"/>
          <w:lang w:val="en-GB"/>
        </w:rPr>
        <w:t>)</w:t>
      </w:r>
      <w:r w:rsidR="009E4695" w:rsidRPr="00816831">
        <w:rPr>
          <w:rFonts w:cstheme="majorBidi"/>
          <w:lang w:val="en-GB"/>
        </w:rPr>
        <w:t>.</w:t>
      </w:r>
    </w:p>
    <w:p w14:paraId="5F00B547" w14:textId="77777777" w:rsidR="009E4695" w:rsidRPr="00032DA6" w:rsidRDefault="009E4695" w:rsidP="00DE108C">
      <w:pPr>
        <w:autoSpaceDE w:val="0"/>
        <w:autoSpaceDN w:val="0"/>
        <w:adjustRightInd w:val="0"/>
        <w:spacing w:after="0" w:line="276" w:lineRule="auto"/>
        <w:jc w:val="both"/>
        <w:rPr>
          <w:rFonts w:cstheme="majorBidi"/>
          <w:sz w:val="14"/>
          <w:szCs w:val="14"/>
          <w:lang w:val="en-GB"/>
        </w:rPr>
      </w:pPr>
    </w:p>
    <w:p w14:paraId="4043768D" w14:textId="62E7E649" w:rsidR="000F1B22" w:rsidRPr="00C86F6D" w:rsidRDefault="000F1B22" w:rsidP="00DE108C">
      <w:pPr>
        <w:autoSpaceDE w:val="0"/>
        <w:autoSpaceDN w:val="0"/>
        <w:adjustRightInd w:val="0"/>
        <w:spacing w:after="0" w:line="276" w:lineRule="auto"/>
        <w:jc w:val="both"/>
        <w:rPr>
          <w:rFonts w:cstheme="majorBidi"/>
          <w:b/>
          <w:bCs/>
          <w:lang w:val="en-GB"/>
        </w:rPr>
      </w:pPr>
      <w:r w:rsidRPr="00C86F6D">
        <w:rPr>
          <w:rFonts w:ascii="Times New Roman" w:hAnsi="Times New Roman" w:cs="Times New Roman"/>
          <w:b/>
          <w:bCs/>
          <w:lang w:val="en-GB"/>
        </w:rPr>
        <w:t>Table</w:t>
      </w:r>
      <w:r w:rsidR="0061259E" w:rsidRPr="00C86F6D">
        <w:rPr>
          <w:rFonts w:ascii="Times New Roman" w:hAnsi="Times New Roman" w:cs="Times New Roman"/>
          <w:b/>
          <w:bCs/>
          <w:lang w:val="en-GB"/>
        </w:rPr>
        <w:t xml:space="preserve"> (</w:t>
      </w:r>
      <w:r w:rsidR="00AA1337">
        <w:rPr>
          <w:rFonts w:ascii="Times New Roman" w:hAnsi="Times New Roman" w:cs="Times New Roman"/>
          <w:b/>
          <w:bCs/>
          <w:lang w:val="en-GB"/>
        </w:rPr>
        <w:t>16</w:t>
      </w:r>
      <w:r w:rsidR="0061259E" w:rsidRPr="00C86F6D">
        <w:rPr>
          <w:rFonts w:ascii="Times New Roman" w:hAnsi="Times New Roman" w:cs="Times New Roman"/>
          <w:b/>
          <w:bCs/>
          <w:lang w:val="en-GB"/>
        </w:rPr>
        <w:t>)</w:t>
      </w:r>
      <w:r w:rsidRPr="00C86F6D">
        <w:rPr>
          <w:rFonts w:ascii="Times New Roman" w:hAnsi="Times New Roman" w:cs="Times New Roman"/>
          <w:b/>
          <w:bCs/>
          <w:lang w:val="en-GB"/>
        </w:rPr>
        <w:t xml:space="preserve">: </w:t>
      </w:r>
      <w:r w:rsidR="00BA2B40" w:rsidRPr="00C86F6D">
        <w:rPr>
          <w:rFonts w:ascii="Times New Roman" w:hAnsi="Times New Roman" w:cs="Times New Roman"/>
          <w:b/>
          <w:bCs/>
          <w:lang w:val="en-GB"/>
        </w:rPr>
        <w:t>The Dependent variable: EHPI</w:t>
      </w:r>
    </w:p>
    <w:tbl>
      <w:tblPr>
        <w:tblStyle w:val="GridTable5Dark-Accent3"/>
        <w:tblW w:w="0" w:type="auto"/>
        <w:tblInd w:w="-5" w:type="dxa"/>
        <w:tblLook w:val="04A0" w:firstRow="1" w:lastRow="0" w:firstColumn="1" w:lastColumn="0" w:noHBand="0" w:noVBand="1"/>
      </w:tblPr>
      <w:tblGrid>
        <w:gridCol w:w="4308"/>
        <w:gridCol w:w="4242"/>
      </w:tblGrid>
      <w:tr w:rsidR="00D2297D" w:rsidRPr="00032DA6" w14:paraId="343507BF" w14:textId="77777777" w:rsidTr="00C86F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8" w:type="dxa"/>
          </w:tcPr>
          <w:p w14:paraId="551398D1" w14:textId="77777777" w:rsidR="009219B6" w:rsidRPr="00032DA6" w:rsidRDefault="009219B6" w:rsidP="00DE108C">
            <w:pPr>
              <w:spacing w:line="276" w:lineRule="auto"/>
              <w:jc w:val="both"/>
              <w:rPr>
                <w:rFonts w:ascii="BookAntiqua" w:hAnsi="BookAntiqua" w:cs="BookAntiqua"/>
                <w:b w:val="0"/>
                <w:bCs w:val="0"/>
                <w:color w:val="auto"/>
                <w:sz w:val="20"/>
                <w:szCs w:val="20"/>
                <w:lang w:val="en-GB"/>
              </w:rPr>
            </w:pPr>
            <w:r w:rsidRPr="00032DA6">
              <w:rPr>
                <w:rFonts w:ascii="BookAntiqua" w:hAnsi="BookAntiqua" w:cs="BookAntiqua"/>
                <w:color w:val="auto"/>
                <w:sz w:val="20"/>
                <w:szCs w:val="20"/>
                <w:lang w:val="en-GB"/>
              </w:rPr>
              <w:t>Categories</w:t>
            </w:r>
          </w:p>
        </w:tc>
        <w:tc>
          <w:tcPr>
            <w:tcW w:w="4242" w:type="dxa"/>
          </w:tcPr>
          <w:p w14:paraId="6BDA63D6" w14:textId="77777777" w:rsidR="009219B6" w:rsidRPr="00032DA6" w:rsidRDefault="009219B6" w:rsidP="00DE108C">
            <w:pPr>
              <w:spacing w:line="276" w:lineRule="auto"/>
              <w:jc w:val="center"/>
              <w:cnfStyle w:val="100000000000" w:firstRow="1" w:lastRow="0" w:firstColumn="0" w:lastColumn="0" w:oddVBand="0" w:evenVBand="0" w:oddHBand="0" w:evenHBand="0" w:firstRowFirstColumn="0" w:firstRowLastColumn="0" w:lastRowFirstColumn="0" w:lastRowLastColumn="0"/>
              <w:rPr>
                <w:rFonts w:ascii="BookAntiqua" w:hAnsi="BookAntiqua" w:cs="BookAntiqua"/>
                <w:b w:val="0"/>
                <w:bCs w:val="0"/>
                <w:color w:val="auto"/>
                <w:sz w:val="20"/>
                <w:szCs w:val="20"/>
                <w:lang w:val="en-GB"/>
              </w:rPr>
            </w:pPr>
            <w:r w:rsidRPr="00032DA6">
              <w:rPr>
                <w:rFonts w:ascii="BookAntiqua" w:hAnsi="BookAntiqua" w:cs="BookAntiqua"/>
                <w:color w:val="auto"/>
                <w:sz w:val="20"/>
                <w:szCs w:val="20"/>
                <w:lang w:val="en-GB"/>
              </w:rPr>
              <w:t>Code</w:t>
            </w:r>
          </w:p>
        </w:tc>
      </w:tr>
      <w:tr w:rsidR="00D2297D" w:rsidRPr="00032DA6" w14:paraId="3B2ADF20" w14:textId="77777777" w:rsidTr="00C86F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8" w:type="dxa"/>
          </w:tcPr>
          <w:p w14:paraId="7176FFBA" w14:textId="77777777" w:rsidR="009219B6" w:rsidRPr="00032DA6" w:rsidRDefault="009219B6" w:rsidP="00DE108C">
            <w:pPr>
              <w:spacing w:line="276" w:lineRule="auto"/>
              <w:jc w:val="both"/>
              <w:rPr>
                <w:rFonts w:ascii="BookAntiqua" w:hAnsi="BookAntiqua" w:cs="BookAntiqua"/>
                <w:b w:val="0"/>
                <w:bCs w:val="0"/>
                <w:color w:val="auto"/>
                <w:sz w:val="20"/>
                <w:szCs w:val="20"/>
                <w:lang w:val="en-GB"/>
              </w:rPr>
            </w:pPr>
            <w:r w:rsidRPr="00032DA6">
              <w:rPr>
                <w:rFonts w:ascii="BookAntiqua" w:hAnsi="BookAntiqua" w:cs="BookAntiqua"/>
                <w:color w:val="auto"/>
                <w:sz w:val="20"/>
                <w:szCs w:val="20"/>
                <w:lang w:val="en-GB"/>
              </w:rPr>
              <w:t>Low</w:t>
            </w:r>
          </w:p>
        </w:tc>
        <w:tc>
          <w:tcPr>
            <w:tcW w:w="4242" w:type="dxa"/>
          </w:tcPr>
          <w:p w14:paraId="7D3D7E80" w14:textId="77777777" w:rsidR="009219B6" w:rsidRPr="00032DA6" w:rsidRDefault="009219B6"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lang w:val="en-GB"/>
              </w:rPr>
            </w:pPr>
            <w:r w:rsidRPr="00032DA6">
              <w:rPr>
                <w:rFonts w:ascii="BookAntiqua" w:hAnsi="BookAntiqua" w:cs="BookAntiqua"/>
                <w:sz w:val="20"/>
                <w:szCs w:val="20"/>
                <w:lang w:val="en-GB"/>
              </w:rPr>
              <w:t>1</w:t>
            </w:r>
          </w:p>
        </w:tc>
      </w:tr>
      <w:tr w:rsidR="00D2297D" w:rsidRPr="00032DA6" w14:paraId="65F8D2C2" w14:textId="77777777" w:rsidTr="00C86F6D">
        <w:tc>
          <w:tcPr>
            <w:cnfStyle w:val="001000000000" w:firstRow="0" w:lastRow="0" w:firstColumn="1" w:lastColumn="0" w:oddVBand="0" w:evenVBand="0" w:oddHBand="0" w:evenHBand="0" w:firstRowFirstColumn="0" w:firstRowLastColumn="0" w:lastRowFirstColumn="0" w:lastRowLastColumn="0"/>
            <w:tcW w:w="4308" w:type="dxa"/>
          </w:tcPr>
          <w:p w14:paraId="76BE9461" w14:textId="77E4F395" w:rsidR="009219B6" w:rsidRPr="00032DA6" w:rsidRDefault="00C86F6D" w:rsidP="00DE108C">
            <w:pPr>
              <w:spacing w:line="276" w:lineRule="auto"/>
              <w:jc w:val="both"/>
              <w:rPr>
                <w:rFonts w:ascii="BookAntiqua" w:hAnsi="BookAntiqua" w:cs="BookAntiqua"/>
                <w:color w:val="auto"/>
                <w:sz w:val="20"/>
                <w:szCs w:val="20"/>
                <w:lang w:val="en-GB"/>
              </w:rPr>
            </w:pPr>
            <w:r>
              <w:rPr>
                <w:rFonts w:ascii="BookAntiqua" w:hAnsi="BookAntiqua" w:cs="BookAntiqua"/>
                <w:color w:val="auto"/>
                <w:sz w:val="20"/>
                <w:szCs w:val="20"/>
                <w:lang w:val="en-GB"/>
              </w:rPr>
              <w:t>Moderate</w:t>
            </w:r>
          </w:p>
        </w:tc>
        <w:tc>
          <w:tcPr>
            <w:tcW w:w="4242" w:type="dxa"/>
          </w:tcPr>
          <w:p w14:paraId="084F5191" w14:textId="77777777" w:rsidR="009219B6" w:rsidRPr="00032DA6" w:rsidRDefault="009219B6" w:rsidP="00DE108C">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lang w:val="en-GB"/>
              </w:rPr>
            </w:pPr>
            <w:r w:rsidRPr="00032DA6">
              <w:rPr>
                <w:rFonts w:ascii="BookAntiqua" w:hAnsi="BookAntiqua" w:cs="BookAntiqua"/>
                <w:sz w:val="20"/>
                <w:szCs w:val="20"/>
                <w:lang w:val="en-GB"/>
              </w:rPr>
              <w:t>2</w:t>
            </w:r>
          </w:p>
        </w:tc>
      </w:tr>
      <w:tr w:rsidR="00D2297D" w:rsidRPr="00032DA6" w14:paraId="4301E4A7" w14:textId="77777777" w:rsidTr="004C4582">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4308" w:type="dxa"/>
          </w:tcPr>
          <w:p w14:paraId="15BA4754" w14:textId="77777777" w:rsidR="009219B6" w:rsidRPr="00032DA6" w:rsidRDefault="009219B6" w:rsidP="00DE108C">
            <w:pPr>
              <w:spacing w:line="276" w:lineRule="auto"/>
              <w:jc w:val="both"/>
              <w:rPr>
                <w:rFonts w:ascii="BookAntiqua" w:hAnsi="BookAntiqua" w:cs="BookAntiqua"/>
                <w:color w:val="auto"/>
                <w:sz w:val="20"/>
                <w:szCs w:val="20"/>
                <w:lang w:val="en-GB"/>
              </w:rPr>
            </w:pPr>
            <w:r w:rsidRPr="00032DA6">
              <w:rPr>
                <w:rFonts w:ascii="BookAntiqua" w:hAnsi="BookAntiqua" w:cs="BookAntiqua"/>
                <w:color w:val="auto"/>
                <w:sz w:val="20"/>
                <w:szCs w:val="20"/>
                <w:lang w:val="en-GB"/>
              </w:rPr>
              <w:t>High</w:t>
            </w:r>
          </w:p>
        </w:tc>
        <w:tc>
          <w:tcPr>
            <w:tcW w:w="4242" w:type="dxa"/>
          </w:tcPr>
          <w:p w14:paraId="264F15BE" w14:textId="77777777" w:rsidR="009219B6" w:rsidRPr="00032DA6" w:rsidRDefault="009219B6" w:rsidP="00DE108C">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lang w:val="en-GB"/>
              </w:rPr>
            </w:pPr>
            <w:r w:rsidRPr="00032DA6">
              <w:rPr>
                <w:rFonts w:ascii="BookAntiqua" w:hAnsi="BookAntiqua" w:cs="BookAntiqua"/>
                <w:sz w:val="20"/>
                <w:szCs w:val="20"/>
                <w:lang w:val="en-GB"/>
              </w:rPr>
              <w:t>3</w:t>
            </w:r>
          </w:p>
        </w:tc>
      </w:tr>
    </w:tbl>
    <w:p w14:paraId="3AA74CBC" w14:textId="6B809A9E" w:rsidR="00EF48AB" w:rsidRDefault="00C86F6D" w:rsidP="004C4582">
      <w:pPr>
        <w:autoSpaceDE w:val="0"/>
        <w:autoSpaceDN w:val="0"/>
        <w:adjustRightInd w:val="0"/>
        <w:spacing w:before="240" w:after="0" w:line="276" w:lineRule="auto"/>
        <w:jc w:val="lowKashida"/>
        <w:rPr>
          <w:rFonts w:ascii="Times New Roman" w:hAnsi="Times New Roman" w:cs="Times New Roman"/>
        </w:rPr>
      </w:pPr>
      <w:r w:rsidRPr="00A3242D">
        <w:rPr>
          <w:rFonts w:ascii="Times New Roman" w:hAnsi="Times New Roman" w:cs="Times New Roman"/>
          <w:lang w:val="en-GB"/>
        </w:rPr>
        <w:t>The study employs two</w:t>
      </w:r>
      <w:r w:rsidR="00DE0997" w:rsidRPr="00A3242D">
        <w:rPr>
          <w:rFonts w:ascii="Times New Roman" w:hAnsi="Times New Roman" w:cs="Times New Roman"/>
          <w:lang w:val="en-GB"/>
        </w:rPr>
        <w:t xml:space="preserve"> models: a model for the household survey</w:t>
      </w:r>
      <w:r w:rsidR="00FB684A" w:rsidRPr="00A3242D">
        <w:rPr>
          <w:rFonts w:ascii="Times New Roman" w:hAnsi="Times New Roman" w:cs="Times New Roman"/>
          <w:lang w:val="en-GB"/>
        </w:rPr>
        <w:t xml:space="preserve"> and another for the </w:t>
      </w:r>
      <w:r w:rsidRPr="00A3242D">
        <w:rPr>
          <w:rFonts w:ascii="Times New Roman" w:hAnsi="Times New Roman" w:cs="Times New Roman"/>
          <w:lang w:val="en-GB"/>
        </w:rPr>
        <w:t xml:space="preserve">real-estate </w:t>
      </w:r>
      <w:r w:rsidR="000E4219" w:rsidRPr="00A3242D">
        <w:rPr>
          <w:rFonts w:ascii="Times New Roman" w:hAnsi="Times New Roman" w:cs="Times New Roman"/>
          <w:lang w:val="en-GB"/>
        </w:rPr>
        <w:t xml:space="preserve">developers and brokers survey. </w:t>
      </w:r>
      <w:r w:rsidR="00EF48AB" w:rsidRPr="00A3242D">
        <w:rPr>
          <w:rFonts w:ascii="Times New Roman" w:hAnsi="Times New Roman" w:cs="Times New Roman"/>
        </w:rPr>
        <w:t>The independent variables for both models are summarized in table</w:t>
      </w:r>
      <w:r w:rsidR="00065939">
        <w:rPr>
          <w:rFonts w:ascii="Times New Roman" w:hAnsi="Times New Roman" w:cs="Times New Roman"/>
        </w:rPr>
        <w:t>s</w:t>
      </w:r>
      <w:r w:rsidR="00EF48AB" w:rsidRPr="00A3242D">
        <w:rPr>
          <w:rFonts w:ascii="Times New Roman" w:hAnsi="Times New Roman" w:cs="Times New Roman"/>
        </w:rPr>
        <w:t xml:space="preserve"> </w:t>
      </w:r>
      <w:r w:rsidR="00A3242D" w:rsidRPr="00A3242D">
        <w:rPr>
          <w:rFonts w:ascii="Times New Roman" w:hAnsi="Times New Roman" w:cs="Times New Roman"/>
        </w:rPr>
        <w:t>(17)</w:t>
      </w:r>
      <w:r w:rsidR="00EF48AB" w:rsidRPr="00A3242D">
        <w:rPr>
          <w:rFonts w:ascii="Times New Roman" w:hAnsi="Times New Roman" w:cs="Times New Roman"/>
        </w:rPr>
        <w:t xml:space="preserve"> and </w:t>
      </w:r>
      <w:r w:rsidR="00A3242D" w:rsidRPr="00A3242D">
        <w:rPr>
          <w:rFonts w:ascii="Times New Roman" w:hAnsi="Times New Roman" w:cs="Times New Roman"/>
        </w:rPr>
        <w:t>(18)</w:t>
      </w:r>
      <w:r w:rsidR="00EF48AB" w:rsidRPr="00A3242D">
        <w:rPr>
          <w:rFonts w:ascii="Times New Roman" w:hAnsi="Times New Roman" w:cs="Times New Roman"/>
        </w:rPr>
        <w:t xml:space="preserve"> respectively. </w:t>
      </w:r>
    </w:p>
    <w:p w14:paraId="53BE711C" w14:textId="58D02172" w:rsidR="00EF48AB" w:rsidRDefault="008E5E24" w:rsidP="004C4582">
      <w:pPr>
        <w:autoSpaceDE w:val="0"/>
        <w:autoSpaceDN w:val="0"/>
        <w:adjustRightInd w:val="0"/>
        <w:spacing w:before="240" w:after="0" w:line="276" w:lineRule="auto"/>
        <w:jc w:val="lowKashida"/>
        <w:rPr>
          <w:rFonts w:ascii="Times New Roman" w:hAnsi="Times New Roman" w:cs="Times New Roman"/>
          <w:b/>
          <w:bCs/>
          <w:sz w:val="24"/>
          <w:szCs w:val="24"/>
        </w:rPr>
      </w:pPr>
      <w:r w:rsidRPr="008E5E24">
        <w:rPr>
          <w:rFonts w:ascii="Times New Roman" w:hAnsi="Times New Roman" w:cs="Times New Roman"/>
          <w:b/>
          <w:bCs/>
          <w:sz w:val="24"/>
          <w:szCs w:val="24"/>
        </w:rPr>
        <w:t>Table (17): Explanatory variables for model</w:t>
      </w:r>
      <w:r>
        <w:rPr>
          <w:rFonts w:ascii="Times New Roman" w:hAnsi="Times New Roman" w:cs="Times New Roman"/>
          <w:b/>
          <w:bCs/>
          <w:sz w:val="24"/>
          <w:szCs w:val="24"/>
        </w:rPr>
        <w:t xml:space="preserve"> (1): The </w:t>
      </w:r>
      <w:r w:rsidR="00C512A6">
        <w:rPr>
          <w:rFonts w:ascii="Times New Roman" w:hAnsi="Times New Roman" w:cs="Times New Roman"/>
          <w:b/>
          <w:bCs/>
          <w:sz w:val="24"/>
          <w:szCs w:val="24"/>
        </w:rPr>
        <w:t>Developers and Brokers Survey</w:t>
      </w:r>
    </w:p>
    <w:tbl>
      <w:tblPr>
        <w:tblStyle w:val="GridTable5Dark-Accent3"/>
        <w:tblW w:w="10355" w:type="dxa"/>
        <w:jc w:val="center"/>
        <w:tblLook w:val="04A0" w:firstRow="1" w:lastRow="0" w:firstColumn="1" w:lastColumn="0" w:noHBand="0" w:noVBand="1"/>
      </w:tblPr>
      <w:tblGrid>
        <w:gridCol w:w="2340"/>
        <w:gridCol w:w="4410"/>
        <w:gridCol w:w="3605"/>
      </w:tblGrid>
      <w:tr w:rsidR="008A57DB" w:rsidRPr="008A57DB" w14:paraId="78703D1C" w14:textId="77777777" w:rsidTr="008A57D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40" w:type="dxa"/>
          </w:tcPr>
          <w:p w14:paraId="3278A321" w14:textId="77777777" w:rsidR="001277BF" w:rsidRPr="008A57DB" w:rsidRDefault="001277BF" w:rsidP="004C4582">
            <w:pPr>
              <w:jc w:val="center"/>
              <w:rPr>
                <w:rFonts w:ascii="BookAntiqua" w:hAnsi="BookAntiqua" w:cs="BookAntiqua"/>
                <w:b w:val="0"/>
                <w:bCs w:val="0"/>
                <w:color w:val="auto"/>
                <w:sz w:val="20"/>
                <w:szCs w:val="20"/>
              </w:rPr>
            </w:pPr>
            <w:r w:rsidRPr="008A57DB">
              <w:rPr>
                <w:rFonts w:ascii="BookAntiqua" w:hAnsi="BookAntiqua" w:cs="BookAntiqua"/>
                <w:color w:val="auto"/>
                <w:sz w:val="20"/>
                <w:szCs w:val="20"/>
              </w:rPr>
              <w:t>Variable</w:t>
            </w:r>
          </w:p>
        </w:tc>
        <w:tc>
          <w:tcPr>
            <w:tcW w:w="4410" w:type="dxa"/>
          </w:tcPr>
          <w:p w14:paraId="5916EC6C" w14:textId="77777777" w:rsidR="001277BF" w:rsidRPr="008A57DB" w:rsidRDefault="001277BF" w:rsidP="004C4582">
            <w:pPr>
              <w:jc w:val="center"/>
              <w:cnfStyle w:val="100000000000" w:firstRow="1" w:lastRow="0" w:firstColumn="0" w:lastColumn="0" w:oddVBand="0" w:evenVBand="0" w:oddHBand="0" w:evenHBand="0" w:firstRowFirstColumn="0" w:firstRowLastColumn="0" w:lastRowFirstColumn="0" w:lastRowLastColumn="0"/>
              <w:rPr>
                <w:rFonts w:ascii="BookAntiqua" w:hAnsi="BookAntiqua" w:cs="BookAntiqua"/>
                <w:b w:val="0"/>
                <w:bCs w:val="0"/>
                <w:color w:val="auto"/>
                <w:sz w:val="20"/>
                <w:szCs w:val="20"/>
              </w:rPr>
            </w:pPr>
            <w:r w:rsidRPr="008A57DB">
              <w:rPr>
                <w:rFonts w:ascii="BookAntiqua" w:hAnsi="BookAntiqua" w:cs="BookAntiqua"/>
                <w:color w:val="auto"/>
                <w:sz w:val="20"/>
                <w:szCs w:val="20"/>
              </w:rPr>
              <w:t>Description</w:t>
            </w:r>
          </w:p>
        </w:tc>
        <w:tc>
          <w:tcPr>
            <w:tcW w:w="3605" w:type="dxa"/>
          </w:tcPr>
          <w:p w14:paraId="5F78D75B" w14:textId="77777777" w:rsidR="001277BF" w:rsidRPr="008A57DB" w:rsidRDefault="001277BF" w:rsidP="004C4582">
            <w:pPr>
              <w:jc w:val="center"/>
              <w:cnfStyle w:val="100000000000" w:firstRow="1" w:lastRow="0" w:firstColumn="0" w:lastColumn="0" w:oddVBand="0" w:evenVBand="0" w:oddHBand="0" w:evenHBand="0" w:firstRowFirstColumn="0" w:firstRowLastColumn="0" w:lastRowFirstColumn="0" w:lastRowLastColumn="0"/>
              <w:rPr>
                <w:rFonts w:ascii="BookAntiqua" w:hAnsi="BookAntiqua" w:cs="BookAntiqua"/>
                <w:b w:val="0"/>
                <w:bCs w:val="0"/>
                <w:color w:val="auto"/>
                <w:sz w:val="20"/>
                <w:szCs w:val="20"/>
              </w:rPr>
            </w:pPr>
            <w:r w:rsidRPr="008A57DB">
              <w:rPr>
                <w:rFonts w:ascii="BookAntiqua" w:hAnsi="BookAntiqua" w:cs="BookAntiqua"/>
                <w:color w:val="auto"/>
                <w:sz w:val="20"/>
                <w:szCs w:val="20"/>
              </w:rPr>
              <w:t>Value labels</w:t>
            </w:r>
          </w:p>
          <w:p w14:paraId="39EA9C05" w14:textId="77777777" w:rsidR="001277BF" w:rsidRPr="008A57DB" w:rsidRDefault="001277BF" w:rsidP="004C4582">
            <w:pPr>
              <w:jc w:val="center"/>
              <w:cnfStyle w:val="100000000000" w:firstRow="1" w:lastRow="0" w:firstColumn="0" w:lastColumn="0" w:oddVBand="0" w:evenVBand="0" w:oddHBand="0" w:evenHBand="0" w:firstRowFirstColumn="0" w:firstRowLastColumn="0" w:lastRowFirstColumn="0" w:lastRowLastColumn="0"/>
              <w:rPr>
                <w:rFonts w:ascii="BookAntiqua" w:hAnsi="BookAntiqua" w:cs="BookAntiqua"/>
                <w:b w:val="0"/>
                <w:bCs w:val="0"/>
                <w:color w:val="auto"/>
                <w:sz w:val="20"/>
                <w:szCs w:val="20"/>
              </w:rPr>
            </w:pPr>
          </w:p>
        </w:tc>
      </w:tr>
      <w:tr w:rsidR="008A57DB" w:rsidRPr="008A57DB" w14:paraId="6E651E3E" w14:textId="77777777" w:rsidTr="008A57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55" w:type="dxa"/>
            <w:gridSpan w:val="3"/>
          </w:tcPr>
          <w:p w14:paraId="04E55E73" w14:textId="77777777" w:rsidR="001277BF" w:rsidRPr="008A57DB" w:rsidRDefault="001277BF" w:rsidP="004C4582">
            <w:pPr>
              <w:ind w:left="-2720"/>
              <w:jc w:val="center"/>
              <w:rPr>
                <w:rFonts w:ascii="BookAntiqua" w:hAnsi="BookAntiqua"/>
                <w:color w:val="auto"/>
                <w:sz w:val="20"/>
                <w:szCs w:val="20"/>
                <w:lang w:bidi="ar-EG"/>
              </w:rPr>
            </w:pPr>
            <w:r w:rsidRPr="008A57DB">
              <w:rPr>
                <w:color w:val="auto"/>
                <w:sz w:val="24"/>
                <w:szCs w:val="24"/>
              </w:rPr>
              <w:t xml:space="preserve">                                                  Macro Fundamentals</w:t>
            </w:r>
          </w:p>
        </w:tc>
      </w:tr>
      <w:tr w:rsidR="008A57DB" w:rsidRPr="008A57DB" w14:paraId="44F997FA" w14:textId="77777777" w:rsidTr="008A57DB">
        <w:trPr>
          <w:trHeight w:val="460"/>
          <w:jc w:val="center"/>
        </w:trPr>
        <w:tc>
          <w:tcPr>
            <w:cnfStyle w:val="001000000000" w:firstRow="0" w:lastRow="0" w:firstColumn="1" w:lastColumn="0" w:oddVBand="0" w:evenVBand="0" w:oddHBand="0" w:evenHBand="0" w:firstRowFirstColumn="0" w:firstRowLastColumn="0" w:lastRowFirstColumn="0" w:lastRowLastColumn="0"/>
            <w:tcW w:w="2340" w:type="dxa"/>
          </w:tcPr>
          <w:p w14:paraId="384620C4" w14:textId="22EC8844" w:rsidR="001277BF" w:rsidRPr="008A57DB" w:rsidRDefault="001277BF" w:rsidP="004C4582">
            <w:pPr>
              <w:jc w:val="both"/>
              <w:rPr>
                <w:rFonts w:ascii="BookAntiqua" w:hAnsi="BookAntiqua" w:cs="BookAntiqua"/>
                <w:color w:val="auto"/>
                <w:sz w:val="20"/>
                <w:szCs w:val="20"/>
              </w:rPr>
            </w:pPr>
            <w:r w:rsidRPr="008A57DB">
              <w:rPr>
                <w:rFonts w:ascii="BookAntiqua" w:hAnsi="BookAntiqua" w:cs="BookAntiqua"/>
                <w:color w:val="auto"/>
                <w:sz w:val="20"/>
                <w:szCs w:val="20"/>
              </w:rPr>
              <w:t>X</w:t>
            </w:r>
            <w:r w:rsidRPr="008A57DB">
              <w:rPr>
                <w:rFonts w:ascii="BookAntiqua" w:hAnsi="BookAntiqua" w:cs="BookAntiqua"/>
                <w:color w:val="auto"/>
                <w:sz w:val="20"/>
                <w:szCs w:val="20"/>
                <w:vertAlign w:val="subscript"/>
              </w:rPr>
              <w:t>1</w:t>
            </w:r>
            <w:r w:rsidRPr="008A57DB">
              <w:rPr>
                <w:rFonts w:ascii="BookAntiqua" w:hAnsi="BookAntiqua" w:cs="BookAntiqua"/>
                <w:color w:val="auto"/>
                <w:sz w:val="20"/>
                <w:szCs w:val="20"/>
              </w:rPr>
              <w:t xml:space="preserve"> (Inflation)</w:t>
            </w:r>
          </w:p>
        </w:tc>
        <w:tc>
          <w:tcPr>
            <w:tcW w:w="4410" w:type="dxa"/>
            <w:vMerge w:val="restart"/>
          </w:tcPr>
          <w:p w14:paraId="7563DCEF" w14:textId="73DBAEBA" w:rsidR="001277BF" w:rsidRPr="008A57DB" w:rsidRDefault="001277BF" w:rsidP="004C4582">
            <w:pPr>
              <w:jc w:val="both"/>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sidRPr="008A57DB">
              <w:rPr>
                <w:rFonts w:ascii="BookAntiqua" w:hAnsi="BookAntiqua" w:cs="BookAntiqua"/>
                <w:sz w:val="20"/>
                <w:szCs w:val="20"/>
              </w:rPr>
              <w:t>From your point of view to what extent has inflation affected real estate prices during the last five years</w:t>
            </w:r>
          </w:p>
        </w:tc>
        <w:tc>
          <w:tcPr>
            <w:tcW w:w="3605" w:type="dxa"/>
            <w:vMerge w:val="restart"/>
          </w:tcPr>
          <w:p w14:paraId="131FC5F2" w14:textId="77777777" w:rsidR="001277BF" w:rsidRPr="008A57DB" w:rsidRDefault="001277BF" w:rsidP="004C4582">
            <w:pPr>
              <w:jc w:val="center"/>
              <w:cnfStyle w:val="000000000000" w:firstRow="0" w:lastRow="0" w:firstColumn="0" w:lastColumn="0" w:oddVBand="0" w:evenVBand="0" w:oddHBand="0" w:evenHBand="0" w:firstRowFirstColumn="0" w:firstRowLastColumn="0" w:lastRowFirstColumn="0" w:lastRowLastColumn="0"/>
              <w:rPr>
                <w:rFonts w:ascii="BookAntiqua" w:hAnsi="BookAntiqua"/>
                <w:sz w:val="20"/>
                <w:szCs w:val="20"/>
                <w:lang w:bidi="ar-EG"/>
              </w:rPr>
            </w:pPr>
            <w:r w:rsidRPr="008A57DB">
              <w:rPr>
                <w:rFonts w:ascii="BookAntiqua" w:hAnsi="BookAntiqua"/>
                <w:sz w:val="20"/>
                <w:szCs w:val="20"/>
                <w:lang w:bidi="ar-EG"/>
              </w:rPr>
              <w:t>Not important, Neutral, Important</w:t>
            </w:r>
          </w:p>
        </w:tc>
      </w:tr>
      <w:tr w:rsidR="008A57DB" w:rsidRPr="008A57DB" w14:paraId="571BE117" w14:textId="77777777" w:rsidTr="008A57DB">
        <w:trPr>
          <w:cnfStyle w:val="000000100000" w:firstRow="0" w:lastRow="0" w:firstColumn="0" w:lastColumn="0" w:oddVBand="0" w:evenVBand="0" w:oddHBand="1" w:evenHBand="0" w:firstRowFirstColumn="0" w:firstRowLastColumn="0" w:lastRowFirstColumn="0" w:lastRowLastColumn="0"/>
          <w:trHeight w:val="460"/>
          <w:jc w:val="center"/>
        </w:trPr>
        <w:tc>
          <w:tcPr>
            <w:cnfStyle w:val="001000000000" w:firstRow="0" w:lastRow="0" w:firstColumn="1" w:lastColumn="0" w:oddVBand="0" w:evenVBand="0" w:oddHBand="0" w:evenHBand="0" w:firstRowFirstColumn="0" w:firstRowLastColumn="0" w:lastRowFirstColumn="0" w:lastRowLastColumn="0"/>
            <w:tcW w:w="2340" w:type="dxa"/>
          </w:tcPr>
          <w:p w14:paraId="36481B1A" w14:textId="77777777" w:rsidR="001277BF" w:rsidRPr="008A57DB" w:rsidRDefault="001277BF" w:rsidP="004C4582">
            <w:pPr>
              <w:jc w:val="both"/>
              <w:rPr>
                <w:rFonts w:ascii="BookAntiqua" w:hAnsi="BookAntiqua" w:cs="BookAntiqua"/>
                <w:color w:val="auto"/>
                <w:sz w:val="20"/>
                <w:szCs w:val="20"/>
              </w:rPr>
            </w:pPr>
          </w:p>
        </w:tc>
        <w:tc>
          <w:tcPr>
            <w:tcW w:w="4410" w:type="dxa"/>
            <w:vMerge/>
          </w:tcPr>
          <w:p w14:paraId="074480A7" w14:textId="77777777" w:rsidR="001277BF" w:rsidRPr="008A57DB" w:rsidRDefault="001277BF" w:rsidP="004C4582">
            <w:pPr>
              <w:jc w:val="both"/>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p>
        </w:tc>
        <w:tc>
          <w:tcPr>
            <w:tcW w:w="3605" w:type="dxa"/>
            <w:vMerge/>
          </w:tcPr>
          <w:p w14:paraId="6A082FBA" w14:textId="77777777" w:rsidR="001277BF" w:rsidRPr="008A57DB" w:rsidRDefault="001277BF" w:rsidP="004C4582">
            <w:pPr>
              <w:jc w:val="center"/>
              <w:cnfStyle w:val="000000100000" w:firstRow="0" w:lastRow="0" w:firstColumn="0" w:lastColumn="0" w:oddVBand="0" w:evenVBand="0" w:oddHBand="1" w:evenHBand="0" w:firstRowFirstColumn="0" w:firstRowLastColumn="0" w:lastRowFirstColumn="0" w:lastRowLastColumn="0"/>
              <w:rPr>
                <w:rFonts w:ascii="BookAntiqua" w:hAnsi="BookAntiqua"/>
                <w:sz w:val="20"/>
                <w:szCs w:val="20"/>
                <w:lang w:bidi="ar-EG"/>
              </w:rPr>
            </w:pPr>
          </w:p>
        </w:tc>
      </w:tr>
      <w:tr w:rsidR="008A57DB" w:rsidRPr="008A57DB" w14:paraId="2C4CA144" w14:textId="77777777" w:rsidTr="008A57DB">
        <w:trPr>
          <w:jc w:val="center"/>
        </w:trPr>
        <w:tc>
          <w:tcPr>
            <w:cnfStyle w:val="001000000000" w:firstRow="0" w:lastRow="0" w:firstColumn="1" w:lastColumn="0" w:oddVBand="0" w:evenVBand="0" w:oddHBand="0" w:evenHBand="0" w:firstRowFirstColumn="0" w:firstRowLastColumn="0" w:lastRowFirstColumn="0" w:lastRowLastColumn="0"/>
            <w:tcW w:w="2340" w:type="dxa"/>
          </w:tcPr>
          <w:p w14:paraId="6397061F" w14:textId="77777777" w:rsidR="001277BF" w:rsidRPr="008A57DB" w:rsidRDefault="001277BF" w:rsidP="004C4582">
            <w:pPr>
              <w:jc w:val="both"/>
              <w:rPr>
                <w:rFonts w:ascii="BookAntiqua" w:hAnsi="BookAntiqua" w:cs="BookAntiqua"/>
                <w:color w:val="auto"/>
                <w:sz w:val="20"/>
                <w:szCs w:val="20"/>
              </w:rPr>
            </w:pPr>
            <w:r w:rsidRPr="008A57DB">
              <w:rPr>
                <w:rFonts w:ascii="BookAntiqua" w:hAnsi="BookAntiqua" w:cs="BookAntiqua"/>
                <w:color w:val="auto"/>
                <w:sz w:val="20"/>
                <w:szCs w:val="20"/>
              </w:rPr>
              <w:t>X</w:t>
            </w:r>
            <w:r w:rsidRPr="008A57DB">
              <w:rPr>
                <w:rFonts w:ascii="BookAntiqua" w:hAnsi="BookAntiqua" w:cs="BookAntiqua"/>
                <w:color w:val="auto"/>
                <w:sz w:val="20"/>
                <w:szCs w:val="20"/>
                <w:vertAlign w:val="subscript"/>
              </w:rPr>
              <w:t>2</w:t>
            </w:r>
            <w:r w:rsidRPr="008A57DB">
              <w:rPr>
                <w:rFonts w:ascii="BookAntiqua" w:hAnsi="BookAntiqua" w:cs="BookAntiqua"/>
                <w:color w:val="auto"/>
                <w:sz w:val="20"/>
                <w:szCs w:val="20"/>
              </w:rPr>
              <w:t xml:space="preserve"> (economic reform program and flotation)</w:t>
            </w:r>
          </w:p>
        </w:tc>
        <w:tc>
          <w:tcPr>
            <w:tcW w:w="4410" w:type="dxa"/>
          </w:tcPr>
          <w:p w14:paraId="33D2BA24" w14:textId="77777777" w:rsidR="001277BF" w:rsidRPr="008A57DB" w:rsidRDefault="001277BF" w:rsidP="004C4582">
            <w:pPr>
              <w:jc w:val="both"/>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sidRPr="008A57DB">
              <w:rPr>
                <w:rFonts w:ascii="BookAntiqua" w:hAnsi="BookAntiqua" w:cs="BookAntiqua"/>
                <w:sz w:val="20"/>
                <w:szCs w:val="20"/>
              </w:rPr>
              <w:t>How did the following factors affect the direction of the real estate market: The economic reform program and the flotation (negative/positive)</w:t>
            </w:r>
          </w:p>
        </w:tc>
        <w:tc>
          <w:tcPr>
            <w:tcW w:w="3605" w:type="dxa"/>
          </w:tcPr>
          <w:p w14:paraId="363BB99E" w14:textId="77777777" w:rsidR="001277BF" w:rsidRPr="008A57DB" w:rsidRDefault="001277BF" w:rsidP="004C4582">
            <w:pPr>
              <w:jc w:val="center"/>
              <w:cnfStyle w:val="000000000000" w:firstRow="0" w:lastRow="0" w:firstColumn="0" w:lastColumn="0" w:oddVBand="0" w:evenVBand="0" w:oddHBand="0" w:evenHBand="0" w:firstRowFirstColumn="0" w:firstRowLastColumn="0" w:lastRowFirstColumn="0" w:lastRowLastColumn="0"/>
              <w:rPr>
                <w:rFonts w:ascii="BookAntiqua" w:hAnsi="BookAntiqua"/>
                <w:sz w:val="20"/>
                <w:szCs w:val="20"/>
                <w:lang w:bidi="ar-EG"/>
              </w:rPr>
            </w:pPr>
            <w:r w:rsidRPr="008A57DB">
              <w:rPr>
                <w:rFonts w:ascii="BookAntiqua" w:hAnsi="BookAntiqua"/>
                <w:sz w:val="20"/>
                <w:szCs w:val="20"/>
                <w:lang w:bidi="ar-EG"/>
              </w:rPr>
              <w:t>Positive, Negative</w:t>
            </w:r>
          </w:p>
        </w:tc>
      </w:tr>
      <w:tr w:rsidR="008A57DB" w:rsidRPr="008A57DB" w14:paraId="548B7921" w14:textId="77777777" w:rsidTr="008A57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55" w:type="dxa"/>
            <w:gridSpan w:val="3"/>
          </w:tcPr>
          <w:p w14:paraId="12D37064" w14:textId="77777777" w:rsidR="001277BF" w:rsidRPr="008A57DB" w:rsidRDefault="001277BF" w:rsidP="004C4582">
            <w:pPr>
              <w:jc w:val="center"/>
              <w:rPr>
                <w:rFonts w:ascii="BookAntiqua" w:hAnsi="BookAntiqua"/>
                <w:color w:val="auto"/>
                <w:sz w:val="20"/>
                <w:szCs w:val="20"/>
                <w:lang w:bidi="ar-EG"/>
              </w:rPr>
            </w:pPr>
            <w:r w:rsidRPr="008A57DB">
              <w:rPr>
                <w:color w:val="auto"/>
                <w:sz w:val="24"/>
                <w:szCs w:val="24"/>
              </w:rPr>
              <w:t xml:space="preserve">Institutions and procedures </w:t>
            </w:r>
          </w:p>
        </w:tc>
      </w:tr>
      <w:tr w:rsidR="008A57DB" w:rsidRPr="008A57DB" w14:paraId="2AC5C29A" w14:textId="77777777" w:rsidTr="008A57DB">
        <w:trPr>
          <w:trHeight w:val="575"/>
          <w:jc w:val="center"/>
        </w:trPr>
        <w:tc>
          <w:tcPr>
            <w:cnfStyle w:val="001000000000" w:firstRow="0" w:lastRow="0" w:firstColumn="1" w:lastColumn="0" w:oddVBand="0" w:evenVBand="0" w:oddHBand="0" w:evenHBand="0" w:firstRowFirstColumn="0" w:firstRowLastColumn="0" w:lastRowFirstColumn="0" w:lastRowLastColumn="0"/>
            <w:tcW w:w="2340" w:type="dxa"/>
          </w:tcPr>
          <w:p w14:paraId="05B2C7CD" w14:textId="56F7BA45" w:rsidR="001277BF" w:rsidRPr="008A57DB" w:rsidRDefault="001277BF" w:rsidP="004C4582">
            <w:pPr>
              <w:jc w:val="both"/>
              <w:rPr>
                <w:rFonts w:ascii="BookAntiqua" w:hAnsi="BookAntiqua" w:cs="BookAntiqua"/>
                <w:color w:val="auto"/>
                <w:sz w:val="20"/>
                <w:szCs w:val="20"/>
              </w:rPr>
            </w:pPr>
            <w:r w:rsidRPr="008A57DB">
              <w:rPr>
                <w:rFonts w:ascii="BookAntiqua" w:hAnsi="BookAntiqua" w:cs="BookAntiqua"/>
                <w:color w:val="auto"/>
                <w:sz w:val="20"/>
                <w:szCs w:val="20"/>
              </w:rPr>
              <w:t>X</w:t>
            </w:r>
            <w:r w:rsidRPr="008A57DB">
              <w:rPr>
                <w:rFonts w:ascii="BookAntiqua" w:hAnsi="BookAntiqua" w:cs="BookAntiqua"/>
                <w:color w:val="auto"/>
                <w:sz w:val="20"/>
                <w:szCs w:val="20"/>
                <w:vertAlign w:val="subscript"/>
              </w:rPr>
              <w:t>3</w:t>
            </w:r>
            <w:r w:rsidRPr="008A57DB">
              <w:rPr>
                <w:rFonts w:ascii="BookAntiqua" w:hAnsi="BookAntiqua" w:cs="BookAntiqua"/>
                <w:color w:val="auto"/>
                <w:sz w:val="20"/>
                <w:szCs w:val="20"/>
              </w:rPr>
              <w:t xml:space="preserve"> (cost of land, construction and licenses)</w:t>
            </w:r>
          </w:p>
        </w:tc>
        <w:tc>
          <w:tcPr>
            <w:tcW w:w="4410" w:type="dxa"/>
            <w:vMerge w:val="restart"/>
          </w:tcPr>
          <w:p w14:paraId="36A7AAA9" w14:textId="5952DB57" w:rsidR="001277BF" w:rsidRPr="008A57DB" w:rsidRDefault="001277BF" w:rsidP="004C4582">
            <w:pPr>
              <w:jc w:val="both"/>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sidRPr="008A57DB">
              <w:rPr>
                <w:rFonts w:ascii="BookAntiqua" w:hAnsi="BookAntiqua" w:cs="BookAntiqua"/>
                <w:sz w:val="20"/>
                <w:szCs w:val="20"/>
              </w:rPr>
              <w:t>From your point of view to what extent did the cost of land, construction, and licenses affect property prices during the last five years</w:t>
            </w:r>
          </w:p>
        </w:tc>
        <w:tc>
          <w:tcPr>
            <w:tcW w:w="3605" w:type="dxa"/>
            <w:vMerge w:val="restart"/>
          </w:tcPr>
          <w:p w14:paraId="594AEF28" w14:textId="77777777" w:rsidR="001277BF" w:rsidRPr="008A57DB" w:rsidRDefault="001277BF" w:rsidP="004C4582">
            <w:pPr>
              <w:jc w:val="center"/>
              <w:cnfStyle w:val="000000000000" w:firstRow="0" w:lastRow="0" w:firstColumn="0" w:lastColumn="0" w:oddVBand="0" w:evenVBand="0" w:oddHBand="0" w:evenHBand="0" w:firstRowFirstColumn="0" w:firstRowLastColumn="0" w:lastRowFirstColumn="0" w:lastRowLastColumn="0"/>
              <w:rPr>
                <w:rFonts w:ascii="BookAntiqua" w:hAnsi="BookAntiqua"/>
                <w:sz w:val="20"/>
                <w:szCs w:val="20"/>
                <w:lang w:bidi="ar-EG"/>
              </w:rPr>
            </w:pPr>
            <w:r w:rsidRPr="008A57DB">
              <w:rPr>
                <w:rFonts w:ascii="BookAntiqua" w:hAnsi="BookAntiqua"/>
                <w:sz w:val="20"/>
                <w:szCs w:val="20"/>
                <w:lang w:bidi="ar-EG"/>
              </w:rPr>
              <w:t>Not important, Neutral, Important</w:t>
            </w:r>
          </w:p>
        </w:tc>
      </w:tr>
      <w:tr w:rsidR="008A57DB" w:rsidRPr="008A57DB" w14:paraId="1DD01C85" w14:textId="77777777" w:rsidTr="008A57DB">
        <w:trPr>
          <w:cnfStyle w:val="000000100000" w:firstRow="0" w:lastRow="0" w:firstColumn="0" w:lastColumn="0" w:oddVBand="0" w:evenVBand="0" w:oddHBand="1" w:evenHBand="0" w:firstRowFirstColumn="0" w:firstRowLastColumn="0" w:lastRowFirstColumn="0" w:lastRowLastColumn="0"/>
          <w:trHeight w:val="575"/>
          <w:jc w:val="center"/>
        </w:trPr>
        <w:tc>
          <w:tcPr>
            <w:cnfStyle w:val="001000000000" w:firstRow="0" w:lastRow="0" w:firstColumn="1" w:lastColumn="0" w:oddVBand="0" w:evenVBand="0" w:oddHBand="0" w:evenHBand="0" w:firstRowFirstColumn="0" w:firstRowLastColumn="0" w:lastRowFirstColumn="0" w:lastRowLastColumn="0"/>
            <w:tcW w:w="2340" w:type="dxa"/>
          </w:tcPr>
          <w:p w14:paraId="7FC74517" w14:textId="77777777" w:rsidR="001277BF" w:rsidRPr="008A57DB" w:rsidRDefault="001277BF" w:rsidP="004C4582">
            <w:pPr>
              <w:jc w:val="both"/>
              <w:rPr>
                <w:rFonts w:ascii="BookAntiqua" w:hAnsi="BookAntiqua" w:cs="BookAntiqua"/>
                <w:color w:val="auto"/>
                <w:sz w:val="20"/>
                <w:szCs w:val="20"/>
              </w:rPr>
            </w:pPr>
          </w:p>
        </w:tc>
        <w:tc>
          <w:tcPr>
            <w:tcW w:w="4410" w:type="dxa"/>
            <w:vMerge/>
          </w:tcPr>
          <w:p w14:paraId="1AB27792" w14:textId="77777777" w:rsidR="001277BF" w:rsidRPr="008A57DB" w:rsidRDefault="001277BF" w:rsidP="004C4582">
            <w:pPr>
              <w:jc w:val="both"/>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p>
        </w:tc>
        <w:tc>
          <w:tcPr>
            <w:tcW w:w="3605" w:type="dxa"/>
            <w:vMerge/>
          </w:tcPr>
          <w:p w14:paraId="4BA1EB63" w14:textId="77777777" w:rsidR="001277BF" w:rsidRPr="008A57DB" w:rsidRDefault="001277BF" w:rsidP="004C4582">
            <w:pPr>
              <w:jc w:val="center"/>
              <w:cnfStyle w:val="000000100000" w:firstRow="0" w:lastRow="0" w:firstColumn="0" w:lastColumn="0" w:oddVBand="0" w:evenVBand="0" w:oddHBand="1" w:evenHBand="0" w:firstRowFirstColumn="0" w:firstRowLastColumn="0" w:lastRowFirstColumn="0" w:lastRowLastColumn="0"/>
              <w:rPr>
                <w:rFonts w:ascii="BookAntiqua" w:hAnsi="BookAntiqua"/>
                <w:sz w:val="20"/>
                <w:szCs w:val="20"/>
                <w:lang w:bidi="ar-EG"/>
              </w:rPr>
            </w:pPr>
          </w:p>
        </w:tc>
      </w:tr>
      <w:tr w:rsidR="008A57DB" w:rsidRPr="008A57DB" w14:paraId="3F25F49C" w14:textId="77777777" w:rsidTr="008A57DB">
        <w:trPr>
          <w:trHeight w:val="243"/>
          <w:jc w:val="center"/>
        </w:trPr>
        <w:tc>
          <w:tcPr>
            <w:cnfStyle w:val="001000000000" w:firstRow="0" w:lastRow="0" w:firstColumn="1" w:lastColumn="0" w:oddVBand="0" w:evenVBand="0" w:oddHBand="0" w:evenHBand="0" w:firstRowFirstColumn="0" w:firstRowLastColumn="0" w:lastRowFirstColumn="0" w:lastRowLastColumn="0"/>
            <w:tcW w:w="10355" w:type="dxa"/>
            <w:gridSpan w:val="3"/>
          </w:tcPr>
          <w:p w14:paraId="53E2CED7" w14:textId="77777777" w:rsidR="001277BF" w:rsidRPr="008A57DB" w:rsidRDefault="001277BF" w:rsidP="004C4582">
            <w:pPr>
              <w:jc w:val="center"/>
              <w:rPr>
                <w:rFonts w:ascii="BookAntiqua" w:hAnsi="BookAntiqua"/>
                <w:color w:val="auto"/>
                <w:sz w:val="20"/>
                <w:szCs w:val="20"/>
                <w:lang w:bidi="ar-EG"/>
              </w:rPr>
            </w:pPr>
            <w:r w:rsidRPr="008A57DB">
              <w:rPr>
                <w:color w:val="auto"/>
                <w:sz w:val="24"/>
                <w:szCs w:val="24"/>
              </w:rPr>
              <w:t>Government Housing Policies</w:t>
            </w:r>
          </w:p>
        </w:tc>
      </w:tr>
      <w:tr w:rsidR="008A57DB" w:rsidRPr="008A57DB" w14:paraId="760736B3" w14:textId="77777777" w:rsidTr="008A57DB">
        <w:trPr>
          <w:cnfStyle w:val="000000100000" w:firstRow="0" w:lastRow="0" w:firstColumn="0" w:lastColumn="0" w:oddVBand="0" w:evenVBand="0" w:oddHBand="1" w:evenHBand="0" w:firstRowFirstColumn="0" w:firstRowLastColumn="0" w:lastRowFirstColumn="0" w:lastRowLastColumn="0"/>
          <w:trHeight w:val="460"/>
          <w:jc w:val="center"/>
        </w:trPr>
        <w:tc>
          <w:tcPr>
            <w:cnfStyle w:val="001000000000" w:firstRow="0" w:lastRow="0" w:firstColumn="1" w:lastColumn="0" w:oddVBand="0" w:evenVBand="0" w:oddHBand="0" w:evenHBand="0" w:firstRowFirstColumn="0" w:firstRowLastColumn="0" w:lastRowFirstColumn="0" w:lastRowLastColumn="0"/>
            <w:tcW w:w="2340" w:type="dxa"/>
          </w:tcPr>
          <w:p w14:paraId="2E25CABB" w14:textId="77777777" w:rsidR="001277BF" w:rsidRPr="008A57DB" w:rsidRDefault="001277BF" w:rsidP="004C4582">
            <w:pPr>
              <w:jc w:val="both"/>
              <w:rPr>
                <w:rFonts w:ascii="BookAntiqua" w:hAnsi="BookAntiqua" w:cs="BookAntiqua"/>
                <w:color w:val="auto"/>
                <w:sz w:val="20"/>
                <w:szCs w:val="20"/>
              </w:rPr>
            </w:pPr>
            <w:r w:rsidRPr="008A57DB">
              <w:rPr>
                <w:rFonts w:ascii="BookAntiqua" w:hAnsi="BookAntiqua" w:cs="BookAntiqua"/>
                <w:color w:val="auto"/>
                <w:sz w:val="20"/>
                <w:szCs w:val="20"/>
              </w:rPr>
              <w:t>X</w:t>
            </w:r>
            <w:r w:rsidRPr="008A57DB">
              <w:rPr>
                <w:rFonts w:ascii="BookAntiqua" w:hAnsi="BookAntiqua" w:cs="BookAntiqua"/>
                <w:color w:val="auto"/>
                <w:sz w:val="20"/>
                <w:szCs w:val="20"/>
                <w:vertAlign w:val="subscript"/>
              </w:rPr>
              <w:t>4</w:t>
            </w:r>
            <w:r w:rsidRPr="008A57DB">
              <w:rPr>
                <w:rFonts w:ascii="BookAntiqua" w:hAnsi="BookAntiqua" w:cs="BookAntiqua"/>
                <w:color w:val="auto"/>
                <w:sz w:val="20"/>
                <w:szCs w:val="20"/>
              </w:rPr>
              <w:t xml:space="preserve"> (State Projects and new cities)</w:t>
            </w:r>
          </w:p>
        </w:tc>
        <w:tc>
          <w:tcPr>
            <w:tcW w:w="4410" w:type="dxa"/>
            <w:vMerge w:val="restart"/>
          </w:tcPr>
          <w:p w14:paraId="7ADF3B67" w14:textId="1A89A18C" w:rsidR="001277BF" w:rsidRPr="008A57DB" w:rsidRDefault="001277BF" w:rsidP="004C4582">
            <w:pPr>
              <w:jc w:val="both"/>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vertAlign w:val="superscript"/>
              </w:rPr>
            </w:pPr>
            <w:r w:rsidRPr="008A57DB">
              <w:rPr>
                <w:rFonts w:ascii="BookAntiqua" w:hAnsi="BookAntiqua" w:cs="BookAntiqua"/>
                <w:sz w:val="20"/>
                <w:szCs w:val="20"/>
              </w:rPr>
              <w:t>From your point of view to what extent have state projects and new cities affected real estate prices during the last five years</w:t>
            </w:r>
          </w:p>
        </w:tc>
        <w:tc>
          <w:tcPr>
            <w:tcW w:w="3605" w:type="dxa"/>
            <w:vMerge w:val="restart"/>
          </w:tcPr>
          <w:p w14:paraId="60F6C598" w14:textId="77777777" w:rsidR="001277BF" w:rsidRPr="008A57DB" w:rsidRDefault="001277BF" w:rsidP="004C4582">
            <w:pPr>
              <w:jc w:val="center"/>
              <w:cnfStyle w:val="000000100000" w:firstRow="0" w:lastRow="0" w:firstColumn="0" w:lastColumn="0" w:oddVBand="0" w:evenVBand="0" w:oddHBand="1" w:evenHBand="0" w:firstRowFirstColumn="0" w:firstRowLastColumn="0" w:lastRowFirstColumn="0" w:lastRowLastColumn="0"/>
              <w:rPr>
                <w:rFonts w:ascii="BookAntiqua" w:hAnsi="BookAntiqua"/>
                <w:sz w:val="20"/>
                <w:szCs w:val="20"/>
                <w:lang w:bidi="ar-EG"/>
              </w:rPr>
            </w:pPr>
            <w:r w:rsidRPr="008A57DB">
              <w:rPr>
                <w:rFonts w:ascii="BookAntiqua" w:hAnsi="BookAntiqua"/>
                <w:sz w:val="20"/>
                <w:szCs w:val="20"/>
                <w:lang w:bidi="ar-EG"/>
              </w:rPr>
              <w:t>Not important, Neutral, Important</w:t>
            </w:r>
          </w:p>
        </w:tc>
      </w:tr>
      <w:tr w:rsidR="008A57DB" w:rsidRPr="008A57DB" w14:paraId="2DAC5ED3" w14:textId="77777777" w:rsidTr="008A57DB">
        <w:trPr>
          <w:trHeight w:val="460"/>
          <w:jc w:val="center"/>
        </w:trPr>
        <w:tc>
          <w:tcPr>
            <w:cnfStyle w:val="001000000000" w:firstRow="0" w:lastRow="0" w:firstColumn="1" w:lastColumn="0" w:oddVBand="0" w:evenVBand="0" w:oddHBand="0" w:evenHBand="0" w:firstRowFirstColumn="0" w:firstRowLastColumn="0" w:lastRowFirstColumn="0" w:lastRowLastColumn="0"/>
            <w:tcW w:w="2340" w:type="dxa"/>
          </w:tcPr>
          <w:p w14:paraId="0DCA731B" w14:textId="77777777" w:rsidR="001277BF" w:rsidRPr="008A57DB" w:rsidRDefault="001277BF" w:rsidP="004C4582">
            <w:pPr>
              <w:jc w:val="both"/>
              <w:rPr>
                <w:rFonts w:ascii="BookAntiqua" w:hAnsi="BookAntiqua" w:cs="BookAntiqua"/>
                <w:color w:val="auto"/>
                <w:sz w:val="20"/>
                <w:szCs w:val="20"/>
              </w:rPr>
            </w:pPr>
          </w:p>
        </w:tc>
        <w:tc>
          <w:tcPr>
            <w:tcW w:w="4410" w:type="dxa"/>
            <w:vMerge/>
          </w:tcPr>
          <w:p w14:paraId="2AAE92E0" w14:textId="77777777" w:rsidR="001277BF" w:rsidRPr="008A57DB" w:rsidRDefault="001277BF" w:rsidP="004C4582">
            <w:pPr>
              <w:jc w:val="both"/>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p>
        </w:tc>
        <w:tc>
          <w:tcPr>
            <w:tcW w:w="3605" w:type="dxa"/>
            <w:vMerge/>
          </w:tcPr>
          <w:p w14:paraId="06455A78" w14:textId="77777777" w:rsidR="001277BF" w:rsidRPr="008A57DB" w:rsidRDefault="001277BF" w:rsidP="004C4582">
            <w:pPr>
              <w:jc w:val="center"/>
              <w:cnfStyle w:val="000000000000" w:firstRow="0" w:lastRow="0" w:firstColumn="0" w:lastColumn="0" w:oddVBand="0" w:evenVBand="0" w:oddHBand="0" w:evenHBand="0" w:firstRowFirstColumn="0" w:firstRowLastColumn="0" w:lastRowFirstColumn="0" w:lastRowLastColumn="0"/>
              <w:rPr>
                <w:rFonts w:ascii="BookAntiqua" w:hAnsi="BookAntiqua"/>
                <w:sz w:val="20"/>
                <w:szCs w:val="20"/>
                <w:lang w:bidi="ar-EG"/>
              </w:rPr>
            </w:pPr>
          </w:p>
        </w:tc>
      </w:tr>
      <w:tr w:rsidR="008A57DB" w:rsidRPr="008A57DB" w14:paraId="59848F52" w14:textId="77777777" w:rsidTr="008A57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40" w:type="dxa"/>
          </w:tcPr>
          <w:p w14:paraId="48BE8517" w14:textId="1E8D35A0" w:rsidR="001277BF" w:rsidRPr="008A57DB" w:rsidRDefault="001277BF" w:rsidP="004C4582">
            <w:pPr>
              <w:jc w:val="both"/>
              <w:rPr>
                <w:rFonts w:ascii="BookAntiqua" w:hAnsi="BookAntiqua" w:cs="BookAntiqua"/>
                <w:color w:val="auto"/>
                <w:sz w:val="20"/>
                <w:szCs w:val="20"/>
              </w:rPr>
            </w:pPr>
            <w:r w:rsidRPr="008A57DB">
              <w:rPr>
                <w:rFonts w:ascii="BookAntiqua" w:hAnsi="BookAntiqua" w:cs="BookAntiqua"/>
                <w:color w:val="auto"/>
                <w:sz w:val="20"/>
                <w:szCs w:val="20"/>
              </w:rPr>
              <w:t>X</w:t>
            </w:r>
            <w:r w:rsidRPr="008A57DB">
              <w:rPr>
                <w:rFonts w:ascii="BookAntiqua" w:hAnsi="BookAntiqua" w:cs="BookAntiqua"/>
                <w:color w:val="auto"/>
                <w:sz w:val="20"/>
                <w:szCs w:val="20"/>
                <w:vertAlign w:val="subscript"/>
              </w:rPr>
              <w:t>5</w:t>
            </w:r>
            <w:r w:rsidRPr="008A57DB">
              <w:rPr>
                <w:rFonts w:ascii="BookAntiqua" w:hAnsi="BookAntiqua" w:cs="BookAntiqua"/>
                <w:color w:val="auto"/>
                <w:sz w:val="20"/>
                <w:szCs w:val="20"/>
              </w:rPr>
              <w:t xml:space="preserve"> (</w:t>
            </w:r>
            <w:r w:rsidR="3E5A120C" w:rsidRPr="199FF000">
              <w:rPr>
                <w:rFonts w:ascii="BookAntiqua" w:hAnsi="BookAntiqua" w:cs="BookAntiqua"/>
                <w:color w:val="auto"/>
                <w:sz w:val="20"/>
                <w:szCs w:val="20"/>
              </w:rPr>
              <w:t>Suspending housing</w:t>
            </w:r>
            <w:r w:rsidRPr="008A57DB">
              <w:rPr>
                <w:rFonts w:ascii="BookAntiqua" w:hAnsi="BookAntiqua" w:cs="BookAntiqua"/>
                <w:color w:val="auto"/>
                <w:sz w:val="20"/>
                <w:szCs w:val="20"/>
              </w:rPr>
              <w:t xml:space="preserve"> permits policies)</w:t>
            </w:r>
          </w:p>
        </w:tc>
        <w:tc>
          <w:tcPr>
            <w:tcW w:w="4410" w:type="dxa"/>
          </w:tcPr>
          <w:p w14:paraId="5004A549" w14:textId="26383726" w:rsidR="001277BF" w:rsidRPr="008A57DB" w:rsidRDefault="001277BF" w:rsidP="004C4582">
            <w:pPr>
              <w:jc w:val="both"/>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sidRPr="008A57DB">
              <w:rPr>
                <w:rFonts w:ascii="BookAntiqua" w:hAnsi="BookAntiqua" w:cs="BookAntiqua"/>
                <w:sz w:val="20"/>
                <w:szCs w:val="20"/>
              </w:rPr>
              <w:t xml:space="preserve">How did the following factors affect the trend of the real estate market: </w:t>
            </w:r>
            <w:r w:rsidR="00076DB5">
              <w:rPr>
                <w:rFonts w:ascii="BookAntiqua" w:hAnsi="BookAntiqua" w:cs="BookAntiqua"/>
                <w:sz w:val="20"/>
                <w:szCs w:val="20"/>
              </w:rPr>
              <w:t>suspending</w:t>
            </w:r>
            <w:r w:rsidRPr="008A57DB">
              <w:rPr>
                <w:rFonts w:ascii="BookAntiqua" w:hAnsi="BookAntiqua" w:cs="BookAntiqua"/>
                <w:sz w:val="20"/>
                <w:szCs w:val="20"/>
              </w:rPr>
              <w:t xml:space="preserve"> housing permits policies</w:t>
            </w:r>
          </w:p>
        </w:tc>
        <w:tc>
          <w:tcPr>
            <w:tcW w:w="3605" w:type="dxa"/>
          </w:tcPr>
          <w:p w14:paraId="5D45CADE" w14:textId="77777777" w:rsidR="001277BF" w:rsidRPr="008A57DB" w:rsidRDefault="001277BF" w:rsidP="004C4582">
            <w:pPr>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sidRPr="008A57DB">
              <w:rPr>
                <w:rFonts w:ascii="BookAntiqua" w:hAnsi="BookAntiqua"/>
                <w:sz w:val="20"/>
                <w:szCs w:val="20"/>
                <w:lang w:bidi="ar-EG"/>
              </w:rPr>
              <w:t>Positive, Negative</w:t>
            </w:r>
          </w:p>
        </w:tc>
      </w:tr>
      <w:tr w:rsidR="008A57DB" w:rsidRPr="008A57DB" w14:paraId="0A729E60" w14:textId="77777777" w:rsidTr="008A57DB">
        <w:trPr>
          <w:trHeight w:val="189"/>
          <w:jc w:val="center"/>
        </w:trPr>
        <w:tc>
          <w:tcPr>
            <w:cnfStyle w:val="001000000000" w:firstRow="0" w:lastRow="0" w:firstColumn="1" w:lastColumn="0" w:oddVBand="0" w:evenVBand="0" w:oddHBand="0" w:evenHBand="0" w:firstRowFirstColumn="0" w:firstRowLastColumn="0" w:lastRowFirstColumn="0" w:lastRowLastColumn="0"/>
            <w:tcW w:w="10355" w:type="dxa"/>
            <w:gridSpan w:val="3"/>
          </w:tcPr>
          <w:p w14:paraId="4D7B337A" w14:textId="77777777" w:rsidR="001277BF" w:rsidRPr="008A57DB" w:rsidRDefault="001277BF" w:rsidP="004C4582">
            <w:pPr>
              <w:jc w:val="center"/>
              <w:rPr>
                <w:rFonts w:ascii="BookAntiqua" w:hAnsi="BookAntiqua" w:cs="BookAntiqua"/>
                <w:color w:val="auto"/>
                <w:sz w:val="20"/>
                <w:szCs w:val="20"/>
              </w:rPr>
            </w:pPr>
            <w:r w:rsidRPr="008A57DB">
              <w:rPr>
                <w:color w:val="auto"/>
                <w:sz w:val="24"/>
                <w:szCs w:val="24"/>
              </w:rPr>
              <w:t xml:space="preserve">Cultural and Religious Beliefs </w:t>
            </w:r>
          </w:p>
        </w:tc>
      </w:tr>
      <w:tr w:rsidR="008A57DB" w:rsidRPr="008A57DB" w14:paraId="2126C30A" w14:textId="77777777" w:rsidTr="008A57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40" w:type="dxa"/>
          </w:tcPr>
          <w:p w14:paraId="6A326E30" w14:textId="77777777" w:rsidR="001277BF" w:rsidRPr="008A57DB" w:rsidRDefault="001277BF" w:rsidP="004C4582">
            <w:pPr>
              <w:jc w:val="both"/>
              <w:rPr>
                <w:rFonts w:ascii="BookAntiqua" w:hAnsi="BookAntiqua" w:cs="BookAntiqua"/>
                <w:color w:val="auto"/>
                <w:sz w:val="20"/>
                <w:szCs w:val="20"/>
              </w:rPr>
            </w:pPr>
            <w:r w:rsidRPr="008A57DB">
              <w:rPr>
                <w:rFonts w:ascii="BookAntiqua" w:hAnsi="BookAntiqua" w:cs="BookAntiqua"/>
                <w:color w:val="auto"/>
                <w:sz w:val="20"/>
                <w:szCs w:val="20"/>
              </w:rPr>
              <w:t>X</w:t>
            </w:r>
            <w:r w:rsidRPr="008A57DB">
              <w:rPr>
                <w:rFonts w:ascii="BookAntiqua" w:hAnsi="BookAntiqua" w:cs="BookAntiqua"/>
                <w:color w:val="auto"/>
                <w:sz w:val="20"/>
                <w:szCs w:val="20"/>
                <w:vertAlign w:val="subscript"/>
              </w:rPr>
              <w:t>6</w:t>
            </w:r>
            <w:r w:rsidRPr="008A57DB">
              <w:rPr>
                <w:rFonts w:ascii="BookAntiqua" w:hAnsi="BookAntiqua" w:cs="BookAntiqua"/>
                <w:color w:val="auto"/>
                <w:sz w:val="20"/>
                <w:szCs w:val="20"/>
              </w:rPr>
              <w:t xml:space="preserve"> (Cultural and religious reasons)</w:t>
            </w:r>
          </w:p>
        </w:tc>
        <w:tc>
          <w:tcPr>
            <w:tcW w:w="4410" w:type="dxa"/>
          </w:tcPr>
          <w:p w14:paraId="2BBA12D0" w14:textId="77777777" w:rsidR="001277BF" w:rsidRPr="008A57DB" w:rsidRDefault="001277BF" w:rsidP="004C4582">
            <w:pPr>
              <w:jc w:val="both"/>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sidRPr="008A57DB">
              <w:rPr>
                <w:rFonts w:ascii="BookAntiqua" w:hAnsi="BookAntiqua" w:cs="BookAntiqua"/>
                <w:sz w:val="20"/>
                <w:szCs w:val="20"/>
              </w:rPr>
              <w:t>Why don’t you deal with banks? Religious and cultural reasons</w:t>
            </w:r>
          </w:p>
        </w:tc>
        <w:tc>
          <w:tcPr>
            <w:tcW w:w="3605" w:type="dxa"/>
          </w:tcPr>
          <w:p w14:paraId="1C707434" w14:textId="77777777" w:rsidR="001277BF" w:rsidRPr="008A57DB" w:rsidRDefault="001277BF" w:rsidP="004C4582">
            <w:pPr>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sidRPr="008A57DB">
              <w:rPr>
                <w:rFonts w:ascii="BookAntiqua" w:hAnsi="BookAntiqua" w:cs="BookAntiqua"/>
                <w:sz w:val="20"/>
                <w:szCs w:val="20"/>
              </w:rPr>
              <w:t>Administrative and financial reasons, Cultural and religious reasons</w:t>
            </w:r>
          </w:p>
        </w:tc>
      </w:tr>
      <w:tr w:rsidR="008A57DB" w:rsidRPr="008A57DB" w14:paraId="2D17C702" w14:textId="77777777" w:rsidTr="008A57DB">
        <w:trPr>
          <w:jc w:val="center"/>
        </w:trPr>
        <w:tc>
          <w:tcPr>
            <w:cnfStyle w:val="001000000000" w:firstRow="0" w:lastRow="0" w:firstColumn="1" w:lastColumn="0" w:oddVBand="0" w:evenVBand="0" w:oddHBand="0" w:evenHBand="0" w:firstRowFirstColumn="0" w:firstRowLastColumn="0" w:lastRowFirstColumn="0" w:lastRowLastColumn="0"/>
            <w:tcW w:w="10355" w:type="dxa"/>
            <w:gridSpan w:val="3"/>
          </w:tcPr>
          <w:p w14:paraId="6715096F" w14:textId="77777777" w:rsidR="001277BF" w:rsidRPr="008A57DB" w:rsidRDefault="001277BF" w:rsidP="004C4582">
            <w:pPr>
              <w:jc w:val="center"/>
              <w:rPr>
                <w:rFonts w:ascii="BookAntiqua" w:hAnsi="BookAntiqua" w:cs="BookAntiqua"/>
                <w:color w:val="auto"/>
                <w:sz w:val="20"/>
                <w:szCs w:val="20"/>
              </w:rPr>
            </w:pPr>
            <w:r w:rsidRPr="008A57DB">
              <w:rPr>
                <w:color w:val="auto"/>
                <w:sz w:val="24"/>
                <w:szCs w:val="24"/>
              </w:rPr>
              <w:t>Uncertainty and Shocks</w:t>
            </w:r>
          </w:p>
        </w:tc>
      </w:tr>
      <w:tr w:rsidR="008A57DB" w:rsidRPr="008A57DB" w14:paraId="2EB286C5" w14:textId="77777777" w:rsidTr="008A57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40" w:type="dxa"/>
          </w:tcPr>
          <w:p w14:paraId="043A6FD9" w14:textId="77777777" w:rsidR="001277BF" w:rsidRPr="008A57DB" w:rsidRDefault="001277BF" w:rsidP="004C4582">
            <w:pPr>
              <w:jc w:val="both"/>
              <w:rPr>
                <w:rFonts w:ascii="BookAntiqua" w:hAnsi="BookAntiqua" w:cs="BookAntiqua"/>
                <w:color w:val="auto"/>
                <w:sz w:val="20"/>
                <w:szCs w:val="20"/>
              </w:rPr>
            </w:pPr>
            <w:r w:rsidRPr="008A57DB">
              <w:rPr>
                <w:rFonts w:ascii="BookAntiqua" w:hAnsi="BookAntiqua" w:cs="BookAntiqua"/>
                <w:color w:val="auto"/>
                <w:sz w:val="20"/>
                <w:szCs w:val="20"/>
              </w:rPr>
              <w:t>X</w:t>
            </w:r>
            <w:r w:rsidRPr="008A57DB">
              <w:rPr>
                <w:rFonts w:ascii="BookAntiqua" w:hAnsi="BookAntiqua" w:cs="BookAntiqua"/>
                <w:color w:val="auto"/>
                <w:sz w:val="20"/>
                <w:szCs w:val="20"/>
                <w:vertAlign w:val="subscript"/>
              </w:rPr>
              <w:t>7</w:t>
            </w:r>
            <w:r w:rsidRPr="008A57DB">
              <w:rPr>
                <w:rFonts w:ascii="BookAntiqua" w:hAnsi="BookAntiqua" w:cs="BookAntiqua"/>
                <w:color w:val="auto"/>
                <w:sz w:val="20"/>
                <w:szCs w:val="20"/>
              </w:rPr>
              <w:t xml:space="preserve"> (COVID-19)</w:t>
            </w:r>
          </w:p>
        </w:tc>
        <w:tc>
          <w:tcPr>
            <w:tcW w:w="4410" w:type="dxa"/>
          </w:tcPr>
          <w:p w14:paraId="50E17C52" w14:textId="77777777" w:rsidR="001277BF" w:rsidRPr="008A57DB" w:rsidRDefault="001277BF" w:rsidP="004C4582">
            <w:pPr>
              <w:jc w:val="both"/>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sidRPr="008A57DB">
              <w:rPr>
                <w:rFonts w:ascii="BookAntiqua" w:hAnsi="BookAntiqua" w:cs="BookAntiqua"/>
                <w:sz w:val="20"/>
                <w:szCs w:val="20"/>
              </w:rPr>
              <w:t>How did the following factors affect the trend of the real estate market: COVID-19 Crisis (negative/positive)</w:t>
            </w:r>
          </w:p>
        </w:tc>
        <w:tc>
          <w:tcPr>
            <w:tcW w:w="3605" w:type="dxa"/>
          </w:tcPr>
          <w:p w14:paraId="756B413C" w14:textId="77777777" w:rsidR="001277BF" w:rsidRPr="008A57DB" w:rsidRDefault="001277BF" w:rsidP="004C4582">
            <w:pPr>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sidRPr="008A57DB">
              <w:rPr>
                <w:rFonts w:ascii="BookAntiqua" w:hAnsi="BookAntiqua"/>
                <w:sz w:val="20"/>
                <w:szCs w:val="20"/>
                <w:lang w:bidi="ar-EG"/>
              </w:rPr>
              <w:t>Positive, Negative</w:t>
            </w:r>
          </w:p>
        </w:tc>
      </w:tr>
      <w:tr w:rsidR="008A57DB" w:rsidRPr="008A57DB" w14:paraId="022B0447" w14:textId="77777777" w:rsidTr="008A57DB">
        <w:trPr>
          <w:jc w:val="center"/>
        </w:trPr>
        <w:tc>
          <w:tcPr>
            <w:cnfStyle w:val="001000000000" w:firstRow="0" w:lastRow="0" w:firstColumn="1" w:lastColumn="0" w:oddVBand="0" w:evenVBand="0" w:oddHBand="0" w:evenHBand="0" w:firstRowFirstColumn="0" w:firstRowLastColumn="0" w:lastRowFirstColumn="0" w:lastRowLastColumn="0"/>
            <w:tcW w:w="2340" w:type="dxa"/>
          </w:tcPr>
          <w:p w14:paraId="11E903AB" w14:textId="77777777" w:rsidR="001277BF" w:rsidRPr="008A57DB" w:rsidRDefault="001277BF" w:rsidP="004C4582">
            <w:pPr>
              <w:jc w:val="both"/>
              <w:rPr>
                <w:rFonts w:ascii="BookAntiqua" w:hAnsi="BookAntiqua" w:cs="BookAntiqua"/>
                <w:color w:val="auto"/>
                <w:sz w:val="20"/>
                <w:szCs w:val="20"/>
              </w:rPr>
            </w:pPr>
            <w:r w:rsidRPr="008A57DB">
              <w:rPr>
                <w:rFonts w:ascii="BookAntiqua" w:hAnsi="BookAntiqua" w:cs="BookAntiqua"/>
                <w:color w:val="auto"/>
                <w:sz w:val="20"/>
                <w:szCs w:val="20"/>
              </w:rPr>
              <w:t>X</w:t>
            </w:r>
            <w:r w:rsidRPr="008A57DB">
              <w:rPr>
                <w:rFonts w:ascii="BookAntiqua" w:hAnsi="BookAntiqua" w:cs="BookAntiqua"/>
                <w:color w:val="auto"/>
                <w:sz w:val="20"/>
                <w:szCs w:val="20"/>
                <w:vertAlign w:val="subscript"/>
              </w:rPr>
              <w:t>8</w:t>
            </w:r>
            <w:r w:rsidRPr="008A57DB">
              <w:rPr>
                <w:rFonts w:ascii="BookAntiqua" w:hAnsi="BookAntiqua" w:cs="BookAntiqua"/>
                <w:color w:val="auto"/>
                <w:sz w:val="20"/>
                <w:szCs w:val="20"/>
              </w:rPr>
              <w:t xml:space="preserve"> (Pound Flotation)</w:t>
            </w:r>
          </w:p>
        </w:tc>
        <w:tc>
          <w:tcPr>
            <w:tcW w:w="4410" w:type="dxa"/>
          </w:tcPr>
          <w:p w14:paraId="333E7144" w14:textId="77777777" w:rsidR="001277BF" w:rsidRPr="008A57DB" w:rsidRDefault="001277BF" w:rsidP="004C4582">
            <w:pPr>
              <w:jc w:val="both"/>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sidRPr="008A57DB">
              <w:rPr>
                <w:rFonts w:ascii="BookAntiqua" w:hAnsi="BookAntiqua" w:cs="BookAntiqua"/>
                <w:sz w:val="20"/>
                <w:szCs w:val="20"/>
              </w:rPr>
              <w:t xml:space="preserve">How did the following factors affect the direction of the real estate market: The pound flotation crisis </w:t>
            </w:r>
          </w:p>
        </w:tc>
        <w:tc>
          <w:tcPr>
            <w:tcW w:w="3605" w:type="dxa"/>
          </w:tcPr>
          <w:p w14:paraId="7D8C15BE" w14:textId="77777777" w:rsidR="001277BF" w:rsidRPr="008A57DB" w:rsidRDefault="001277BF" w:rsidP="004C4582">
            <w:pPr>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sidRPr="008A57DB">
              <w:rPr>
                <w:rFonts w:ascii="BookAntiqua" w:hAnsi="BookAntiqua"/>
                <w:sz w:val="20"/>
                <w:szCs w:val="20"/>
                <w:lang w:bidi="ar-EG"/>
              </w:rPr>
              <w:t>Positive, Negative</w:t>
            </w:r>
          </w:p>
        </w:tc>
      </w:tr>
    </w:tbl>
    <w:p w14:paraId="7E06EE85" w14:textId="77777777" w:rsidR="00EF48AB" w:rsidRDefault="00EF48AB" w:rsidP="00EF48AB">
      <w:pPr>
        <w:rPr>
          <w:rFonts w:cstheme="majorBidi"/>
          <w:b/>
          <w:bCs/>
          <w:sz w:val="24"/>
          <w:szCs w:val="24"/>
        </w:rPr>
      </w:pPr>
    </w:p>
    <w:p w14:paraId="1248DE40" w14:textId="00ADA4BB" w:rsidR="00310459" w:rsidRPr="001227EC" w:rsidRDefault="00310459" w:rsidP="00310459">
      <w:pPr>
        <w:autoSpaceDE w:val="0"/>
        <w:autoSpaceDN w:val="0"/>
        <w:adjustRightInd w:val="0"/>
        <w:spacing w:after="0" w:line="276" w:lineRule="auto"/>
        <w:jc w:val="lowKashida"/>
        <w:rPr>
          <w:rFonts w:ascii="Times New Roman" w:hAnsi="Times New Roman" w:cs="Times New Roman"/>
          <w:b/>
          <w:bCs/>
          <w:lang w:val="en-GB"/>
        </w:rPr>
      </w:pPr>
      <w:r w:rsidRPr="008E5E24">
        <w:rPr>
          <w:rFonts w:ascii="Times New Roman" w:hAnsi="Times New Roman" w:cs="Times New Roman"/>
          <w:b/>
          <w:bCs/>
          <w:sz w:val="24"/>
          <w:szCs w:val="24"/>
        </w:rPr>
        <w:t>Table (1</w:t>
      </w:r>
      <w:r>
        <w:rPr>
          <w:rFonts w:ascii="Times New Roman" w:hAnsi="Times New Roman" w:cs="Times New Roman"/>
          <w:b/>
          <w:bCs/>
          <w:sz w:val="24"/>
          <w:szCs w:val="24"/>
        </w:rPr>
        <w:t>8</w:t>
      </w:r>
      <w:r w:rsidRPr="008E5E24">
        <w:rPr>
          <w:rFonts w:ascii="Times New Roman" w:hAnsi="Times New Roman" w:cs="Times New Roman"/>
          <w:b/>
          <w:bCs/>
          <w:sz w:val="24"/>
          <w:szCs w:val="24"/>
        </w:rPr>
        <w:t>): Explanatory variables for model</w:t>
      </w:r>
      <w:r>
        <w:rPr>
          <w:rFonts w:ascii="Times New Roman" w:hAnsi="Times New Roman" w:cs="Times New Roman"/>
          <w:b/>
          <w:bCs/>
          <w:sz w:val="24"/>
          <w:szCs w:val="24"/>
        </w:rPr>
        <w:t xml:space="preserve"> (2): The Households Survey</w:t>
      </w:r>
    </w:p>
    <w:tbl>
      <w:tblPr>
        <w:tblStyle w:val="GridTable5Dark-Accent3"/>
        <w:tblW w:w="10350" w:type="dxa"/>
        <w:tblInd w:w="-455" w:type="dxa"/>
        <w:tblLook w:val="04A0" w:firstRow="1" w:lastRow="0" w:firstColumn="1" w:lastColumn="0" w:noHBand="0" w:noVBand="1"/>
      </w:tblPr>
      <w:tblGrid>
        <w:gridCol w:w="2788"/>
        <w:gridCol w:w="4687"/>
        <w:gridCol w:w="2875"/>
      </w:tblGrid>
      <w:tr w:rsidR="006A5CE8" w:rsidRPr="00E150F6" w14:paraId="4705EEF4" w14:textId="77777777" w:rsidTr="2E1D64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tcPr>
          <w:p w14:paraId="482C4B13" w14:textId="77777777" w:rsidR="00B35195" w:rsidRPr="00E150F6" w:rsidRDefault="00B35195" w:rsidP="004C4582">
            <w:pPr>
              <w:jc w:val="center"/>
              <w:rPr>
                <w:rFonts w:ascii="BookAntiqua" w:hAnsi="BookAntiqua" w:cs="BookAntiqua"/>
                <w:b w:val="0"/>
                <w:bCs w:val="0"/>
                <w:color w:val="auto"/>
                <w:sz w:val="20"/>
                <w:szCs w:val="20"/>
              </w:rPr>
            </w:pPr>
            <w:r w:rsidRPr="00E150F6">
              <w:rPr>
                <w:rFonts w:ascii="BookAntiqua" w:hAnsi="BookAntiqua" w:cs="BookAntiqua"/>
                <w:color w:val="auto"/>
                <w:sz w:val="20"/>
                <w:szCs w:val="20"/>
              </w:rPr>
              <w:t>Variable</w:t>
            </w:r>
          </w:p>
        </w:tc>
        <w:tc>
          <w:tcPr>
            <w:tcW w:w="4687" w:type="dxa"/>
          </w:tcPr>
          <w:p w14:paraId="664904FF" w14:textId="77777777" w:rsidR="00B35195" w:rsidRPr="00E150F6" w:rsidRDefault="00B35195" w:rsidP="004C4582">
            <w:pPr>
              <w:jc w:val="center"/>
              <w:cnfStyle w:val="100000000000" w:firstRow="1" w:lastRow="0" w:firstColumn="0" w:lastColumn="0" w:oddVBand="0" w:evenVBand="0" w:oddHBand="0" w:evenHBand="0" w:firstRowFirstColumn="0" w:firstRowLastColumn="0" w:lastRowFirstColumn="0" w:lastRowLastColumn="0"/>
              <w:rPr>
                <w:rFonts w:ascii="BookAntiqua" w:hAnsi="BookAntiqua" w:cs="BookAntiqua"/>
                <w:b w:val="0"/>
                <w:bCs w:val="0"/>
                <w:color w:val="auto"/>
                <w:sz w:val="20"/>
                <w:szCs w:val="20"/>
              </w:rPr>
            </w:pPr>
            <w:r w:rsidRPr="00E150F6">
              <w:rPr>
                <w:rFonts w:ascii="BookAntiqua" w:hAnsi="BookAntiqua" w:cs="BookAntiqua"/>
                <w:color w:val="auto"/>
                <w:sz w:val="20"/>
                <w:szCs w:val="20"/>
              </w:rPr>
              <w:t>Description</w:t>
            </w:r>
          </w:p>
        </w:tc>
        <w:tc>
          <w:tcPr>
            <w:tcW w:w="2875" w:type="dxa"/>
          </w:tcPr>
          <w:p w14:paraId="1A519676" w14:textId="77777777" w:rsidR="00B35195" w:rsidRPr="00E150F6" w:rsidRDefault="00B35195" w:rsidP="004C4582">
            <w:pPr>
              <w:jc w:val="center"/>
              <w:cnfStyle w:val="100000000000" w:firstRow="1" w:lastRow="0" w:firstColumn="0" w:lastColumn="0" w:oddVBand="0" w:evenVBand="0" w:oddHBand="0" w:evenHBand="0" w:firstRowFirstColumn="0" w:firstRowLastColumn="0" w:lastRowFirstColumn="0" w:lastRowLastColumn="0"/>
              <w:rPr>
                <w:rFonts w:ascii="BookAntiqua" w:hAnsi="BookAntiqua" w:cs="BookAntiqua"/>
                <w:b w:val="0"/>
                <w:bCs w:val="0"/>
                <w:color w:val="auto"/>
                <w:sz w:val="20"/>
                <w:szCs w:val="20"/>
              </w:rPr>
            </w:pPr>
            <w:r w:rsidRPr="00E150F6">
              <w:rPr>
                <w:rFonts w:ascii="BookAntiqua" w:hAnsi="BookAntiqua" w:cs="BookAntiqua"/>
                <w:color w:val="auto"/>
                <w:sz w:val="20"/>
                <w:szCs w:val="20"/>
              </w:rPr>
              <w:t>Value labels</w:t>
            </w:r>
          </w:p>
        </w:tc>
      </w:tr>
      <w:tr w:rsidR="0046388D" w:rsidRPr="00E150F6" w14:paraId="095D52A7" w14:textId="77777777" w:rsidTr="2E1D6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0" w:type="dxa"/>
            <w:gridSpan w:val="3"/>
          </w:tcPr>
          <w:p w14:paraId="49ACE86C" w14:textId="77777777" w:rsidR="00B35195" w:rsidRPr="00E150F6" w:rsidRDefault="00B35195" w:rsidP="004C4582">
            <w:pPr>
              <w:jc w:val="center"/>
              <w:rPr>
                <w:rFonts w:ascii="BookAntiqua" w:hAnsi="BookAntiqua"/>
                <w:color w:val="auto"/>
                <w:sz w:val="20"/>
                <w:szCs w:val="20"/>
                <w:lang w:bidi="ar-EG"/>
              </w:rPr>
            </w:pPr>
            <w:r w:rsidRPr="00E150F6">
              <w:rPr>
                <w:color w:val="auto"/>
                <w:sz w:val="24"/>
                <w:szCs w:val="24"/>
              </w:rPr>
              <w:t>Socio-economic</w:t>
            </w:r>
          </w:p>
        </w:tc>
      </w:tr>
      <w:tr w:rsidR="006A5CE8" w:rsidRPr="00E150F6" w14:paraId="5033CF08" w14:textId="77777777" w:rsidTr="2E1D6406">
        <w:tc>
          <w:tcPr>
            <w:cnfStyle w:val="001000000000" w:firstRow="0" w:lastRow="0" w:firstColumn="1" w:lastColumn="0" w:oddVBand="0" w:evenVBand="0" w:oddHBand="0" w:evenHBand="0" w:firstRowFirstColumn="0" w:firstRowLastColumn="0" w:lastRowFirstColumn="0" w:lastRowLastColumn="0"/>
            <w:tcW w:w="2788" w:type="dxa"/>
          </w:tcPr>
          <w:p w14:paraId="5C3874DB" w14:textId="4F50C118" w:rsidR="00B35195" w:rsidRPr="00E150F6" w:rsidRDefault="00B35195" w:rsidP="004C4582">
            <w:pPr>
              <w:jc w:val="both"/>
              <w:rPr>
                <w:rFonts w:ascii="BookAntiqua" w:hAnsi="BookAntiqua" w:cs="BookAntiqua"/>
                <w:color w:val="auto"/>
                <w:sz w:val="20"/>
                <w:szCs w:val="20"/>
              </w:rPr>
            </w:pPr>
            <w:r w:rsidRPr="00E150F6">
              <w:rPr>
                <w:rFonts w:ascii="BookAntiqua" w:hAnsi="BookAntiqua" w:cs="BookAntiqua"/>
                <w:color w:val="auto"/>
                <w:sz w:val="20"/>
                <w:szCs w:val="20"/>
              </w:rPr>
              <w:t>X</w:t>
            </w:r>
            <w:r w:rsidRPr="00E150F6">
              <w:rPr>
                <w:rFonts w:ascii="BookAntiqua" w:hAnsi="BookAntiqua" w:cs="BookAntiqua"/>
                <w:color w:val="auto"/>
                <w:sz w:val="20"/>
                <w:szCs w:val="20"/>
                <w:vertAlign w:val="subscript"/>
              </w:rPr>
              <w:t>1</w:t>
            </w:r>
            <w:r w:rsidRPr="00E150F6">
              <w:rPr>
                <w:rFonts w:ascii="BookAntiqua" w:hAnsi="BookAntiqua" w:cs="BookAntiqua"/>
                <w:color w:val="auto"/>
                <w:sz w:val="20"/>
                <w:szCs w:val="20"/>
              </w:rPr>
              <w:t xml:space="preserve"> (Income)</w:t>
            </w:r>
          </w:p>
        </w:tc>
        <w:tc>
          <w:tcPr>
            <w:tcW w:w="4687" w:type="dxa"/>
          </w:tcPr>
          <w:p w14:paraId="7CE7EB7E" w14:textId="77777777" w:rsidR="00B35195" w:rsidRPr="00E150F6" w:rsidRDefault="00B35195" w:rsidP="004C4582">
            <w:pPr>
              <w:jc w:val="both"/>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vertAlign w:val="superscript"/>
              </w:rPr>
            </w:pPr>
            <w:r w:rsidRPr="00E150F6">
              <w:rPr>
                <w:rFonts w:ascii="BookAntiqua" w:hAnsi="BookAntiqua" w:cs="BookAntiqua"/>
                <w:sz w:val="20"/>
                <w:szCs w:val="20"/>
              </w:rPr>
              <w:t>Buyer income</w:t>
            </w:r>
            <w:r w:rsidRPr="00E150F6">
              <w:rPr>
                <w:rFonts w:ascii="BookAntiqua" w:hAnsi="BookAntiqua" w:cs="BookAntiqua"/>
                <w:sz w:val="20"/>
                <w:szCs w:val="20"/>
                <w:vertAlign w:val="superscript"/>
              </w:rPr>
              <w:t>*</w:t>
            </w:r>
          </w:p>
        </w:tc>
        <w:tc>
          <w:tcPr>
            <w:tcW w:w="2875" w:type="dxa"/>
          </w:tcPr>
          <w:p w14:paraId="68423D3A" w14:textId="77777777" w:rsidR="00B35195" w:rsidRPr="00E150F6" w:rsidRDefault="00B35195" w:rsidP="004C4582">
            <w:pPr>
              <w:jc w:val="center"/>
              <w:cnfStyle w:val="000000000000" w:firstRow="0" w:lastRow="0" w:firstColumn="0" w:lastColumn="0" w:oddVBand="0" w:evenVBand="0" w:oddHBand="0" w:evenHBand="0" w:firstRowFirstColumn="0" w:firstRowLastColumn="0" w:lastRowFirstColumn="0" w:lastRowLastColumn="0"/>
              <w:rPr>
                <w:rFonts w:ascii="BookAntiqua" w:hAnsi="BookAntiqua"/>
                <w:sz w:val="20"/>
                <w:szCs w:val="20"/>
                <w:lang w:bidi="ar-EG"/>
              </w:rPr>
            </w:pPr>
            <w:r w:rsidRPr="00E150F6">
              <w:rPr>
                <w:rFonts w:ascii="BookAntiqua" w:hAnsi="BookAntiqua"/>
                <w:sz w:val="20"/>
                <w:szCs w:val="20"/>
                <w:lang w:bidi="ar-EG"/>
              </w:rPr>
              <w:t>Less than 6000, Less than 10000, Less than 20000, 2000 and above</w:t>
            </w:r>
          </w:p>
        </w:tc>
      </w:tr>
      <w:tr w:rsidR="0046388D" w:rsidRPr="00E150F6" w14:paraId="31A8903D" w14:textId="77777777" w:rsidTr="2E1D6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0" w:type="dxa"/>
            <w:gridSpan w:val="3"/>
          </w:tcPr>
          <w:p w14:paraId="6E9A547F" w14:textId="77777777" w:rsidR="00B35195" w:rsidRPr="00E150F6" w:rsidRDefault="00B35195" w:rsidP="004C4582">
            <w:pPr>
              <w:ind w:left="-2720"/>
              <w:jc w:val="center"/>
              <w:rPr>
                <w:rFonts w:ascii="BookAntiqua" w:hAnsi="BookAntiqua"/>
                <w:color w:val="auto"/>
                <w:sz w:val="20"/>
                <w:szCs w:val="20"/>
                <w:lang w:bidi="ar-EG"/>
              </w:rPr>
            </w:pPr>
            <w:r w:rsidRPr="00E150F6">
              <w:rPr>
                <w:color w:val="auto"/>
                <w:sz w:val="24"/>
                <w:szCs w:val="24"/>
              </w:rPr>
              <w:t xml:space="preserve">                                                  Macro Fundamentals</w:t>
            </w:r>
          </w:p>
        </w:tc>
      </w:tr>
      <w:tr w:rsidR="006A5CE8" w:rsidRPr="00E150F6" w14:paraId="35BDF21E" w14:textId="77777777" w:rsidTr="2E1D6406">
        <w:trPr>
          <w:trHeight w:val="460"/>
        </w:trPr>
        <w:tc>
          <w:tcPr>
            <w:cnfStyle w:val="001000000000" w:firstRow="0" w:lastRow="0" w:firstColumn="1" w:lastColumn="0" w:oddVBand="0" w:evenVBand="0" w:oddHBand="0" w:evenHBand="0" w:firstRowFirstColumn="0" w:firstRowLastColumn="0" w:lastRowFirstColumn="0" w:lastRowLastColumn="0"/>
            <w:tcW w:w="2788" w:type="dxa"/>
          </w:tcPr>
          <w:p w14:paraId="2AB230A1" w14:textId="609F77EA" w:rsidR="00B35195" w:rsidRPr="00E150F6" w:rsidRDefault="00B35195" w:rsidP="004C4582">
            <w:pPr>
              <w:jc w:val="both"/>
              <w:rPr>
                <w:rFonts w:ascii="BookAntiqua" w:hAnsi="BookAntiqua" w:cs="BookAntiqua"/>
                <w:color w:val="auto"/>
                <w:sz w:val="20"/>
                <w:szCs w:val="20"/>
              </w:rPr>
            </w:pPr>
            <w:r w:rsidRPr="00E150F6">
              <w:rPr>
                <w:rFonts w:ascii="BookAntiqua" w:hAnsi="BookAntiqua" w:cs="BookAntiqua"/>
                <w:color w:val="auto"/>
                <w:sz w:val="20"/>
                <w:szCs w:val="20"/>
              </w:rPr>
              <w:t>X</w:t>
            </w:r>
            <w:r w:rsidRPr="00E150F6">
              <w:rPr>
                <w:rFonts w:ascii="BookAntiqua" w:hAnsi="BookAntiqua" w:cs="BookAntiqua"/>
                <w:color w:val="auto"/>
                <w:sz w:val="20"/>
                <w:szCs w:val="20"/>
                <w:vertAlign w:val="subscript"/>
              </w:rPr>
              <w:t>2</w:t>
            </w:r>
            <w:r w:rsidRPr="00E150F6">
              <w:rPr>
                <w:rFonts w:ascii="BookAntiqua" w:hAnsi="BookAntiqua" w:cs="BookAntiqua"/>
                <w:color w:val="auto"/>
                <w:sz w:val="20"/>
                <w:szCs w:val="20"/>
              </w:rPr>
              <w:t xml:space="preserve"> (Inflation)</w:t>
            </w:r>
          </w:p>
        </w:tc>
        <w:tc>
          <w:tcPr>
            <w:tcW w:w="4687" w:type="dxa"/>
          </w:tcPr>
          <w:p w14:paraId="11709240" w14:textId="3EC7DA50" w:rsidR="00B35195" w:rsidRPr="00E150F6" w:rsidRDefault="00B35195" w:rsidP="288DE817">
            <w:pPr>
              <w:jc w:val="both"/>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sidRPr="00E150F6">
              <w:rPr>
                <w:rFonts w:ascii="BookAntiqua" w:hAnsi="BookAntiqua" w:cs="BookAntiqua"/>
                <w:sz w:val="20"/>
                <w:szCs w:val="20"/>
              </w:rPr>
              <w:t>From your point of view</w:t>
            </w:r>
          </w:p>
          <w:p w14:paraId="11005A5F" w14:textId="0867B712" w:rsidR="00B35195" w:rsidRPr="00E150F6" w:rsidRDefault="00B35195" w:rsidP="004C4582">
            <w:pPr>
              <w:jc w:val="both"/>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sidRPr="00E150F6">
              <w:rPr>
                <w:rFonts w:ascii="BookAntiqua" w:hAnsi="BookAntiqua" w:cs="BookAntiqua"/>
                <w:sz w:val="20"/>
                <w:szCs w:val="20"/>
              </w:rPr>
              <w:t xml:space="preserve"> to what extent has inflation affected real estate prices during the last five years</w:t>
            </w:r>
          </w:p>
        </w:tc>
        <w:tc>
          <w:tcPr>
            <w:tcW w:w="2875" w:type="dxa"/>
          </w:tcPr>
          <w:p w14:paraId="5597A5BC" w14:textId="7ADB9092" w:rsidR="00B35195" w:rsidRPr="00E150F6" w:rsidRDefault="00B35195" w:rsidP="004C4582">
            <w:pPr>
              <w:jc w:val="center"/>
              <w:cnfStyle w:val="000000000000" w:firstRow="0" w:lastRow="0" w:firstColumn="0" w:lastColumn="0" w:oddVBand="0" w:evenVBand="0" w:oddHBand="0" w:evenHBand="0" w:firstRowFirstColumn="0" w:firstRowLastColumn="0" w:lastRowFirstColumn="0" w:lastRowLastColumn="0"/>
              <w:rPr>
                <w:rFonts w:ascii="BookAntiqua" w:hAnsi="BookAntiqua"/>
                <w:sz w:val="20"/>
                <w:szCs w:val="20"/>
                <w:lang w:bidi="ar-EG"/>
              </w:rPr>
            </w:pPr>
            <w:r w:rsidRPr="00E150F6">
              <w:rPr>
                <w:rFonts w:ascii="BookAntiqua" w:hAnsi="BookAntiqua"/>
                <w:sz w:val="20"/>
                <w:szCs w:val="20"/>
                <w:lang w:bidi="ar-EG"/>
              </w:rPr>
              <w:t xml:space="preserve">Not effective, Simple Effect, </w:t>
            </w:r>
            <w:r w:rsidR="6A897B77" w:rsidRPr="2E1D6406">
              <w:rPr>
                <w:rFonts w:ascii="BookAntiqua" w:hAnsi="BookAntiqua"/>
                <w:sz w:val="20"/>
                <w:szCs w:val="20"/>
                <w:lang w:bidi="ar-EG"/>
              </w:rPr>
              <w:t>very</w:t>
            </w:r>
            <w:r w:rsidRPr="00E150F6">
              <w:rPr>
                <w:rFonts w:ascii="BookAntiqua" w:hAnsi="BookAntiqua"/>
                <w:sz w:val="20"/>
                <w:szCs w:val="20"/>
                <w:lang w:bidi="ar-EG"/>
              </w:rPr>
              <w:t xml:space="preserve"> effective</w:t>
            </w:r>
          </w:p>
        </w:tc>
      </w:tr>
      <w:tr w:rsidR="0046388D" w:rsidRPr="00E150F6" w14:paraId="4533BA35" w14:textId="77777777" w:rsidTr="2E1D6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0" w:type="dxa"/>
            <w:gridSpan w:val="3"/>
          </w:tcPr>
          <w:p w14:paraId="09C0D18D" w14:textId="77777777" w:rsidR="00B35195" w:rsidRPr="00E150F6" w:rsidRDefault="00B35195" w:rsidP="004C4582">
            <w:pPr>
              <w:jc w:val="center"/>
              <w:rPr>
                <w:rFonts w:ascii="BookAntiqua" w:hAnsi="BookAntiqua"/>
                <w:color w:val="auto"/>
                <w:sz w:val="20"/>
                <w:szCs w:val="20"/>
                <w:lang w:bidi="ar-EG"/>
              </w:rPr>
            </w:pPr>
            <w:r w:rsidRPr="00E150F6">
              <w:rPr>
                <w:color w:val="auto"/>
                <w:sz w:val="24"/>
                <w:szCs w:val="24"/>
              </w:rPr>
              <w:t xml:space="preserve">            Access to mortgage Finance</w:t>
            </w:r>
          </w:p>
        </w:tc>
      </w:tr>
      <w:tr w:rsidR="006A5CE8" w:rsidRPr="00E150F6" w14:paraId="339335CF" w14:textId="77777777" w:rsidTr="2E1D6406">
        <w:tc>
          <w:tcPr>
            <w:cnfStyle w:val="001000000000" w:firstRow="0" w:lastRow="0" w:firstColumn="1" w:lastColumn="0" w:oddVBand="0" w:evenVBand="0" w:oddHBand="0" w:evenHBand="0" w:firstRowFirstColumn="0" w:firstRowLastColumn="0" w:lastRowFirstColumn="0" w:lastRowLastColumn="0"/>
            <w:tcW w:w="2788" w:type="dxa"/>
          </w:tcPr>
          <w:p w14:paraId="6C7B4EA1" w14:textId="77777777" w:rsidR="00B35195" w:rsidRPr="00E150F6" w:rsidRDefault="00B35195" w:rsidP="004C4582">
            <w:pPr>
              <w:jc w:val="both"/>
              <w:rPr>
                <w:rFonts w:ascii="BookAntiqua" w:hAnsi="BookAntiqua" w:cs="BookAntiqua"/>
                <w:color w:val="auto"/>
                <w:sz w:val="20"/>
                <w:szCs w:val="20"/>
              </w:rPr>
            </w:pPr>
            <w:r w:rsidRPr="00E150F6">
              <w:rPr>
                <w:rFonts w:ascii="BookAntiqua" w:hAnsi="BookAntiqua" w:cs="BookAntiqua"/>
                <w:color w:val="auto"/>
                <w:sz w:val="20"/>
                <w:szCs w:val="20"/>
              </w:rPr>
              <w:t>X</w:t>
            </w:r>
            <w:r w:rsidRPr="00E150F6">
              <w:rPr>
                <w:rFonts w:ascii="BookAntiqua" w:hAnsi="BookAntiqua" w:cs="BookAntiqua"/>
                <w:color w:val="auto"/>
                <w:sz w:val="20"/>
                <w:szCs w:val="20"/>
                <w:vertAlign w:val="subscript"/>
              </w:rPr>
              <w:t>3</w:t>
            </w:r>
            <w:r w:rsidRPr="00E150F6">
              <w:rPr>
                <w:rFonts w:ascii="BookAntiqua" w:hAnsi="BookAntiqua" w:cs="BookAntiqua"/>
                <w:color w:val="auto"/>
                <w:sz w:val="20"/>
                <w:szCs w:val="20"/>
              </w:rPr>
              <w:t xml:space="preserve"> (Ease of contracting procedures)</w:t>
            </w:r>
          </w:p>
        </w:tc>
        <w:tc>
          <w:tcPr>
            <w:tcW w:w="4687" w:type="dxa"/>
          </w:tcPr>
          <w:p w14:paraId="51846C5A" w14:textId="6DAA2A2A" w:rsidR="00B35195" w:rsidRPr="00E150F6" w:rsidRDefault="00B35195" w:rsidP="004C4582">
            <w:pPr>
              <w:jc w:val="both"/>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sidRPr="00E150F6">
              <w:rPr>
                <w:rFonts w:ascii="BookAntiqua" w:hAnsi="BookAntiqua" w:cs="BookAntiqua"/>
                <w:sz w:val="20"/>
                <w:szCs w:val="20"/>
              </w:rPr>
              <w:t>Determine the importance of the following reasons in choosing your financing method</w:t>
            </w:r>
            <w:r w:rsidR="52997D88" w:rsidRPr="2E1D6406">
              <w:rPr>
                <w:rFonts w:ascii="BookAntiqua" w:hAnsi="BookAntiqua" w:cs="BookAntiqua"/>
                <w:sz w:val="20"/>
                <w:szCs w:val="20"/>
              </w:rPr>
              <w:t>?</w:t>
            </w:r>
            <w:r w:rsidRPr="00E150F6">
              <w:rPr>
                <w:rFonts w:ascii="BookAntiqua" w:hAnsi="BookAntiqua" w:cs="BookAntiqua"/>
                <w:sz w:val="20"/>
                <w:szCs w:val="20"/>
              </w:rPr>
              <w:t xml:space="preserve"> Ease of contracting procedures</w:t>
            </w:r>
          </w:p>
        </w:tc>
        <w:tc>
          <w:tcPr>
            <w:tcW w:w="2875" w:type="dxa"/>
          </w:tcPr>
          <w:p w14:paraId="603D87E5" w14:textId="77777777" w:rsidR="00B35195" w:rsidRPr="00E150F6" w:rsidRDefault="00B35195" w:rsidP="004C4582">
            <w:pPr>
              <w:jc w:val="center"/>
              <w:cnfStyle w:val="000000000000" w:firstRow="0" w:lastRow="0" w:firstColumn="0" w:lastColumn="0" w:oddVBand="0" w:evenVBand="0" w:oddHBand="0" w:evenHBand="0" w:firstRowFirstColumn="0" w:firstRowLastColumn="0" w:lastRowFirstColumn="0" w:lastRowLastColumn="0"/>
              <w:rPr>
                <w:rFonts w:ascii="BookAntiqua" w:hAnsi="BookAntiqua"/>
                <w:sz w:val="20"/>
                <w:szCs w:val="20"/>
                <w:lang w:bidi="ar-EG"/>
              </w:rPr>
            </w:pPr>
            <w:r w:rsidRPr="00E150F6">
              <w:rPr>
                <w:rFonts w:ascii="BookAntiqua" w:hAnsi="BookAntiqua"/>
                <w:sz w:val="20"/>
                <w:szCs w:val="20"/>
                <w:lang w:bidi="ar-EG"/>
              </w:rPr>
              <w:t>Yes, No</w:t>
            </w:r>
          </w:p>
        </w:tc>
      </w:tr>
      <w:tr w:rsidR="0046388D" w:rsidRPr="00E150F6" w14:paraId="3072A37C" w14:textId="77777777" w:rsidTr="2E1D6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0" w:type="dxa"/>
            <w:gridSpan w:val="3"/>
          </w:tcPr>
          <w:p w14:paraId="318402F8" w14:textId="77777777" w:rsidR="00B35195" w:rsidRPr="00E150F6" w:rsidRDefault="00B35195" w:rsidP="004C4582">
            <w:pPr>
              <w:jc w:val="center"/>
              <w:rPr>
                <w:rFonts w:ascii="BookAntiqua" w:hAnsi="BookAntiqua"/>
                <w:color w:val="auto"/>
                <w:sz w:val="20"/>
                <w:szCs w:val="20"/>
                <w:lang w:bidi="ar-EG"/>
              </w:rPr>
            </w:pPr>
            <w:r w:rsidRPr="00E150F6">
              <w:rPr>
                <w:color w:val="auto"/>
                <w:sz w:val="24"/>
                <w:szCs w:val="24"/>
              </w:rPr>
              <w:t xml:space="preserve">Institutions and procedures </w:t>
            </w:r>
          </w:p>
        </w:tc>
      </w:tr>
      <w:tr w:rsidR="006A5CE8" w:rsidRPr="00E150F6" w14:paraId="6D810D4A" w14:textId="77777777" w:rsidTr="2E1D6406">
        <w:tc>
          <w:tcPr>
            <w:cnfStyle w:val="001000000000" w:firstRow="0" w:lastRow="0" w:firstColumn="1" w:lastColumn="0" w:oddVBand="0" w:evenVBand="0" w:oddHBand="0" w:evenHBand="0" w:firstRowFirstColumn="0" w:firstRowLastColumn="0" w:lastRowFirstColumn="0" w:lastRowLastColumn="0"/>
            <w:tcW w:w="2788" w:type="dxa"/>
          </w:tcPr>
          <w:p w14:paraId="38F69926" w14:textId="77777777" w:rsidR="00B35195" w:rsidRPr="00E150F6" w:rsidRDefault="00B35195" w:rsidP="004C4582">
            <w:pPr>
              <w:jc w:val="both"/>
              <w:rPr>
                <w:rFonts w:ascii="BookAntiqua" w:hAnsi="BookAntiqua" w:cs="BookAntiqua"/>
                <w:color w:val="auto"/>
                <w:sz w:val="20"/>
                <w:szCs w:val="20"/>
              </w:rPr>
            </w:pPr>
            <w:r w:rsidRPr="00E150F6">
              <w:rPr>
                <w:rFonts w:ascii="BookAntiqua" w:hAnsi="BookAntiqua" w:cs="BookAntiqua"/>
                <w:color w:val="auto"/>
                <w:sz w:val="20"/>
                <w:szCs w:val="20"/>
              </w:rPr>
              <w:t>X</w:t>
            </w:r>
            <w:r w:rsidRPr="00E150F6">
              <w:rPr>
                <w:rFonts w:ascii="BookAntiqua" w:hAnsi="BookAntiqua" w:cs="BookAntiqua"/>
                <w:color w:val="auto"/>
                <w:sz w:val="20"/>
                <w:szCs w:val="20"/>
                <w:vertAlign w:val="subscript"/>
              </w:rPr>
              <w:t>4</w:t>
            </w:r>
            <w:r w:rsidRPr="00E150F6">
              <w:rPr>
                <w:rFonts w:ascii="BookAntiqua" w:hAnsi="BookAntiqua" w:cs="BookAntiqua"/>
                <w:color w:val="auto"/>
                <w:sz w:val="20"/>
                <w:szCs w:val="20"/>
              </w:rPr>
              <w:t xml:space="preserve"> (Taxes and fees)</w:t>
            </w:r>
          </w:p>
        </w:tc>
        <w:tc>
          <w:tcPr>
            <w:tcW w:w="4687" w:type="dxa"/>
          </w:tcPr>
          <w:p w14:paraId="675E1D1F" w14:textId="77777777" w:rsidR="00B35195" w:rsidRPr="00E150F6" w:rsidRDefault="00B35195" w:rsidP="004C4582">
            <w:pPr>
              <w:jc w:val="both"/>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sidRPr="00E150F6">
              <w:rPr>
                <w:rFonts w:ascii="BookAntiqua" w:hAnsi="BookAntiqua" w:cs="BookAntiqua"/>
                <w:sz w:val="20"/>
                <w:szCs w:val="20"/>
              </w:rPr>
              <w:t>To what extent do real estate taxes and fees affect your real estate purchase decision?</w:t>
            </w:r>
          </w:p>
        </w:tc>
        <w:tc>
          <w:tcPr>
            <w:tcW w:w="2875" w:type="dxa"/>
          </w:tcPr>
          <w:p w14:paraId="209011B2" w14:textId="77777777" w:rsidR="00B35195" w:rsidRPr="00E150F6" w:rsidRDefault="00B35195" w:rsidP="004C4582">
            <w:pPr>
              <w:cnfStyle w:val="000000000000" w:firstRow="0" w:lastRow="0" w:firstColumn="0" w:lastColumn="0" w:oddVBand="0" w:evenVBand="0" w:oddHBand="0" w:evenHBand="0" w:firstRowFirstColumn="0" w:firstRowLastColumn="0" w:lastRowFirstColumn="0" w:lastRowLastColumn="0"/>
              <w:rPr>
                <w:rFonts w:ascii="BookAntiqua" w:hAnsi="BookAntiqua"/>
                <w:sz w:val="20"/>
                <w:szCs w:val="20"/>
                <w:lang w:bidi="ar-EG"/>
              </w:rPr>
            </w:pPr>
            <w:r w:rsidRPr="00E150F6">
              <w:rPr>
                <w:rFonts w:ascii="BookAntiqua" w:hAnsi="BookAntiqua"/>
                <w:sz w:val="20"/>
                <w:szCs w:val="20"/>
                <w:lang w:bidi="ar-EG"/>
              </w:rPr>
              <w:t>Not effective, Moderate effect, Effective</w:t>
            </w:r>
          </w:p>
          <w:p w14:paraId="52038E90" w14:textId="77777777" w:rsidR="00B35195" w:rsidRPr="00E150F6" w:rsidRDefault="00B35195" w:rsidP="004C4582">
            <w:pPr>
              <w:jc w:val="center"/>
              <w:cnfStyle w:val="000000000000" w:firstRow="0" w:lastRow="0" w:firstColumn="0" w:lastColumn="0" w:oddVBand="0" w:evenVBand="0" w:oddHBand="0" w:evenHBand="0" w:firstRowFirstColumn="0" w:firstRowLastColumn="0" w:lastRowFirstColumn="0" w:lastRowLastColumn="0"/>
              <w:rPr>
                <w:rFonts w:ascii="BookAntiqua" w:hAnsi="BookAntiqua"/>
                <w:sz w:val="20"/>
                <w:szCs w:val="20"/>
                <w:lang w:bidi="ar-EG"/>
              </w:rPr>
            </w:pPr>
          </w:p>
        </w:tc>
      </w:tr>
      <w:tr w:rsidR="00D369EB" w:rsidRPr="00E150F6" w14:paraId="585B06B4" w14:textId="77777777" w:rsidTr="2E1D6406">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788" w:type="dxa"/>
          </w:tcPr>
          <w:p w14:paraId="0AE7CE11" w14:textId="65EC88DD" w:rsidR="00B35195" w:rsidRPr="00E150F6" w:rsidRDefault="00B35195" w:rsidP="004C4582">
            <w:pPr>
              <w:jc w:val="both"/>
              <w:rPr>
                <w:rFonts w:ascii="BookAntiqua" w:hAnsi="BookAntiqua" w:cs="BookAntiqua"/>
                <w:color w:val="auto"/>
                <w:sz w:val="20"/>
                <w:szCs w:val="20"/>
              </w:rPr>
            </w:pPr>
            <w:r w:rsidRPr="00E150F6">
              <w:rPr>
                <w:rFonts w:ascii="BookAntiqua" w:hAnsi="BookAntiqua" w:cs="BookAntiqua"/>
                <w:color w:val="auto"/>
                <w:sz w:val="20"/>
                <w:szCs w:val="20"/>
              </w:rPr>
              <w:t>X</w:t>
            </w:r>
            <w:r w:rsidRPr="00E150F6">
              <w:rPr>
                <w:rFonts w:ascii="BookAntiqua" w:hAnsi="BookAntiqua" w:cs="BookAntiqua"/>
                <w:color w:val="auto"/>
                <w:sz w:val="20"/>
                <w:szCs w:val="20"/>
                <w:vertAlign w:val="subscript"/>
              </w:rPr>
              <w:t>5</w:t>
            </w:r>
            <w:r w:rsidRPr="00E150F6">
              <w:rPr>
                <w:rFonts w:ascii="BookAntiqua" w:hAnsi="BookAntiqua" w:cs="BookAntiqua"/>
                <w:color w:val="auto"/>
                <w:sz w:val="20"/>
                <w:szCs w:val="20"/>
              </w:rPr>
              <w:t xml:space="preserve"> (cost of land, construction and licenses)</w:t>
            </w:r>
          </w:p>
        </w:tc>
        <w:tc>
          <w:tcPr>
            <w:tcW w:w="4687" w:type="dxa"/>
            <w:vMerge w:val="restart"/>
          </w:tcPr>
          <w:p w14:paraId="79D91127" w14:textId="2C874696" w:rsidR="00B35195" w:rsidRPr="00E150F6" w:rsidRDefault="00B35195" w:rsidP="004C4582">
            <w:pPr>
              <w:jc w:val="both"/>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sidRPr="00E150F6">
              <w:rPr>
                <w:rFonts w:ascii="BookAntiqua" w:hAnsi="BookAntiqua" w:cs="BookAntiqua"/>
                <w:sz w:val="20"/>
                <w:szCs w:val="20"/>
              </w:rPr>
              <w:t>From your point of view to what extent did the cost of land, construction, and licenses affect property prices during the last five years</w:t>
            </w:r>
          </w:p>
        </w:tc>
        <w:tc>
          <w:tcPr>
            <w:tcW w:w="2875" w:type="dxa"/>
            <w:vMerge w:val="restart"/>
          </w:tcPr>
          <w:p w14:paraId="1774011A" w14:textId="32552658" w:rsidR="00B35195" w:rsidRPr="00E150F6" w:rsidRDefault="00B35195" w:rsidP="004C4582">
            <w:pPr>
              <w:jc w:val="center"/>
              <w:cnfStyle w:val="000000100000" w:firstRow="0" w:lastRow="0" w:firstColumn="0" w:lastColumn="0" w:oddVBand="0" w:evenVBand="0" w:oddHBand="1" w:evenHBand="0" w:firstRowFirstColumn="0" w:firstRowLastColumn="0" w:lastRowFirstColumn="0" w:lastRowLastColumn="0"/>
              <w:rPr>
                <w:rFonts w:ascii="BookAntiqua" w:hAnsi="BookAntiqua"/>
                <w:sz w:val="20"/>
                <w:szCs w:val="20"/>
                <w:lang w:bidi="ar-EG"/>
              </w:rPr>
            </w:pPr>
            <w:r w:rsidRPr="00E150F6">
              <w:rPr>
                <w:rFonts w:ascii="BookAntiqua" w:hAnsi="BookAntiqua"/>
                <w:sz w:val="20"/>
                <w:szCs w:val="20"/>
                <w:lang w:bidi="ar-EG"/>
              </w:rPr>
              <w:t xml:space="preserve">Not effective, Simple Effect, </w:t>
            </w:r>
            <w:r w:rsidR="566F8978" w:rsidRPr="2E1D6406">
              <w:rPr>
                <w:rFonts w:ascii="BookAntiqua" w:hAnsi="BookAntiqua"/>
                <w:sz w:val="20"/>
                <w:szCs w:val="20"/>
                <w:lang w:bidi="ar-EG"/>
              </w:rPr>
              <w:t>very</w:t>
            </w:r>
            <w:r w:rsidRPr="00E150F6">
              <w:rPr>
                <w:rFonts w:ascii="BookAntiqua" w:hAnsi="BookAntiqua"/>
                <w:sz w:val="20"/>
                <w:szCs w:val="20"/>
                <w:lang w:bidi="ar-EG"/>
              </w:rPr>
              <w:t xml:space="preserve"> effective</w:t>
            </w:r>
          </w:p>
        </w:tc>
      </w:tr>
      <w:tr w:rsidR="00D369EB" w:rsidRPr="00E150F6" w14:paraId="7BC57B05" w14:textId="77777777" w:rsidTr="2E1D6406">
        <w:trPr>
          <w:trHeight w:val="575"/>
        </w:trPr>
        <w:tc>
          <w:tcPr>
            <w:cnfStyle w:val="001000000000" w:firstRow="0" w:lastRow="0" w:firstColumn="1" w:lastColumn="0" w:oddVBand="0" w:evenVBand="0" w:oddHBand="0" w:evenHBand="0" w:firstRowFirstColumn="0" w:firstRowLastColumn="0" w:lastRowFirstColumn="0" w:lastRowLastColumn="0"/>
            <w:tcW w:w="2788" w:type="dxa"/>
          </w:tcPr>
          <w:p w14:paraId="371D1370" w14:textId="77777777" w:rsidR="00B35195" w:rsidRPr="00E150F6" w:rsidRDefault="00B35195" w:rsidP="004C4582">
            <w:pPr>
              <w:jc w:val="both"/>
              <w:rPr>
                <w:rFonts w:ascii="BookAntiqua" w:hAnsi="BookAntiqua" w:cs="BookAntiqua"/>
                <w:color w:val="auto"/>
                <w:sz w:val="20"/>
                <w:szCs w:val="20"/>
              </w:rPr>
            </w:pPr>
          </w:p>
        </w:tc>
        <w:tc>
          <w:tcPr>
            <w:tcW w:w="4687" w:type="dxa"/>
            <w:vMerge/>
          </w:tcPr>
          <w:p w14:paraId="717F86AD" w14:textId="77777777" w:rsidR="00B35195" w:rsidRPr="00E150F6" w:rsidRDefault="00B35195" w:rsidP="004C4582">
            <w:pPr>
              <w:jc w:val="both"/>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p>
        </w:tc>
        <w:tc>
          <w:tcPr>
            <w:tcW w:w="2875" w:type="dxa"/>
            <w:vMerge/>
          </w:tcPr>
          <w:p w14:paraId="445E96A1" w14:textId="77777777" w:rsidR="00B35195" w:rsidRPr="00E150F6" w:rsidRDefault="00B35195" w:rsidP="004C4582">
            <w:pPr>
              <w:jc w:val="center"/>
              <w:cnfStyle w:val="000000000000" w:firstRow="0" w:lastRow="0" w:firstColumn="0" w:lastColumn="0" w:oddVBand="0" w:evenVBand="0" w:oddHBand="0" w:evenHBand="0" w:firstRowFirstColumn="0" w:firstRowLastColumn="0" w:lastRowFirstColumn="0" w:lastRowLastColumn="0"/>
              <w:rPr>
                <w:rFonts w:ascii="BookAntiqua" w:hAnsi="BookAntiqua"/>
                <w:sz w:val="20"/>
                <w:szCs w:val="20"/>
                <w:lang w:bidi="ar-EG"/>
              </w:rPr>
            </w:pPr>
          </w:p>
        </w:tc>
      </w:tr>
      <w:tr w:rsidR="0046388D" w:rsidRPr="00E150F6" w14:paraId="3A48EF0B" w14:textId="77777777" w:rsidTr="2E1D6406">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0350" w:type="dxa"/>
            <w:gridSpan w:val="3"/>
          </w:tcPr>
          <w:p w14:paraId="620D7B88" w14:textId="77777777" w:rsidR="00B35195" w:rsidRPr="00E150F6" w:rsidRDefault="00B35195" w:rsidP="004C4582">
            <w:pPr>
              <w:jc w:val="center"/>
              <w:rPr>
                <w:rFonts w:ascii="BookAntiqua" w:hAnsi="BookAntiqua"/>
                <w:color w:val="auto"/>
                <w:sz w:val="20"/>
                <w:szCs w:val="20"/>
                <w:lang w:bidi="ar-EG"/>
              </w:rPr>
            </w:pPr>
            <w:r w:rsidRPr="00E150F6">
              <w:rPr>
                <w:color w:val="auto"/>
                <w:sz w:val="24"/>
                <w:szCs w:val="24"/>
              </w:rPr>
              <w:t>Government Housing Policies</w:t>
            </w:r>
          </w:p>
        </w:tc>
      </w:tr>
      <w:tr w:rsidR="00D369EB" w:rsidRPr="00E150F6" w14:paraId="03B0BCC0" w14:textId="77777777" w:rsidTr="2E1D6406">
        <w:trPr>
          <w:trHeight w:val="460"/>
        </w:trPr>
        <w:tc>
          <w:tcPr>
            <w:cnfStyle w:val="001000000000" w:firstRow="0" w:lastRow="0" w:firstColumn="1" w:lastColumn="0" w:oddVBand="0" w:evenVBand="0" w:oddHBand="0" w:evenHBand="0" w:firstRowFirstColumn="0" w:firstRowLastColumn="0" w:lastRowFirstColumn="0" w:lastRowLastColumn="0"/>
            <w:tcW w:w="2788" w:type="dxa"/>
          </w:tcPr>
          <w:p w14:paraId="1B073C49" w14:textId="77777777" w:rsidR="00B35195" w:rsidRPr="00E150F6" w:rsidRDefault="00B35195" w:rsidP="004C4582">
            <w:pPr>
              <w:jc w:val="both"/>
              <w:rPr>
                <w:rFonts w:ascii="BookAntiqua" w:hAnsi="BookAntiqua" w:cs="BookAntiqua"/>
                <w:color w:val="auto"/>
                <w:sz w:val="20"/>
                <w:szCs w:val="20"/>
              </w:rPr>
            </w:pPr>
            <w:r w:rsidRPr="00E150F6">
              <w:rPr>
                <w:rFonts w:ascii="BookAntiqua" w:hAnsi="BookAntiqua" w:cs="BookAntiqua"/>
                <w:color w:val="auto"/>
                <w:sz w:val="20"/>
                <w:szCs w:val="20"/>
              </w:rPr>
              <w:t>X</w:t>
            </w:r>
            <w:r w:rsidRPr="00E150F6">
              <w:rPr>
                <w:rFonts w:ascii="BookAntiqua" w:hAnsi="BookAntiqua" w:cs="BookAntiqua"/>
                <w:color w:val="auto"/>
                <w:sz w:val="20"/>
                <w:szCs w:val="20"/>
                <w:vertAlign w:val="subscript"/>
              </w:rPr>
              <w:t>6</w:t>
            </w:r>
            <w:r w:rsidRPr="00E150F6">
              <w:rPr>
                <w:rFonts w:ascii="BookAntiqua" w:hAnsi="BookAntiqua" w:cs="BookAntiqua"/>
                <w:color w:val="auto"/>
                <w:sz w:val="20"/>
                <w:szCs w:val="20"/>
              </w:rPr>
              <w:t xml:space="preserve"> (State Projects and new cities)</w:t>
            </w:r>
          </w:p>
        </w:tc>
        <w:tc>
          <w:tcPr>
            <w:tcW w:w="4687" w:type="dxa"/>
            <w:vMerge w:val="restart"/>
          </w:tcPr>
          <w:p w14:paraId="7FA07456" w14:textId="77777777" w:rsidR="00B35195" w:rsidRPr="00E150F6" w:rsidRDefault="00B35195" w:rsidP="004C4582">
            <w:pPr>
              <w:jc w:val="both"/>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vertAlign w:val="superscript"/>
              </w:rPr>
            </w:pPr>
            <w:r w:rsidRPr="00E150F6">
              <w:rPr>
                <w:rFonts w:ascii="BookAntiqua" w:hAnsi="BookAntiqua" w:cs="BookAntiqua"/>
                <w:sz w:val="20"/>
                <w:szCs w:val="20"/>
              </w:rPr>
              <w:t>From your point of view, to what extent have state projects and new cities affected real estate prices during the last five years</w:t>
            </w:r>
          </w:p>
        </w:tc>
        <w:tc>
          <w:tcPr>
            <w:tcW w:w="2875" w:type="dxa"/>
            <w:vMerge w:val="restart"/>
          </w:tcPr>
          <w:p w14:paraId="499C13CF" w14:textId="6DFF153B" w:rsidR="00B35195" w:rsidRPr="00E150F6" w:rsidRDefault="00B35195" w:rsidP="004C4582">
            <w:pPr>
              <w:jc w:val="center"/>
              <w:cnfStyle w:val="000000000000" w:firstRow="0" w:lastRow="0" w:firstColumn="0" w:lastColumn="0" w:oddVBand="0" w:evenVBand="0" w:oddHBand="0" w:evenHBand="0" w:firstRowFirstColumn="0" w:firstRowLastColumn="0" w:lastRowFirstColumn="0" w:lastRowLastColumn="0"/>
              <w:rPr>
                <w:rFonts w:ascii="BookAntiqua" w:hAnsi="BookAntiqua"/>
                <w:sz w:val="20"/>
                <w:szCs w:val="20"/>
                <w:lang w:bidi="ar-EG"/>
              </w:rPr>
            </w:pPr>
            <w:r w:rsidRPr="00E150F6">
              <w:rPr>
                <w:rFonts w:ascii="BookAntiqua" w:hAnsi="BookAntiqua"/>
                <w:sz w:val="20"/>
                <w:szCs w:val="20"/>
                <w:lang w:bidi="ar-EG"/>
              </w:rPr>
              <w:t xml:space="preserve">Not effective, </w:t>
            </w:r>
            <w:r w:rsidR="00EF12A7">
              <w:rPr>
                <w:rFonts w:ascii="BookAntiqua" w:hAnsi="BookAntiqua"/>
                <w:sz w:val="20"/>
                <w:szCs w:val="20"/>
                <w:lang w:bidi="ar-EG"/>
              </w:rPr>
              <w:t>effective</w:t>
            </w:r>
            <w:r w:rsidRPr="00E150F6">
              <w:rPr>
                <w:rFonts w:ascii="BookAntiqua" w:hAnsi="BookAntiqua"/>
                <w:sz w:val="20"/>
                <w:szCs w:val="20"/>
                <w:lang w:bidi="ar-EG"/>
              </w:rPr>
              <w:t>, Very effective</w:t>
            </w:r>
          </w:p>
        </w:tc>
      </w:tr>
      <w:tr w:rsidR="00D369EB" w:rsidRPr="00E150F6" w14:paraId="43ABB11B" w14:textId="77777777" w:rsidTr="2E1D640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788" w:type="dxa"/>
          </w:tcPr>
          <w:p w14:paraId="2E45CF58" w14:textId="77777777" w:rsidR="00B35195" w:rsidRPr="00E150F6" w:rsidRDefault="00B35195" w:rsidP="004C4582">
            <w:pPr>
              <w:jc w:val="both"/>
              <w:rPr>
                <w:rFonts w:ascii="BookAntiqua" w:hAnsi="BookAntiqua" w:cs="BookAntiqua"/>
                <w:color w:val="auto"/>
                <w:sz w:val="20"/>
                <w:szCs w:val="20"/>
              </w:rPr>
            </w:pPr>
          </w:p>
        </w:tc>
        <w:tc>
          <w:tcPr>
            <w:tcW w:w="4687" w:type="dxa"/>
            <w:vMerge/>
          </w:tcPr>
          <w:p w14:paraId="47302248" w14:textId="77777777" w:rsidR="00B35195" w:rsidRPr="00E150F6" w:rsidRDefault="00B35195" w:rsidP="004C4582">
            <w:pPr>
              <w:jc w:val="both"/>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p>
        </w:tc>
        <w:tc>
          <w:tcPr>
            <w:tcW w:w="2875" w:type="dxa"/>
            <w:vMerge/>
          </w:tcPr>
          <w:p w14:paraId="1CA010A8" w14:textId="77777777" w:rsidR="00B35195" w:rsidRPr="00E150F6" w:rsidRDefault="00B35195" w:rsidP="004C4582">
            <w:pPr>
              <w:jc w:val="center"/>
              <w:cnfStyle w:val="000000100000" w:firstRow="0" w:lastRow="0" w:firstColumn="0" w:lastColumn="0" w:oddVBand="0" w:evenVBand="0" w:oddHBand="1" w:evenHBand="0" w:firstRowFirstColumn="0" w:firstRowLastColumn="0" w:lastRowFirstColumn="0" w:lastRowLastColumn="0"/>
              <w:rPr>
                <w:rFonts w:ascii="BookAntiqua" w:hAnsi="BookAntiqua"/>
                <w:sz w:val="20"/>
                <w:szCs w:val="20"/>
                <w:lang w:bidi="ar-EG"/>
              </w:rPr>
            </w:pPr>
          </w:p>
        </w:tc>
      </w:tr>
      <w:tr w:rsidR="0046388D" w:rsidRPr="00E150F6" w14:paraId="66236C11" w14:textId="77777777" w:rsidTr="2E1D6406">
        <w:trPr>
          <w:trHeight w:val="189"/>
        </w:trPr>
        <w:tc>
          <w:tcPr>
            <w:cnfStyle w:val="001000000000" w:firstRow="0" w:lastRow="0" w:firstColumn="1" w:lastColumn="0" w:oddVBand="0" w:evenVBand="0" w:oddHBand="0" w:evenHBand="0" w:firstRowFirstColumn="0" w:firstRowLastColumn="0" w:lastRowFirstColumn="0" w:lastRowLastColumn="0"/>
            <w:tcW w:w="10350" w:type="dxa"/>
            <w:gridSpan w:val="3"/>
          </w:tcPr>
          <w:p w14:paraId="2CB63BDE" w14:textId="77777777" w:rsidR="00B35195" w:rsidRPr="00E150F6" w:rsidRDefault="00B35195" w:rsidP="004C4582">
            <w:pPr>
              <w:jc w:val="center"/>
              <w:rPr>
                <w:rFonts w:ascii="BookAntiqua" w:hAnsi="BookAntiqua" w:cs="BookAntiqua"/>
                <w:color w:val="auto"/>
                <w:sz w:val="20"/>
                <w:szCs w:val="20"/>
              </w:rPr>
            </w:pPr>
            <w:r w:rsidRPr="00E150F6">
              <w:rPr>
                <w:color w:val="auto"/>
                <w:sz w:val="24"/>
                <w:szCs w:val="24"/>
              </w:rPr>
              <w:t xml:space="preserve">Cultural and Religious Beliefs </w:t>
            </w:r>
          </w:p>
        </w:tc>
      </w:tr>
      <w:tr w:rsidR="006A5CE8" w:rsidRPr="00E150F6" w14:paraId="6B33C60B" w14:textId="77777777" w:rsidTr="2E1D6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tcPr>
          <w:p w14:paraId="77F5BFC2" w14:textId="77777777" w:rsidR="00B35195" w:rsidRPr="00E150F6" w:rsidRDefault="00B35195" w:rsidP="004C4582">
            <w:pPr>
              <w:jc w:val="both"/>
              <w:rPr>
                <w:rFonts w:ascii="BookAntiqua" w:hAnsi="BookAntiqua" w:cs="BookAntiqua"/>
                <w:color w:val="auto"/>
                <w:sz w:val="20"/>
                <w:szCs w:val="20"/>
              </w:rPr>
            </w:pPr>
            <w:r w:rsidRPr="00E150F6">
              <w:rPr>
                <w:rFonts w:ascii="BookAntiqua" w:hAnsi="BookAntiqua" w:cs="BookAntiqua"/>
                <w:color w:val="auto"/>
                <w:sz w:val="20"/>
                <w:szCs w:val="20"/>
              </w:rPr>
              <w:t>X</w:t>
            </w:r>
            <w:r w:rsidRPr="00E150F6">
              <w:rPr>
                <w:rFonts w:ascii="BookAntiqua" w:hAnsi="BookAntiqua" w:cs="BookAntiqua" w:hint="cs"/>
                <w:color w:val="auto"/>
                <w:sz w:val="20"/>
                <w:szCs w:val="20"/>
                <w:vertAlign w:val="subscript"/>
                <w:rtl/>
              </w:rPr>
              <w:t>7</w:t>
            </w:r>
            <w:r w:rsidRPr="00E150F6">
              <w:rPr>
                <w:rFonts w:ascii="BookAntiqua" w:hAnsi="BookAntiqua" w:cs="BookAntiqua"/>
                <w:color w:val="auto"/>
                <w:sz w:val="20"/>
                <w:szCs w:val="20"/>
                <w:vertAlign w:val="subscript"/>
              </w:rPr>
              <w:t xml:space="preserve"> </w:t>
            </w:r>
            <w:r w:rsidRPr="00E150F6">
              <w:rPr>
                <w:rFonts w:ascii="BookAntiqua" w:hAnsi="BookAntiqua" w:cs="BookAntiqua"/>
                <w:color w:val="auto"/>
                <w:sz w:val="20"/>
                <w:szCs w:val="20"/>
              </w:rPr>
              <w:t>(Types of banks preferences)</w:t>
            </w:r>
          </w:p>
        </w:tc>
        <w:tc>
          <w:tcPr>
            <w:tcW w:w="4687" w:type="dxa"/>
          </w:tcPr>
          <w:p w14:paraId="29CA71C9" w14:textId="77777777" w:rsidR="00B35195" w:rsidRPr="00E150F6" w:rsidRDefault="00B35195" w:rsidP="004C4582">
            <w:pPr>
              <w:jc w:val="both"/>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sidRPr="00E150F6">
              <w:rPr>
                <w:rFonts w:ascii="BookAntiqua" w:hAnsi="BookAntiqua" w:cs="BookAntiqua"/>
                <w:sz w:val="20"/>
                <w:szCs w:val="20"/>
              </w:rPr>
              <w:t xml:space="preserve">Which type of banks do you prefer? </w:t>
            </w:r>
          </w:p>
        </w:tc>
        <w:tc>
          <w:tcPr>
            <w:tcW w:w="2875" w:type="dxa"/>
          </w:tcPr>
          <w:p w14:paraId="567BECAE" w14:textId="77777777" w:rsidR="00B35195" w:rsidRPr="00E150F6" w:rsidRDefault="00B35195" w:rsidP="004C4582">
            <w:pPr>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sidRPr="00E150F6">
              <w:rPr>
                <w:rFonts w:ascii="BookAntiqua" w:hAnsi="BookAntiqua" w:cs="BookAntiqua"/>
                <w:sz w:val="20"/>
                <w:szCs w:val="20"/>
              </w:rPr>
              <w:t>Governmental, Commercial, Islamic, Don’t prefer banks</w:t>
            </w:r>
          </w:p>
        </w:tc>
      </w:tr>
      <w:tr w:rsidR="0046388D" w:rsidRPr="00E150F6" w14:paraId="3B57F4D8" w14:textId="77777777" w:rsidTr="2E1D6406">
        <w:tc>
          <w:tcPr>
            <w:cnfStyle w:val="001000000000" w:firstRow="0" w:lastRow="0" w:firstColumn="1" w:lastColumn="0" w:oddVBand="0" w:evenVBand="0" w:oddHBand="0" w:evenHBand="0" w:firstRowFirstColumn="0" w:firstRowLastColumn="0" w:lastRowFirstColumn="0" w:lastRowLastColumn="0"/>
            <w:tcW w:w="10350" w:type="dxa"/>
            <w:gridSpan w:val="3"/>
          </w:tcPr>
          <w:p w14:paraId="3C419759" w14:textId="77777777" w:rsidR="00B35195" w:rsidRPr="00E150F6" w:rsidRDefault="00B35195" w:rsidP="004C4582">
            <w:pPr>
              <w:jc w:val="center"/>
              <w:rPr>
                <w:rFonts w:ascii="BookAntiqua" w:hAnsi="BookAntiqua" w:cs="BookAntiqua"/>
                <w:color w:val="auto"/>
                <w:sz w:val="20"/>
                <w:szCs w:val="20"/>
              </w:rPr>
            </w:pPr>
            <w:r w:rsidRPr="00E150F6">
              <w:rPr>
                <w:color w:val="auto"/>
                <w:sz w:val="24"/>
                <w:szCs w:val="24"/>
              </w:rPr>
              <w:t>Uncertainty and Shocks</w:t>
            </w:r>
          </w:p>
        </w:tc>
      </w:tr>
      <w:tr w:rsidR="006A5CE8" w:rsidRPr="00E150F6" w14:paraId="63F96DA8" w14:textId="77777777" w:rsidTr="2E1D6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tcPr>
          <w:p w14:paraId="3858CF32" w14:textId="77777777" w:rsidR="00B35195" w:rsidRPr="00E150F6" w:rsidRDefault="00B35195" w:rsidP="004C4582">
            <w:pPr>
              <w:jc w:val="both"/>
              <w:rPr>
                <w:rFonts w:ascii="BookAntiqua" w:hAnsi="BookAntiqua" w:cs="BookAntiqua"/>
                <w:b w:val="0"/>
                <w:bCs w:val="0"/>
                <w:color w:val="auto"/>
                <w:sz w:val="20"/>
                <w:szCs w:val="20"/>
              </w:rPr>
            </w:pPr>
            <w:r w:rsidRPr="00E150F6">
              <w:rPr>
                <w:rFonts w:ascii="BookAntiqua" w:hAnsi="BookAntiqua" w:cs="BookAntiqua"/>
                <w:color w:val="auto"/>
                <w:sz w:val="20"/>
                <w:szCs w:val="20"/>
              </w:rPr>
              <w:t>X</w:t>
            </w:r>
            <w:r w:rsidRPr="00E150F6">
              <w:rPr>
                <w:rFonts w:ascii="BookAntiqua" w:hAnsi="BookAntiqua" w:cs="BookAntiqua"/>
                <w:color w:val="auto"/>
                <w:sz w:val="20"/>
                <w:szCs w:val="20"/>
                <w:vertAlign w:val="subscript"/>
              </w:rPr>
              <w:t>8</w:t>
            </w:r>
            <w:r w:rsidRPr="00E150F6">
              <w:rPr>
                <w:rFonts w:ascii="BookAntiqua" w:hAnsi="BookAntiqua" w:cs="BookAntiqua"/>
                <w:color w:val="auto"/>
                <w:sz w:val="20"/>
                <w:szCs w:val="20"/>
              </w:rPr>
              <w:t xml:space="preserve"> (I will be able to buy any time soon)</w:t>
            </w:r>
          </w:p>
        </w:tc>
        <w:tc>
          <w:tcPr>
            <w:tcW w:w="4687" w:type="dxa"/>
          </w:tcPr>
          <w:p w14:paraId="42118B01" w14:textId="77777777" w:rsidR="00B35195" w:rsidRPr="00E150F6" w:rsidRDefault="00B35195" w:rsidP="004C4582">
            <w:pPr>
              <w:jc w:val="both"/>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sidRPr="00E150F6">
              <w:rPr>
                <w:rFonts w:ascii="BookAntiqua" w:hAnsi="BookAntiqua" w:cs="BookAntiqua"/>
                <w:sz w:val="20"/>
                <w:szCs w:val="20"/>
              </w:rPr>
              <w:t>To what extent do you agree with the following statement: It is very likely that housing will sharply increase and thus, if I do not buy now, I will not be able to buy anytime soon</w:t>
            </w:r>
          </w:p>
        </w:tc>
        <w:tc>
          <w:tcPr>
            <w:tcW w:w="2875" w:type="dxa"/>
          </w:tcPr>
          <w:p w14:paraId="360E7709" w14:textId="77777777" w:rsidR="00B35195" w:rsidRPr="00E150F6" w:rsidRDefault="00B35195" w:rsidP="004C4582">
            <w:pPr>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sidRPr="00E150F6">
              <w:rPr>
                <w:rFonts w:ascii="BookAntiqua" w:hAnsi="BookAntiqua" w:cs="BookAntiqua"/>
                <w:sz w:val="20"/>
                <w:szCs w:val="20"/>
              </w:rPr>
              <w:t>Agree, I don’t know/Neutral, Not agree</w:t>
            </w:r>
          </w:p>
        </w:tc>
      </w:tr>
      <w:tr w:rsidR="006A5CE8" w:rsidRPr="00E150F6" w14:paraId="64024B36" w14:textId="77777777" w:rsidTr="2E1D6406">
        <w:tc>
          <w:tcPr>
            <w:cnfStyle w:val="001000000000" w:firstRow="0" w:lastRow="0" w:firstColumn="1" w:lastColumn="0" w:oddVBand="0" w:evenVBand="0" w:oddHBand="0" w:evenHBand="0" w:firstRowFirstColumn="0" w:firstRowLastColumn="0" w:lastRowFirstColumn="0" w:lastRowLastColumn="0"/>
            <w:tcW w:w="2788" w:type="dxa"/>
          </w:tcPr>
          <w:p w14:paraId="72F0BA9E" w14:textId="77777777" w:rsidR="00B35195" w:rsidRPr="00E150F6" w:rsidRDefault="00B35195" w:rsidP="004C4582">
            <w:pPr>
              <w:jc w:val="both"/>
              <w:rPr>
                <w:rFonts w:ascii="BookAntiqua" w:hAnsi="BookAntiqua" w:cs="BookAntiqua"/>
                <w:color w:val="auto"/>
                <w:sz w:val="20"/>
                <w:szCs w:val="20"/>
              </w:rPr>
            </w:pPr>
            <w:r w:rsidRPr="00E150F6">
              <w:rPr>
                <w:rFonts w:ascii="BookAntiqua" w:hAnsi="BookAntiqua" w:cs="BookAntiqua"/>
                <w:color w:val="auto"/>
                <w:sz w:val="20"/>
                <w:szCs w:val="20"/>
              </w:rPr>
              <w:t>X</w:t>
            </w:r>
            <w:r w:rsidRPr="00E150F6">
              <w:rPr>
                <w:rFonts w:ascii="BookAntiqua" w:hAnsi="BookAntiqua" w:cs="BookAntiqua"/>
                <w:color w:val="auto"/>
                <w:sz w:val="20"/>
                <w:szCs w:val="20"/>
                <w:vertAlign w:val="subscript"/>
              </w:rPr>
              <w:t>9</w:t>
            </w:r>
            <w:r w:rsidRPr="00E150F6">
              <w:rPr>
                <w:rFonts w:ascii="BookAntiqua" w:hAnsi="BookAntiqua" w:cs="BookAntiqua"/>
                <w:color w:val="auto"/>
                <w:sz w:val="20"/>
                <w:szCs w:val="20"/>
              </w:rPr>
              <w:t xml:space="preserve"> (cash better than housing investment)</w:t>
            </w:r>
          </w:p>
        </w:tc>
        <w:tc>
          <w:tcPr>
            <w:tcW w:w="4687" w:type="dxa"/>
          </w:tcPr>
          <w:p w14:paraId="18343184" w14:textId="77777777" w:rsidR="00B35195" w:rsidRPr="00E150F6" w:rsidRDefault="00B35195" w:rsidP="004C4582">
            <w:pPr>
              <w:jc w:val="both"/>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sidRPr="00E150F6">
              <w:rPr>
                <w:rFonts w:ascii="BookAntiqua" w:hAnsi="BookAntiqua" w:cs="BookAntiqua"/>
                <w:sz w:val="20"/>
                <w:szCs w:val="20"/>
              </w:rPr>
              <w:t>To what extent do you agree with the following statement: The high cost of living makes keeping cash better than housing investment</w:t>
            </w:r>
          </w:p>
        </w:tc>
        <w:tc>
          <w:tcPr>
            <w:tcW w:w="2875" w:type="dxa"/>
          </w:tcPr>
          <w:p w14:paraId="255C6102" w14:textId="77777777" w:rsidR="00B35195" w:rsidRPr="00E150F6" w:rsidRDefault="00B35195" w:rsidP="004C4582">
            <w:pPr>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sidRPr="00E150F6">
              <w:rPr>
                <w:rFonts w:ascii="BookAntiqua" w:hAnsi="BookAntiqua" w:cs="BookAntiqua"/>
                <w:sz w:val="20"/>
                <w:szCs w:val="20"/>
              </w:rPr>
              <w:t>Agree, I don’t know/Neutral, Not agree</w:t>
            </w:r>
          </w:p>
        </w:tc>
      </w:tr>
    </w:tbl>
    <w:p w14:paraId="00359574" w14:textId="77777777" w:rsidR="00EF48AB" w:rsidRDefault="00EF48AB" w:rsidP="00EF48AB">
      <w:pPr>
        <w:jc w:val="both"/>
        <w:rPr>
          <w:rFonts w:eastAsiaTheme="minorEastAsia" w:cstheme="majorBidi"/>
          <w:b/>
          <w:bCs/>
          <w:color w:val="FF0000"/>
          <w:sz w:val="28"/>
          <w:szCs w:val="28"/>
          <w:u w:val="single"/>
        </w:rPr>
      </w:pPr>
    </w:p>
    <w:p w14:paraId="2E1790B8" w14:textId="403B84C5" w:rsidR="00EF48AB" w:rsidRDefault="00816831" w:rsidP="00816831">
      <w:pPr>
        <w:pStyle w:val="Heading2"/>
        <w:numPr>
          <w:ilvl w:val="0"/>
          <w:numId w:val="43"/>
        </w:numPr>
        <w:rPr>
          <w:rFonts w:eastAsiaTheme="majorBidi"/>
          <w:iCs/>
          <w:szCs w:val="24"/>
        </w:rPr>
      </w:pPr>
      <w:bookmarkStart w:id="59" w:name="_Toc91438055"/>
      <w:r>
        <w:t>Empirical Findings</w:t>
      </w:r>
      <w:bookmarkEnd w:id="59"/>
    </w:p>
    <w:p w14:paraId="43249BD2" w14:textId="7135BB85" w:rsidR="002D1C06" w:rsidRPr="003E47C4" w:rsidRDefault="00E61544" w:rsidP="00E00E07">
      <w:pPr>
        <w:autoSpaceDE w:val="0"/>
        <w:autoSpaceDN w:val="0"/>
        <w:adjustRightInd w:val="0"/>
        <w:spacing w:before="120" w:after="0" w:line="240" w:lineRule="auto"/>
        <w:jc w:val="both"/>
        <w:rPr>
          <w:rFonts w:eastAsiaTheme="minorEastAsia"/>
        </w:rPr>
      </w:pPr>
      <w:r>
        <w:rPr>
          <w:rFonts w:ascii="Times New Roman" w:eastAsia="Times New Roman" w:hAnsi="Times New Roman" w:cs="Times New Roman"/>
          <w:sz w:val="24"/>
          <w:szCs w:val="24"/>
        </w:rPr>
        <w:tab/>
      </w:r>
      <w:r w:rsidR="00282D2C" w:rsidRPr="003E47C4">
        <w:rPr>
          <w:rFonts w:eastAsiaTheme="minorEastAsia"/>
        </w:rPr>
        <w:t>As previously indicated, w</w:t>
      </w:r>
      <w:r w:rsidR="00CF144E" w:rsidRPr="003E47C4">
        <w:rPr>
          <w:rFonts w:eastAsiaTheme="minorEastAsia"/>
        </w:rPr>
        <w:t xml:space="preserve">e apply </w:t>
      </w:r>
      <w:r w:rsidR="00282D2C" w:rsidRPr="003E47C4">
        <w:rPr>
          <w:rFonts w:eastAsiaTheme="minorEastAsia"/>
        </w:rPr>
        <w:t>O</w:t>
      </w:r>
      <w:r w:rsidR="00CF144E" w:rsidRPr="003E47C4">
        <w:rPr>
          <w:rFonts w:eastAsiaTheme="minorEastAsia"/>
        </w:rPr>
        <w:t xml:space="preserve">rdinal </w:t>
      </w:r>
      <w:r w:rsidR="00282D2C" w:rsidRPr="003E47C4">
        <w:rPr>
          <w:rFonts w:eastAsiaTheme="minorEastAsia"/>
        </w:rPr>
        <w:t>Logistic Regression model (</w:t>
      </w:r>
      <w:r w:rsidR="00F80369" w:rsidRPr="003E47C4">
        <w:rPr>
          <w:rFonts w:eastAsiaTheme="minorEastAsia"/>
        </w:rPr>
        <w:t>Logit</w:t>
      </w:r>
      <w:r w:rsidR="00282D2C" w:rsidRPr="003E47C4">
        <w:rPr>
          <w:rFonts w:eastAsiaTheme="minorEastAsia"/>
        </w:rPr>
        <w:t xml:space="preserve">). </w:t>
      </w:r>
      <w:r w:rsidR="0066755F" w:rsidRPr="003E47C4">
        <w:rPr>
          <w:rFonts w:eastAsiaTheme="minorEastAsia"/>
        </w:rPr>
        <w:t>To make sure that our results are reliable, Ordinal Logistic Regression model (OLM) assumptions were checked</w:t>
      </w:r>
      <w:r w:rsidR="00330DF2" w:rsidRPr="003E47C4">
        <w:rPr>
          <w:rFonts w:eastAsiaTheme="minorEastAsia"/>
        </w:rPr>
        <w:t xml:space="preserve"> and verified for both models</w:t>
      </w:r>
      <w:r w:rsidR="00422194" w:rsidRPr="003E47C4">
        <w:rPr>
          <w:rStyle w:val="FootnoteReference"/>
          <w:rFonts w:eastAsiaTheme="minorEastAsia"/>
        </w:rPr>
        <w:footnoteReference w:id="15"/>
      </w:r>
      <w:r w:rsidR="0066755F" w:rsidRPr="003E47C4">
        <w:rPr>
          <w:rFonts w:eastAsiaTheme="minorEastAsia"/>
        </w:rPr>
        <w:t xml:space="preserve">. </w:t>
      </w:r>
      <w:r w:rsidR="002D1C06" w:rsidRPr="003E47C4">
        <w:rPr>
          <w:rStyle w:val="A10"/>
          <w:rFonts w:cstheme="majorBidi"/>
          <w:sz w:val="22"/>
          <w:szCs w:val="22"/>
        </w:rPr>
        <w:t xml:space="preserve">As established in literature (e.g. Akın &amp; Şentürk (2012) and Garson (2012) parameter interpretation of the </w:t>
      </w:r>
      <w:r w:rsidR="00934D61" w:rsidRPr="003E47C4">
        <w:rPr>
          <w:rStyle w:val="A10"/>
          <w:rFonts w:cstheme="majorBidi"/>
          <w:sz w:val="22"/>
          <w:szCs w:val="22"/>
        </w:rPr>
        <w:t>O</w:t>
      </w:r>
      <w:r w:rsidR="002D1C06" w:rsidRPr="003E47C4">
        <w:rPr>
          <w:rStyle w:val="A10"/>
          <w:rFonts w:cstheme="majorBidi"/>
          <w:sz w:val="22"/>
          <w:szCs w:val="22"/>
        </w:rPr>
        <w:t xml:space="preserve">rdinal </w:t>
      </w:r>
      <w:r w:rsidR="00934D61" w:rsidRPr="003E47C4">
        <w:rPr>
          <w:rStyle w:val="A10"/>
          <w:rFonts w:cstheme="majorBidi"/>
          <w:sz w:val="22"/>
          <w:szCs w:val="22"/>
        </w:rPr>
        <w:t>L</w:t>
      </w:r>
      <w:r w:rsidR="002D1C06" w:rsidRPr="003E47C4">
        <w:rPr>
          <w:rStyle w:val="A10"/>
          <w:rFonts w:cstheme="majorBidi"/>
          <w:sz w:val="22"/>
          <w:szCs w:val="22"/>
        </w:rPr>
        <w:t xml:space="preserve">ogistic regressions is different and more complex than </w:t>
      </w:r>
      <w:r w:rsidR="00934D61" w:rsidRPr="003E47C4">
        <w:rPr>
          <w:rStyle w:val="A10"/>
          <w:rFonts w:cstheme="majorBidi"/>
          <w:sz w:val="22"/>
          <w:szCs w:val="22"/>
        </w:rPr>
        <w:t>B</w:t>
      </w:r>
      <w:r w:rsidR="002D1C06" w:rsidRPr="003E47C4">
        <w:rPr>
          <w:rStyle w:val="A10"/>
          <w:rFonts w:cstheme="majorBidi"/>
          <w:sz w:val="22"/>
          <w:szCs w:val="22"/>
        </w:rPr>
        <w:t xml:space="preserve">inary and </w:t>
      </w:r>
      <w:r w:rsidR="00934D61" w:rsidRPr="003E47C4">
        <w:rPr>
          <w:rStyle w:val="A10"/>
          <w:rFonts w:cstheme="majorBidi"/>
          <w:sz w:val="22"/>
          <w:szCs w:val="22"/>
        </w:rPr>
        <w:t>M</w:t>
      </w:r>
      <w:r w:rsidR="002D1C06" w:rsidRPr="003E47C4">
        <w:rPr>
          <w:rStyle w:val="A10"/>
          <w:rFonts w:cstheme="majorBidi"/>
          <w:sz w:val="22"/>
          <w:szCs w:val="22"/>
        </w:rPr>
        <w:t xml:space="preserve">ultinomial </w:t>
      </w:r>
      <w:r w:rsidR="00934D61" w:rsidRPr="003E47C4">
        <w:rPr>
          <w:rStyle w:val="A10"/>
          <w:rFonts w:cstheme="majorBidi"/>
          <w:sz w:val="22"/>
          <w:szCs w:val="22"/>
        </w:rPr>
        <w:t>L</w:t>
      </w:r>
      <w:r w:rsidR="002D1C06" w:rsidRPr="003E47C4">
        <w:rPr>
          <w:rStyle w:val="A10"/>
          <w:rFonts w:cstheme="majorBidi"/>
          <w:sz w:val="22"/>
          <w:szCs w:val="22"/>
        </w:rPr>
        <w:t>ogistic regression analysis</w:t>
      </w:r>
      <w:r w:rsidR="00934D61" w:rsidRPr="003E47C4">
        <w:rPr>
          <w:rStyle w:val="A10"/>
          <w:rFonts w:cstheme="majorBidi"/>
          <w:sz w:val="22"/>
          <w:szCs w:val="22"/>
        </w:rPr>
        <w:t>.</w:t>
      </w:r>
      <w:r w:rsidR="00BB6EB7" w:rsidRPr="003E47C4">
        <w:rPr>
          <w:rStyle w:val="A10"/>
          <w:rFonts w:cstheme="majorBidi"/>
          <w:sz w:val="22"/>
          <w:szCs w:val="22"/>
        </w:rPr>
        <w:t xml:space="preserve"> It requires both the identification of a reference category as well as </w:t>
      </w:r>
      <w:r w:rsidR="006704BA" w:rsidRPr="003E47C4">
        <w:rPr>
          <w:rStyle w:val="A10"/>
          <w:rFonts w:cstheme="majorBidi"/>
          <w:sz w:val="22"/>
          <w:szCs w:val="22"/>
        </w:rPr>
        <w:t>deriving and interpreting</w:t>
      </w:r>
      <w:r w:rsidR="002D1C06" w:rsidRPr="003E47C4">
        <w:rPr>
          <w:rStyle w:val="A10"/>
          <w:rFonts w:cstheme="majorBidi"/>
          <w:sz w:val="22"/>
          <w:szCs w:val="22"/>
        </w:rPr>
        <w:t xml:space="preserve"> exponential</w:t>
      </w:r>
      <w:r w:rsidR="006704BA" w:rsidRPr="003E47C4">
        <w:rPr>
          <w:rStyle w:val="A10"/>
          <w:rFonts w:cstheme="majorBidi"/>
          <w:sz w:val="22"/>
          <w:szCs w:val="22"/>
        </w:rPr>
        <w:t xml:space="preserve"> of</w:t>
      </w:r>
      <w:r w:rsidR="002D1C06" w:rsidRPr="003E47C4">
        <w:rPr>
          <w:rStyle w:val="A10"/>
          <w:rFonts w:cstheme="majorBidi"/>
          <w:sz w:val="22"/>
          <w:szCs w:val="22"/>
        </w:rPr>
        <w:t xml:space="preserve"> estimated</w:t>
      </w:r>
      <w:r w:rsidR="006704BA" w:rsidRPr="003E47C4">
        <w:rPr>
          <w:rStyle w:val="A10"/>
          <w:rFonts w:cstheme="majorBidi"/>
          <w:sz w:val="22"/>
          <w:szCs w:val="22"/>
        </w:rPr>
        <w:t xml:space="preserve">. In the below models, we define a </w:t>
      </w:r>
      <w:r w:rsidR="002D1C06" w:rsidRPr="003E47C4">
        <w:rPr>
          <w:rStyle w:val="A10"/>
          <w:rFonts w:cstheme="majorBidi"/>
          <w:sz w:val="22"/>
          <w:szCs w:val="22"/>
        </w:rPr>
        <w:t xml:space="preserve">reference category </w:t>
      </w:r>
      <w:r w:rsidR="006704BA" w:rsidRPr="003E47C4">
        <w:rPr>
          <w:rStyle w:val="A10"/>
          <w:rFonts w:cstheme="majorBidi"/>
          <w:sz w:val="22"/>
          <w:szCs w:val="22"/>
        </w:rPr>
        <w:t xml:space="preserve">for each variable and interpret according to the known </w:t>
      </w:r>
      <w:r w:rsidR="004213B7" w:rsidRPr="003E47C4">
        <w:rPr>
          <w:rStyle w:val="A10"/>
          <w:rFonts w:cstheme="majorBidi"/>
          <w:sz w:val="22"/>
          <w:szCs w:val="22"/>
        </w:rPr>
        <w:t>‘</w:t>
      </w:r>
      <w:r w:rsidR="002D1C06" w:rsidRPr="003E47C4">
        <w:rPr>
          <w:rStyle w:val="A10"/>
          <w:rFonts w:cstheme="majorBidi"/>
          <w:sz w:val="22"/>
          <w:szCs w:val="22"/>
        </w:rPr>
        <w:t xml:space="preserve">interpretation </w:t>
      </w:r>
      <w:r w:rsidR="003E47C4">
        <w:rPr>
          <w:rStyle w:val="A10"/>
          <w:rFonts w:cstheme="majorBidi"/>
          <w:sz w:val="22"/>
          <w:szCs w:val="22"/>
        </w:rPr>
        <w:t>O</w:t>
      </w:r>
      <w:r w:rsidR="002D1C06" w:rsidRPr="003E47C4">
        <w:rPr>
          <w:rStyle w:val="A10"/>
          <w:rFonts w:cstheme="majorBidi"/>
          <w:sz w:val="22"/>
          <w:szCs w:val="22"/>
        </w:rPr>
        <w:t xml:space="preserve">dds </w:t>
      </w:r>
      <w:r w:rsidR="003E47C4">
        <w:rPr>
          <w:rStyle w:val="A10"/>
          <w:rFonts w:cstheme="majorBidi"/>
          <w:sz w:val="22"/>
          <w:szCs w:val="22"/>
        </w:rPr>
        <w:t>Ra</w:t>
      </w:r>
      <w:r w:rsidR="002D1C06" w:rsidRPr="003E47C4">
        <w:rPr>
          <w:rStyle w:val="A10"/>
          <w:rFonts w:cstheme="majorBidi"/>
          <w:sz w:val="22"/>
          <w:szCs w:val="22"/>
        </w:rPr>
        <w:t>tio</w:t>
      </w:r>
      <w:r w:rsidR="004213B7" w:rsidRPr="003E47C4">
        <w:rPr>
          <w:rStyle w:val="A10"/>
          <w:rFonts w:cstheme="majorBidi"/>
          <w:sz w:val="22"/>
          <w:szCs w:val="22"/>
        </w:rPr>
        <w:t>’ method</w:t>
      </w:r>
      <w:r w:rsidR="00E00E07" w:rsidRPr="003E47C4">
        <w:rPr>
          <w:rStyle w:val="A10"/>
          <w:rFonts w:cstheme="majorBidi"/>
          <w:sz w:val="22"/>
          <w:szCs w:val="22"/>
        </w:rPr>
        <w:t xml:space="preserve"> as explained in </w:t>
      </w:r>
      <w:r w:rsidR="002D1C06" w:rsidRPr="003E47C4">
        <w:rPr>
          <w:rStyle w:val="A10"/>
          <w:rFonts w:cstheme="majorBidi"/>
          <w:sz w:val="22"/>
          <w:szCs w:val="22"/>
        </w:rPr>
        <w:t>Field (2009)</w:t>
      </w:r>
      <w:r w:rsidR="00E00E07" w:rsidRPr="003E47C4">
        <w:rPr>
          <w:rStyle w:val="FootnoteReference"/>
          <w:rFonts w:cstheme="majorBidi"/>
          <w:color w:val="000000"/>
        </w:rPr>
        <w:footnoteReference w:id="16"/>
      </w:r>
      <w:r w:rsidR="00E00E07" w:rsidRPr="003E47C4">
        <w:rPr>
          <w:rStyle w:val="A10"/>
          <w:rFonts w:cstheme="majorBidi"/>
          <w:sz w:val="22"/>
          <w:szCs w:val="22"/>
        </w:rPr>
        <w:t xml:space="preserve">. </w:t>
      </w:r>
    </w:p>
    <w:p w14:paraId="4E846B63" w14:textId="1916B05A" w:rsidR="00EC63BF" w:rsidRPr="003E47C4" w:rsidRDefault="00EC63BF" w:rsidP="003F35D5">
      <w:pPr>
        <w:autoSpaceDE w:val="0"/>
        <w:autoSpaceDN w:val="0"/>
        <w:adjustRightInd w:val="0"/>
        <w:spacing w:before="120" w:after="0" w:line="240" w:lineRule="auto"/>
        <w:ind w:firstLine="360"/>
        <w:jc w:val="both"/>
        <w:rPr>
          <w:rFonts w:ascii="Times New Roman" w:hAnsi="Times New Roman" w:cs="Times New Roman"/>
        </w:rPr>
      </w:pPr>
      <w:r w:rsidRPr="003E47C4">
        <w:rPr>
          <w:rFonts w:cstheme="majorBidi"/>
        </w:rPr>
        <w:t>To interpret the empirical models, it is worth noting that the reference category is the ‘important’/ ‘effective’ category. This means that, the smaller the value of exponential ß, the higher the effect of the independent variable on dependent variable. In other words, small values of the exponential coefficients indicate that they are less likely to be ‘not important’, hence implying a strong perceived impact on the housing prices.</w:t>
      </w:r>
      <w:r w:rsidR="00E50D40" w:rsidRPr="003E47C4">
        <w:rPr>
          <w:rFonts w:cstheme="majorBidi"/>
        </w:rPr>
        <w:t xml:space="preserve"> </w:t>
      </w:r>
    </w:p>
    <w:p w14:paraId="43ECF38D" w14:textId="4688E900" w:rsidR="00EF48AB" w:rsidRPr="003E47C4" w:rsidRDefault="00EC2A9C" w:rsidP="00CF6A97">
      <w:pPr>
        <w:autoSpaceDE w:val="0"/>
        <w:autoSpaceDN w:val="0"/>
        <w:adjustRightInd w:val="0"/>
        <w:spacing w:before="120" w:after="0" w:line="240" w:lineRule="auto"/>
        <w:ind w:firstLine="360"/>
        <w:jc w:val="both"/>
        <w:rPr>
          <w:rFonts w:cstheme="majorBidi"/>
        </w:rPr>
      </w:pPr>
      <w:r w:rsidRPr="003E47C4">
        <w:rPr>
          <w:rFonts w:cstheme="majorBidi"/>
        </w:rPr>
        <w:t>Empirical findings</w:t>
      </w:r>
      <w:r w:rsidR="00EF48AB" w:rsidRPr="003E47C4">
        <w:rPr>
          <w:rFonts w:cstheme="majorBidi"/>
        </w:rPr>
        <w:t xml:space="preserve"> presented in table </w:t>
      </w:r>
      <w:r w:rsidR="002E6129" w:rsidRPr="003E47C4">
        <w:rPr>
          <w:rFonts w:cstheme="majorBidi"/>
        </w:rPr>
        <w:t>(</w:t>
      </w:r>
      <w:r w:rsidRPr="003E47C4">
        <w:rPr>
          <w:rFonts w:cstheme="majorBidi"/>
        </w:rPr>
        <w:t>19</w:t>
      </w:r>
      <w:r w:rsidR="002E6129" w:rsidRPr="003E47C4">
        <w:rPr>
          <w:rFonts w:cstheme="majorBidi"/>
        </w:rPr>
        <w:t>)</w:t>
      </w:r>
      <w:r w:rsidR="00EF48AB" w:rsidRPr="003E47C4">
        <w:rPr>
          <w:rFonts w:cstheme="majorBidi"/>
        </w:rPr>
        <w:t xml:space="preserve"> show that COVID-19</w:t>
      </w:r>
      <w:r w:rsidR="0096478F" w:rsidRPr="003E47C4">
        <w:rPr>
          <w:rFonts w:cstheme="majorBidi"/>
        </w:rPr>
        <w:t xml:space="preserve"> shock</w:t>
      </w:r>
      <w:r w:rsidR="00EF48AB" w:rsidRPr="003E47C4">
        <w:rPr>
          <w:rFonts w:cstheme="majorBidi"/>
        </w:rPr>
        <w:t xml:space="preserve">, </w:t>
      </w:r>
      <w:r w:rsidR="0082096D" w:rsidRPr="003E47C4">
        <w:rPr>
          <w:rFonts w:cstheme="majorBidi"/>
        </w:rPr>
        <w:t>L</w:t>
      </w:r>
      <w:r w:rsidR="00EF48AB" w:rsidRPr="003E47C4">
        <w:rPr>
          <w:rFonts w:cstheme="majorBidi"/>
        </w:rPr>
        <w:t xml:space="preserve">and </w:t>
      </w:r>
      <w:r w:rsidR="0082096D" w:rsidRPr="003E47C4">
        <w:rPr>
          <w:rFonts w:cstheme="majorBidi"/>
        </w:rPr>
        <w:t>C</w:t>
      </w:r>
      <w:r w:rsidR="00EF48AB" w:rsidRPr="003E47C4">
        <w:rPr>
          <w:rFonts w:cstheme="majorBidi"/>
        </w:rPr>
        <w:t>ost</w:t>
      </w:r>
      <w:r w:rsidR="0082096D" w:rsidRPr="003E47C4">
        <w:rPr>
          <w:rFonts w:cstheme="majorBidi"/>
        </w:rPr>
        <w:t>s</w:t>
      </w:r>
      <w:r w:rsidR="00EF48AB" w:rsidRPr="003E47C4">
        <w:rPr>
          <w:rFonts w:cstheme="majorBidi"/>
        </w:rPr>
        <w:t xml:space="preserve">, </w:t>
      </w:r>
      <w:r w:rsidR="0082096D" w:rsidRPr="003E47C4">
        <w:rPr>
          <w:rFonts w:cstheme="majorBidi"/>
        </w:rPr>
        <w:t>C</w:t>
      </w:r>
      <w:r w:rsidR="00EF48AB" w:rsidRPr="003E47C4">
        <w:rPr>
          <w:rFonts w:cstheme="majorBidi"/>
        </w:rPr>
        <w:t xml:space="preserve">hanging </w:t>
      </w:r>
      <w:r w:rsidR="0082096D" w:rsidRPr="003E47C4">
        <w:rPr>
          <w:rFonts w:cstheme="majorBidi"/>
        </w:rPr>
        <w:t>H</w:t>
      </w:r>
      <w:r w:rsidR="00EF48AB" w:rsidRPr="003E47C4">
        <w:rPr>
          <w:rFonts w:cstheme="majorBidi"/>
        </w:rPr>
        <w:t xml:space="preserve">ousing </w:t>
      </w:r>
      <w:r w:rsidR="0082096D" w:rsidRPr="003E47C4">
        <w:rPr>
          <w:rFonts w:cstheme="majorBidi"/>
        </w:rPr>
        <w:t>P</w:t>
      </w:r>
      <w:r w:rsidR="00EF48AB" w:rsidRPr="003E47C4">
        <w:rPr>
          <w:rFonts w:cstheme="majorBidi"/>
        </w:rPr>
        <w:t xml:space="preserve">ermits and </w:t>
      </w:r>
      <w:r w:rsidR="00175679" w:rsidRPr="003E47C4">
        <w:rPr>
          <w:rFonts w:cstheme="majorBidi"/>
        </w:rPr>
        <w:t>Banking Preferences</w:t>
      </w:r>
      <w:r w:rsidR="00EF48AB" w:rsidRPr="003E47C4">
        <w:rPr>
          <w:rFonts w:cstheme="majorBidi"/>
        </w:rPr>
        <w:t xml:space="preserve"> </w:t>
      </w:r>
      <w:r w:rsidR="004D6732" w:rsidRPr="003E47C4">
        <w:rPr>
          <w:rFonts w:cstheme="majorBidi"/>
        </w:rPr>
        <w:t>are significant</w:t>
      </w:r>
      <w:r w:rsidR="003C0A97" w:rsidRPr="003E47C4">
        <w:rPr>
          <w:rFonts w:cstheme="majorBidi"/>
        </w:rPr>
        <w:t>.</w:t>
      </w:r>
      <w:r w:rsidR="00EF48AB" w:rsidRPr="003E47C4">
        <w:rPr>
          <w:rFonts w:cstheme="majorBidi"/>
        </w:rPr>
        <w:t xml:space="preserve"> </w:t>
      </w:r>
      <w:r w:rsidR="0079420F" w:rsidRPr="003E47C4">
        <w:rPr>
          <w:rFonts w:cstheme="majorBidi"/>
        </w:rPr>
        <w:t xml:space="preserve">On the contrary, other </w:t>
      </w:r>
      <w:r w:rsidR="00200CDA" w:rsidRPr="003E47C4">
        <w:rPr>
          <w:rFonts w:cstheme="majorBidi"/>
        </w:rPr>
        <w:t>variables</w:t>
      </w:r>
      <w:r w:rsidR="00A64B85" w:rsidRPr="003E47C4">
        <w:rPr>
          <w:rFonts w:cstheme="majorBidi"/>
        </w:rPr>
        <w:t xml:space="preserve">, such as </w:t>
      </w:r>
      <w:r w:rsidR="00200CDA" w:rsidRPr="003E47C4">
        <w:rPr>
          <w:rFonts w:cstheme="majorBidi"/>
        </w:rPr>
        <w:t>I</w:t>
      </w:r>
      <w:r w:rsidR="00EF48AB" w:rsidRPr="003E47C4">
        <w:rPr>
          <w:rFonts w:cstheme="majorBidi"/>
        </w:rPr>
        <w:t xml:space="preserve">nflation, </w:t>
      </w:r>
      <w:r w:rsidR="00200CDA" w:rsidRPr="003E47C4">
        <w:rPr>
          <w:rFonts w:cstheme="majorBidi"/>
        </w:rPr>
        <w:t>Economic Reform</w:t>
      </w:r>
      <w:r w:rsidR="00EF48AB" w:rsidRPr="003E47C4">
        <w:rPr>
          <w:rFonts w:cstheme="majorBidi"/>
        </w:rPr>
        <w:t xml:space="preserve">, </w:t>
      </w:r>
      <w:r w:rsidR="00200CDA" w:rsidRPr="003E47C4">
        <w:rPr>
          <w:rFonts w:cstheme="majorBidi"/>
        </w:rPr>
        <w:t>State</w:t>
      </w:r>
      <w:r w:rsidR="00EF48AB" w:rsidRPr="003E47C4">
        <w:rPr>
          <w:rFonts w:cstheme="majorBidi"/>
        </w:rPr>
        <w:t xml:space="preserve"> </w:t>
      </w:r>
      <w:r w:rsidR="00200CDA" w:rsidRPr="003E47C4">
        <w:rPr>
          <w:rFonts w:cstheme="majorBidi"/>
        </w:rPr>
        <w:t>P</w:t>
      </w:r>
      <w:r w:rsidR="00EF48AB" w:rsidRPr="003E47C4">
        <w:rPr>
          <w:rFonts w:cstheme="majorBidi"/>
        </w:rPr>
        <w:t xml:space="preserve">rojects and </w:t>
      </w:r>
      <w:r w:rsidR="00200CDA" w:rsidRPr="003E47C4">
        <w:rPr>
          <w:rFonts w:cstheme="majorBidi"/>
        </w:rPr>
        <w:t>Exchange Rate Devaluation were insigni</w:t>
      </w:r>
      <w:r w:rsidR="00651995" w:rsidRPr="003E47C4">
        <w:rPr>
          <w:rFonts w:cstheme="majorBidi"/>
        </w:rPr>
        <w:t>ficant</w:t>
      </w:r>
      <w:r w:rsidR="00EF48AB" w:rsidRPr="003E47C4">
        <w:rPr>
          <w:rFonts w:cstheme="majorBidi"/>
        </w:rPr>
        <w:t>.</w:t>
      </w:r>
    </w:p>
    <w:p w14:paraId="1B71C8B5" w14:textId="77777777" w:rsidR="00EF48AB" w:rsidRPr="003E47C4" w:rsidRDefault="00EF48AB" w:rsidP="00EF48AB">
      <w:pPr>
        <w:jc w:val="both"/>
        <w:rPr>
          <w:rFonts w:cstheme="majorBidi"/>
        </w:rPr>
      </w:pPr>
    </w:p>
    <w:p w14:paraId="3578E4D2" w14:textId="77777777" w:rsidR="00B44A0C" w:rsidRPr="008B5C8D" w:rsidRDefault="00B44A0C" w:rsidP="00B44A0C">
      <w:pPr>
        <w:jc w:val="both"/>
        <w:rPr>
          <w:rFonts w:eastAsiaTheme="minorEastAsia" w:cstheme="majorBidi"/>
          <w:b/>
          <w:bCs/>
        </w:rPr>
      </w:pPr>
      <w:r w:rsidRPr="008B5C8D">
        <w:rPr>
          <w:rFonts w:eastAsiaTheme="minorEastAsia" w:cstheme="majorBidi"/>
          <w:b/>
          <w:bCs/>
        </w:rPr>
        <w:t>Model (1): The Developers and Brokers Survey-LOGIT Equation</w:t>
      </w:r>
    </w:p>
    <w:p w14:paraId="79EF1AD0" w14:textId="77777777" w:rsidR="00B44A0C" w:rsidRPr="001548BC" w:rsidRDefault="00B44A0C" w:rsidP="00B44A0C">
      <w:pPr>
        <w:rPr>
          <w:rFonts w:eastAsiaTheme="minorEastAsia" w:cstheme="majorBidi"/>
        </w:rPr>
      </w:pPr>
      <m:oMath>
        <m:r>
          <w:rPr>
            <w:rFonts w:ascii="Cambria Math" w:hAnsi="Cambria Math" w:cstheme="majorBidi"/>
          </w:rPr>
          <m:t>logit</m:t>
        </m:r>
        <m:d>
          <m:dPr>
            <m:ctrlPr>
              <w:rPr>
                <w:rFonts w:ascii="Cambria Math" w:hAnsi="Cambria Math" w:cstheme="majorBidi"/>
                <w:i/>
              </w:rPr>
            </m:ctrlPr>
          </m:dPr>
          <m:e>
            <m:r>
              <w:rPr>
                <w:rFonts w:ascii="Cambria Math" w:hAnsi="Cambria Math" w:cstheme="majorBidi"/>
              </w:rPr>
              <m:t>Low prices</m:t>
            </m:r>
          </m:e>
        </m:d>
        <m:r>
          <w:rPr>
            <w:rFonts w:ascii="Cambria Math" w:hAnsi="Cambria Math" w:cstheme="majorBidi"/>
          </w:rPr>
          <m:t>=</m:t>
        </m:r>
        <m:r>
          <m:rPr>
            <m:sty m:val="p"/>
          </m:rPr>
          <w:rPr>
            <w:rFonts w:ascii="Cambria Math" w:eastAsiaTheme="minorEastAsia" w:hAnsi="Cambria Math" w:cstheme="majorBidi"/>
          </w:rPr>
          <m:t>-0.534-1.297</m:t>
        </m:r>
      </m:oMath>
      <w:r w:rsidRPr="001548BC">
        <w:rPr>
          <w:rFonts w:eastAsiaTheme="minorEastAsia" w:cstheme="majorBidi"/>
        </w:rPr>
        <w:t xml:space="preserve">*Cost of </w:t>
      </w:r>
      <w:r>
        <w:rPr>
          <w:rFonts w:eastAsiaTheme="minorEastAsia" w:cstheme="majorBidi"/>
        </w:rPr>
        <w:t>L</w:t>
      </w:r>
      <w:r w:rsidRPr="001548BC">
        <w:rPr>
          <w:rFonts w:eastAsiaTheme="minorEastAsia" w:cstheme="majorBidi"/>
        </w:rPr>
        <w:t>and is not important – 0.260 *Cost of land is neutral</w:t>
      </w:r>
    </w:p>
    <w:p w14:paraId="64E48530" w14:textId="77777777" w:rsidR="00B44A0C" w:rsidRDefault="00B44A0C" w:rsidP="00B44A0C">
      <w:pPr>
        <w:pStyle w:val="ListParagraph"/>
        <w:ind w:left="1600"/>
        <w:rPr>
          <w:rFonts w:eastAsiaTheme="minorEastAsia" w:cstheme="majorBidi"/>
        </w:rPr>
      </w:pPr>
      <m:oMath>
        <m:r>
          <m:rPr>
            <m:sty m:val="p"/>
          </m:rPr>
          <w:rPr>
            <w:rFonts w:ascii="Cambria Math" w:eastAsiaTheme="minorEastAsia" w:hAnsi="Cambria Math" w:cstheme="majorBidi"/>
          </w:rPr>
          <m:t>-0.655</m:t>
        </m:r>
      </m:oMath>
      <w:r w:rsidRPr="001548BC">
        <w:rPr>
          <w:rFonts w:eastAsiaTheme="minorEastAsia" w:cstheme="majorBidi"/>
        </w:rPr>
        <w:t xml:space="preserve">*Changing housing permits policies </w:t>
      </w:r>
      <w:r>
        <w:rPr>
          <w:rFonts w:eastAsiaTheme="minorEastAsia" w:cstheme="majorBidi"/>
        </w:rPr>
        <w:t>has positive effect</w:t>
      </w:r>
      <w:r w:rsidRPr="001548BC">
        <w:rPr>
          <w:rFonts w:eastAsiaTheme="minorEastAsia" w:cstheme="majorBidi"/>
        </w:rPr>
        <w:t>+ 0.353*</w:t>
      </w:r>
      <w:r>
        <w:rPr>
          <w:rFonts w:eastAsiaTheme="minorEastAsia" w:cstheme="majorBidi"/>
        </w:rPr>
        <w:t>A</w:t>
      </w:r>
      <w:r w:rsidRPr="001548BC">
        <w:rPr>
          <w:rFonts w:eastAsiaTheme="minorEastAsia" w:cstheme="majorBidi"/>
        </w:rPr>
        <w:t xml:space="preserve">dministrative </w:t>
      </w:r>
      <w:r>
        <w:rPr>
          <w:rFonts w:eastAsiaTheme="minorEastAsia" w:cstheme="majorBidi"/>
        </w:rPr>
        <w:t xml:space="preserve">  </w:t>
      </w:r>
      <w:r w:rsidRPr="001548BC">
        <w:rPr>
          <w:rFonts w:eastAsiaTheme="minorEastAsia" w:cstheme="majorBidi"/>
        </w:rPr>
        <w:t xml:space="preserve">and </w:t>
      </w:r>
      <w:r>
        <w:rPr>
          <w:rFonts w:eastAsiaTheme="minorEastAsia" w:cstheme="majorBidi"/>
        </w:rPr>
        <w:t>F</w:t>
      </w:r>
      <w:r w:rsidRPr="001548BC">
        <w:rPr>
          <w:rFonts w:eastAsiaTheme="minorEastAsia" w:cstheme="majorBidi"/>
        </w:rPr>
        <w:t>inancial reasons</w:t>
      </w:r>
      <w:r>
        <w:rPr>
          <w:rFonts w:eastAsiaTheme="minorEastAsia" w:cstheme="majorBidi"/>
        </w:rPr>
        <w:t xml:space="preserve"> – 0.502*COVID-19 has positive effect</w:t>
      </w:r>
    </w:p>
    <w:p w14:paraId="14D55380" w14:textId="77777777" w:rsidR="00B44A0C" w:rsidRPr="001548BC" w:rsidRDefault="00B44A0C" w:rsidP="00B44A0C">
      <w:pPr>
        <w:rPr>
          <w:rFonts w:eastAsiaTheme="minorEastAsia" w:cstheme="majorBidi"/>
        </w:rPr>
      </w:pPr>
      <m:oMath>
        <m:r>
          <w:rPr>
            <w:rFonts w:ascii="Cambria Math" w:hAnsi="Cambria Math" w:cstheme="majorBidi"/>
          </w:rPr>
          <m:t>logit</m:t>
        </m:r>
        <m:d>
          <m:dPr>
            <m:ctrlPr>
              <w:rPr>
                <w:rFonts w:ascii="Cambria Math" w:hAnsi="Cambria Math" w:cstheme="majorBidi"/>
                <w:i/>
              </w:rPr>
            </m:ctrlPr>
          </m:dPr>
          <m:e>
            <m:r>
              <w:rPr>
                <w:rFonts w:ascii="Cambria Math" w:hAnsi="Cambria Math" w:cstheme="majorBidi"/>
              </w:rPr>
              <m:t>Medium prices</m:t>
            </m:r>
          </m:e>
        </m:d>
        <m:r>
          <w:rPr>
            <w:rFonts w:ascii="Cambria Math" w:hAnsi="Cambria Math" w:cstheme="majorBidi"/>
          </w:rPr>
          <m:t>=</m:t>
        </m:r>
        <m:r>
          <m:rPr>
            <m:sty m:val="p"/>
          </m:rPr>
          <w:rPr>
            <w:rFonts w:ascii="Cambria Math" w:eastAsiaTheme="minorEastAsia" w:hAnsi="Cambria Math" w:cstheme="majorBidi"/>
          </w:rPr>
          <m:t>1.121-1.297</m:t>
        </m:r>
      </m:oMath>
      <w:r w:rsidRPr="001548BC">
        <w:rPr>
          <w:rFonts w:eastAsiaTheme="minorEastAsia" w:cstheme="majorBidi"/>
        </w:rPr>
        <w:t xml:space="preserve">*Cost of </w:t>
      </w:r>
      <w:r>
        <w:rPr>
          <w:rFonts w:eastAsiaTheme="minorEastAsia" w:cstheme="majorBidi"/>
        </w:rPr>
        <w:t>L</w:t>
      </w:r>
      <w:r w:rsidRPr="001548BC">
        <w:rPr>
          <w:rFonts w:eastAsiaTheme="minorEastAsia" w:cstheme="majorBidi"/>
        </w:rPr>
        <w:t xml:space="preserve">and is not important – 0.260 *Cost of </w:t>
      </w:r>
      <w:r>
        <w:rPr>
          <w:rFonts w:eastAsiaTheme="minorEastAsia" w:cstheme="majorBidi"/>
        </w:rPr>
        <w:t>L</w:t>
      </w:r>
      <w:r w:rsidRPr="001548BC">
        <w:rPr>
          <w:rFonts w:eastAsiaTheme="minorEastAsia" w:cstheme="majorBidi"/>
        </w:rPr>
        <w:t>and is neutral</w:t>
      </w:r>
    </w:p>
    <w:p w14:paraId="56F117CF" w14:textId="268CFEA9" w:rsidR="00B44A0C" w:rsidRDefault="00B44A0C" w:rsidP="00B44A0C">
      <w:pPr>
        <w:pStyle w:val="ListParagraph"/>
        <w:ind w:left="1600"/>
        <w:rPr>
          <w:rFonts w:eastAsiaTheme="minorEastAsia" w:cstheme="majorBidi"/>
        </w:rPr>
      </w:pPr>
      <m:oMath>
        <m:r>
          <m:rPr>
            <m:sty m:val="p"/>
          </m:rPr>
          <w:rPr>
            <w:rFonts w:ascii="Cambria Math" w:eastAsiaTheme="minorEastAsia" w:hAnsi="Cambria Math" w:cstheme="majorBidi"/>
          </w:rPr>
          <m:t>-0.655</m:t>
        </m:r>
      </m:oMath>
      <w:r w:rsidRPr="001548BC">
        <w:rPr>
          <w:rFonts w:eastAsiaTheme="minorEastAsia" w:cstheme="majorBidi"/>
        </w:rPr>
        <w:t>*</w:t>
      </w:r>
      <w:r w:rsidR="00414FD8" w:rsidRPr="31535F23">
        <w:rPr>
          <w:rFonts w:eastAsiaTheme="minorEastAsia" w:cstheme="majorBidi"/>
        </w:rPr>
        <w:t>Changing</w:t>
      </w:r>
      <w:r w:rsidRPr="001548BC">
        <w:rPr>
          <w:rFonts w:eastAsiaTheme="minorEastAsia" w:cstheme="majorBidi"/>
        </w:rPr>
        <w:t xml:space="preserve"> housing permits policies </w:t>
      </w:r>
      <w:r>
        <w:rPr>
          <w:rFonts w:eastAsiaTheme="minorEastAsia" w:cstheme="majorBidi"/>
        </w:rPr>
        <w:t>has positive effect</w:t>
      </w:r>
      <w:r w:rsidRPr="001548BC">
        <w:rPr>
          <w:rFonts w:eastAsiaTheme="minorEastAsia" w:cstheme="majorBidi"/>
        </w:rPr>
        <w:t xml:space="preserve">+ 0.353*administrative </w:t>
      </w:r>
      <w:r>
        <w:rPr>
          <w:rFonts w:eastAsiaTheme="minorEastAsia" w:cstheme="majorBidi"/>
        </w:rPr>
        <w:t xml:space="preserve">  </w:t>
      </w:r>
      <w:r w:rsidRPr="001548BC">
        <w:rPr>
          <w:rFonts w:eastAsiaTheme="minorEastAsia" w:cstheme="majorBidi"/>
        </w:rPr>
        <w:t xml:space="preserve">and </w:t>
      </w:r>
      <w:r w:rsidR="09F4892C" w:rsidRPr="31535F23">
        <w:rPr>
          <w:rFonts w:eastAsiaTheme="minorEastAsia" w:cstheme="majorBidi"/>
        </w:rPr>
        <w:t>financial</w:t>
      </w:r>
      <w:r w:rsidRPr="001548BC">
        <w:rPr>
          <w:rFonts w:eastAsiaTheme="minorEastAsia" w:cstheme="majorBidi"/>
        </w:rPr>
        <w:t xml:space="preserve"> reasons</w:t>
      </w:r>
      <w:r>
        <w:rPr>
          <w:rFonts w:eastAsiaTheme="minorEastAsia" w:cstheme="majorBidi"/>
        </w:rPr>
        <w:t xml:space="preserve"> – 0.502*COVID-19 has positive effect</w:t>
      </w:r>
    </w:p>
    <w:p w14:paraId="6A0A2983" w14:textId="77777777" w:rsidR="008B5C8D" w:rsidRDefault="008B5C8D" w:rsidP="008B5C8D">
      <w:pPr>
        <w:autoSpaceDE w:val="0"/>
        <w:autoSpaceDN w:val="0"/>
        <w:adjustRightInd w:val="0"/>
        <w:rPr>
          <w:rFonts w:cstheme="majorBidi"/>
          <w:b/>
          <w:bCs/>
        </w:rPr>
      </w:pPr>
      <w:r w:rsidRPr="00D01940">
        <w:rPr>
          <w:rFonts w:cstheme="majorBidi"/>
          <w:b/>
          <w:bCs/>
        </w:rPr>
        <w:t>Table 19: Ordinal logit model estimation results for developers (dependent variable is housing price index)</w:t>
      </w:r>
    </w:p>
    <w:tbl>
      <w:tblPr>
        <w:tblStyle w:val="PlainTable5"/>
        <w:tblW w:w="8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2779"/>
        <w:gridCol w:w="3350"/>
      </w:tblGrid>
      <w:tr w:rsidR="005D336C" w14:paraId="376416CB" w14:textId="77777777" w:rsidTr="2AE4F4DE">
        <w:trPr>
          <w:cnfStyle w:val="100000000000" w:firstRow="1" w:lastRow="0" w:firstColumn="0" w:lastColumn="0" w:oddVBand="0" w:evenVBand="0" w:oddHBand="0" w:evenHBand="0" w:firstRowFirstColumn="0" w:firstRowLastColumn="0" w:lastRowFirstColumn="0" w:lastRowLastColumn="0"/>
          <w:trHeight w:val="143"/>
        </w:trPr>
        <w:tc>
          <w:tcPr>
            <w:cnfStyle w:val="001000000100" w:firstRow="0" w:lastRow="0" w:firstColumn="1" w:lastColumn="0" w:oddVBand="0" w:evenVBand="0" w:oddHBand="0" w:evenHBand="0" w:firstRowFirstColumn="1" w:firstRowLastColumn="0" w:lastRowFirstColumn="0" w:lastRowLastColumn="0"/>
            <w:tcW w:w="2801" w:type="dxa"/>
          </w:tcPr>
          <w:p w14:paraId="594C1433" w14:textId="77777777" w:rsidR="00914535" w:rsidRPr="00D83087" w:rsidRDefault="00914535" w:rsidP="000A5663">
            <w:pPr>
              <w:jc w:val="both"/>
              <w:rPr>
                <w:rFonts w:ascii="BookAntiqua" w:hAnsi="BookAntiqua" w:cs="BookAntiqua"/>
                <w:b/>
                <w:bCs/>
                <w:sz w:val="20"/>
                <w:szCs w:val="20"/>
              </w:rPr>
            </w:pPr>
            <w:r w:rsidRPr="00D83087">
              <w:rPr>
                <w:rFonts w:ascii="BookAntiqua" w:hAnsi="BookAntiqua" w:cs="BookAntiqua"/>
                <w:b/>
                <w:bCs/>
                <w:sz w:val="20"/>
                <w:szCs w:val="20"/>
              </w:rPr>
              <w:t>Variable</w:t>
            </w:r>
          </w:p>
        </w:tc>
        <w:tc>
          <w:tcPr>
            <w:tcW w:w="6129" w:type="dxa"/>
            <w:gridSpan w:val="2"/>
          </w:tcPr>
          <w:p w14:paraId="56AFCBE2" w14:textId="77777777" w:rsidR="00914535" w:rsidRDefault="00914535" w:rsidP="000A5663">
            <w:pPr>
              <w:jc w:val="center"/>
              <w:cnfStyle w:val="100000000000" w:firstRow="1" w:lastRow="0" w:firstColumn="0" w:lastColumn="0" w:oddVBand="0" w:evenVBand="0" w:oddHBand="0" w:evenHBand="0" w:firstRowFirstColumn="0" w:firstRowLastColumn="0" w:lastRowFirstColumn="0" w:lastRowLastColumn="0"/>
              <w:rPr>
                <w:rFonts w:ascii="BookAntiqua" w:hAnsi="BookAntiqua" w:cs="BookAntiqua"/>
                <w:b/>
                <w:bCs/>
                <w:sz w:val="20"/>
                <w:szCs w:val="20"/>
              </w:rPr>
            </w:pPr>
            <w:r>
              <w:rPr>
                <w:rFonts w:ascii="BookAntiqua" w:hAnsi="BookAntiqua" w:cs="BookAntiqua"/>
                <w:b/>
                <w:bCs/>
                <w:sz w:val="20"/>
                <w:szCs w:val="20"/>
              </w:rPr>
              <w:t>Parameter Estimates</w:t>
            </w:r>
          </w:p>
          <w:p w14:paraId="312D7166" w14:textId="77777777" w:rsidR="00914535" w:rsidRDefault="00914535" w:rsidP="000A5663">
            <w:pPr>
              <w:jc w:val="center"/>
              <w:cnfStyle w:val="100000000000" w:firstRow="1" w:lastRow="0" w:firstColumn="0" w:lastColumn="0" w:oddVBand="0" w:evenVBand="0" w:oddHBand="0" w:evenHBand="0" w:firstRowFirstColumn="0" w:firstRowLastColumn="0" w:lastRowFirstColumn="0" w:lastRowLastColumn="0"/>
              <w:rPr>
                <w:rFonts w:ascii="BookAntiqua" w:hAnsi="BookAntiqua" w:cs="BookAntiqua"/>
                <w:b/>
                <w:bCs/>
                <w:sz w:val="20"/>
                <w:szCs w:val="20"/>
              </w:rPr>
            </w:pPr>
          </w:p>
        </w:tc>
      </w:tr>
      <w:tr w:rsidR="005D336C" w14:paraId="630AB70A" w14:textId="77777777" w:rsidTr="2AE4F4DE">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801" w:type="dxa"/>
          </w:tcPr>
          <w:p w14:paraId="15CB4131" w14:textId="77777777" w:rsidR="00914535" w:rsidRPr="00D83087" w:rsidRDefault="00914535" w:rsidP="000A5663">
            <w:pPr>
              <w:jc w:val="both"/>
              <w:rPr>
                <w:rFonts w:ascii="BookAntiqua" w:hAnsi="BookAntiqua" w:cs="BookAntiqua"/>
                <w:b/>
                <w:bCs/>
                <w:sz w:val="20"/>
                <w:szCs w:val="20"/>
              </w:rPr>
            </w:pPr>
            <w:r w:rsidRPr="00D83087">
              <w:rPr>
                <w:rFonts w:ascii="BookAntiqua" w:hAnsi="BookAntiqua" w:cs="BookAntiqua"/>
                <w:b/>
                <w:bCs/>
                <w:sz w:val="20"/>
                <w:szCs w:val="20"/>
              </w:rPr>
              <w:t>Variable</w:t>
            </w:r>
            <w:r>
              <w:rPr>
                <w:rFonts w:ascii="BookAntiqua" w:hAnsi="BookAntiqua" w:cs="BookAntiqua"/>
                <w:b/>
                <w:bCs/>
                <w:sz w:val="20"/>
                <w:szCs w:val="20"/>
              </w:rPr>
              <w:t xml:space="preserve"> Option</w:t>
            </w:r>
          </w:p>
        </w:tc>
        <w:tc>
          <w:tcPr>
            <w:tcW w:w="2779" w:type="dxa"/>
          </w:tcPr>
          <w:p w14:paraId="3190A74E" w14:textId="77777777" w:rsidR="00914535" w:rsidRDefault="00914535" w:rsidP="000A5663">
            <w:pPr>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b/>
                <w:bCs/>
                <w:sz w:val="20"/>
                <w:szCs w:val="20"/>
              </w:rPr>
            </w:pPr>
            <w:r>
              <w:rPr>
                <w:rFonts w:ascii="BookAntiqua" w:hAnsi="BookAntiqua" w:cs="BookAntiqua"/>
                <w:b/>
                <w:bCs/>
                <w:sz w:val="20"/>
                <w:szCs w:val="20"/>
              </w:rPr>
              <w:t>B</w:t>
            </w:r>
          </w:p>
        </w:tc>
        <w:tc>
          <w:tcPr>
            <w:tcW w:w="3350" w:type="dxa"/>
          </w:tcPr>
          <w:p w14:paraId="156F1F26" w14:textId="77777777" w:rsidR="00914535" w:rsidRDefault="00914535" w:rsidP="000A5663">
            <w:pPr>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b/>
                <w:bCs/>
                <w:sz w:val="20"/>
                <w:szCs w:val="20"/>
              </w:rPr>
            </w:pPr>
            <w:r>
              <w:rPr>
                <w:rFonts w:ascii="BookAntiqua" w:hAnsi="BookAntiqua" w:cs="BookAntiqua"/>
                <w:b/>
                <w:bCs/>
                <w:sz w:val="20"/>
                <w:szCs w:val="20"/>
              </w:rPr>
              <w:t>Exp(B) / Odds Ratio</w:t>
            </w:r>
          </w:p>
        </w:tc>
      </w:tr>
      <w:tr w:rsidR="00D369EB" w14:paraId="4C82652C" w14:textId="77777777" w:rsidTr="2AE4F4DE">
        <w:tc>
          <w:tcPr>
            <w:cnfStyle w:val="001000000000" w:firstRow="0" w:lastRow="0" w:firstColumn="1" w:lastColumn="0" w:oddVBand="0" w:evenVBand="0" w:oddHBand="0" w:evenHBand="0" w:firstRowFirstColumn="0" w:firstRowLastColumn="0" w:lastRowFirstColumn="0" w:lastRowLastColumn="0"/>
            <w:tcW w:w="2801" w:type="dxa"/>
          </w:tcPr>
          <w:p w14:paraId="2D1CEA5A" w14:textId="77777777" w:rsidR="00914535" w:rsidRPr="00EA514A" w:rsidRDefault="004C4582" w:rsidP="000A5663">
            <w:pPr>
              <w:jc w:val="both"/>
              <w:rPr>
                <w:rFonts w:ascii="BookAntiqua" w:hAnsi="BookAntiqua" w:cs="BookAntiqua"/>
                <w:sz w:val="20"/>
                <w:szCs w:val="20"/>
              </w:rPr>
            </w:pPr>
            <m:oMathPara>
              <m:oMathParaPr>
                <m:jc m:val="left"/>
              </m:oMathParaPr>
              <m:oMath>
                <m:sSub>
                  <m:sSubPr>
                    <m:ctrlPr>
                      <w:rPr>
                        <w:rFonts w:ascii="Cambria Math" w:hAnsi="Cambria Math" w:cs="BookAntiqua"/>
                        <w:sz w:val="20"/>
                        <w:szCs w:val="20"/>
                      </w:rPr>
                    </m:ctrlPr>
                  </m:sSubPr>
                  <m:e>
                    <m:r>
                      <w:rPr>
                        <w:rFonts w:ascii="Cambria Math" w:hAnsi="Cambria Math" w:cs="BookAntiqua"/>
                        <w:sz w:val="20"/>
                        <w:szCs w:val="20"/>
                      </w:rPr>
                      <m:t>α</m:t>
                    </m:r>
                  </m:e>
                  <m:sub>
                    <m:r>
                      <w:rPr>
                        <w:rFonts w:ascii="Cambria Math" w:hAnsi="Cambria Math" w:cs="BookAntiqua"/>
                        <w:sz w:val="20"/>
                        <w:szCs w:val="20"/>
                      </w:rPr>
                      <m:t>1</m:t>
                    </m:r>
                  </m:sub>
                </m:sSub>
                <m:r>
                  <w:rPr>
                    <w:rFonts w:ascii="Cambria Math" w:hAnsi="Cambria Math" w:cs="BookAntiqua"/>
                    <w:sz w:val="20"/>
                    <w:szCs w:val="20"/>
                  </w:rPr>
                  <m:t>(≤Low prices)</m:t>
                </m:r>
              </m:oMath>
            </m:oMathPara>
          </w:p>
        </w:tc>
        <w:tc>
          <w:tcPr>
            <w:tcW w:w="2779" w:type="dxa"/>
            <w:vAlign w:val="center"/>
          </w:tcPr>
          <w:p w14:paraId="495751DE" w14:textId="77777777" w:rsidR="00914535" w:rsidRPr="00C95D8F" w:rsidRDefault="00914535" w:rsidP="000A5663">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sidRPr="00C95D8F">
              <w:rPr>
                <w:rFonts w:ascii="BookAntiqua" w:hAnsi="BookAntiqua" w:cs="BookAntiqua"/>
                <w:sz w:val="20"/>
                <w:szCs w:val="20"/>
              </w:rPr>
              <w:t>-.534</w:t>
            </w:r>
            <w:r>
              <w:rPr>
                <w:rFonts w:ascii="BookAntiqua" w:hAnsi="BookAntiqua" w:cs="BookAntiqua"/>
                <w:sz w:val="20"/>
                <w:szCs w:val="20"/>
                <w:vertAlign w:val="superscript"/>
              </w:rPr>
              <w:t>***</w:t>
            </w:r>
          </w:p>
        </w:tc>
        <w:tc>
          <w:tcPr>
            <w:tcW w:w="3350" w:type="dxa"/>
          </w:tcPr>
          <w:p w14:paraId="35EC7CF4" w14:textId="77777777" w:rsidR="00914535" w:rsidRDefault="00914535" w:rsidP="000A5663">
            <w:pPr>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p>
        </w:tc>
      </w:tr>
      <w:tr w:rsidR="005D336C" w14:paraId="2E402FE1" w14:textId="77777777" w:rsidTr="2AE4F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14:paraId="41701C3B" w14:textId="77777777" w:rsidR="00914535" w:rsidRPr="00EA514A" w:rsidRDefault="004C4582" w:rsidP="000A5663">
            <w:pPr>
              <w:jc w:val="both"/>
              <w:rPr>
                <w:rFonts w:ascii="BookAntiqua" w:hAnsi="BookAntiqua" w:cs="BookAntiqua"/>
                <w:sz w:val="20"/>
                <w:szCs w:val="20"/>
              </w:rPr>
            </w:pPr>
            <m:oMathPara>
              <m:oMathParaPr>
                <m:jc m:val="left"/>
              </m:oMathParaPr>
              <m:oMath>
                <m:sSub>
                  <m:sSubPr>
                    <m:ctrlPr>
                      <w:rPr>
                        <w:rFonts w:ascii="Cambria Math" w:hAnsi="Cambria Math" w:cs="BookAntiqua"/>
                        <w:sz w:val="20"/>
                        <w:szCs w:val="20"/>
                      </w:rPr>
                    </m:ctrlPr>
                  </m:sSubPr>
                  <m:e>
                    <m:r>
                      <w:rPr>
                        <w:rFonts w:ascii="Cambria Math" w:hAnsi="Cambria Math" w:cs="BookAntiqua"/>
                        <w:sz w:val="20"/>
                        <w:szCs w:val="20"/>
                      </w:rPr>
                      <m:t>α</m:t>
                    </m:r>
                  </m:e>
                  <m:sub>
                    <m:r>
                      <w:rPr>
                        <w:rFonts w:ascii="Cambria Math" w:hAnsi="Cambria Math" w:cs="BookAntiqua"/>
                        <w:sz w:val="20"/>
                        <w:szCs w:val="20"/>
                      </w:rPr>
                      <m:t>2</m:t>
                    </m:r>
                  </m:sub>
                </m:sSub>
                <m:r>
                  <w:rPr>
                    <w:rFonts w:ascii="Cambria Math" w:hAnsi="Cambria Math" w:cs="BookAntiqua"/>
                    <w:sz w:val="20"/>
                    <w:szCs w:val="20"/>
                  </w:rPr>
                  <m:t>(≤Medium prices)</m:t>
                </m:r>
              </m:oMath>
            </m:oMathPara>
          </w:p>
        </w:tc>
        <w:tc>
          <w:tcPr>
            <w:tcW w:w="2779" w:type="dxa"/>
            <w:vAlign w:val="center"/>
          </w:tcPr>
          <w:p w14:paraId="04F7D5B5" w14:textId="77777777" w:rsidR="00914535" w:rsidRPr="00C95D8F" w:rsidRDefault="00914535" w:rsidP="000A5663">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sidRPr="00C95D8F">
              <w:rPr>
                <w:rFonts w:ascii="BookAntiqua" w:hAnsi="BookAntiqua" w:cs="BookAntiqua"/>
                <w:sz w:val="20"/>
                <w:szCs w:val="20"/>
              </w:rPr>
              <w:t>1.121</w:t>
            </w:r>
            <w:r>
              <w:rPr>
                <w:rFonts w:ascii="BookAntiqua" w:hAnsi="BookAntiqua" w:cs="BookAntiqua"/>
                <w:sz w:val="20"/>
                <w:szCs w:val="20"/>
                <w:vertAlign w:val="superscript"/>
              </w:rPr>
              <w:t>***</w:t>
            </w:r>
          </w:p>
        </w:tc>
        <w:tc>
          <w:tcPr>
            <w:tcW w:w="3350" w:type="dxa"/>
          </w:tcPr>
          <w:p w14:paraId="32CE452A" w14:textId="77777777" w:rsidR="00914535" w:rsidRDefault="00914535" w:rsidP="000A5663">
            <w:pPr>
              <w:jc w:val="both"/>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p>
        </w:tc>
      </w:tr>
      <w:tr w:rsidR="005D336C" w14:paraId="27022694" w14:textId="77777777" w:rsidTr="2AE4F4DE">
        <w:tc>
          <w:tcPr>
            <w:cnfStyle w:val="001000000000" w:firstRow="0" w:lastRow="0" w:firstColumn="1" w:lastColumn="0" w:oddVBand="0" w:evenVBand="0" w:oddHBand="0" w:evenHBand="0" w:firstRowFirstColumn="0" w:firstRowLastColumn="0" w:lastRowFirstColumn="0" w:lastRowLastColumn="0"/>
            <w:tcW w:w="8930" w:type="dxa"/>
            <w:gridSpan w:val="3"/>
            <w:shd w:val="clear" w:color="auto" w:fill="A6A6A6" w:themeFill="background1" w:themeFillShade="A6"/>
          </w:tcPr>
          <w:p w14:paraId="6F79997C" w14:textId="4B263D38" w:rsidR="00914535" w:rsidRDefault="00914535" w:rsidP="000A5663">
            <w:pPr>
              <w:jc w:val="both"/>
              <w:rPr>
                <w:rFonts w:ascii="BookAntiqua" w:hAnsi="BookAntiqua" w:cs="BookAntiqua"/>
                <w:sz w:val="20"/>
                <w:szCs w:val="20"/>
              </w:rPr>
            </w:pPr>
            <w:r w:rsidRPr="00B53877">
              <w:rPr>
                <w:rFonts w:ascii="BookAntiqua" w:hAnsi="BookAntiqua" w:cs="BookAntiqua"/>
                <w:b/>
                <w:bCs/>
                <w:i w:val="0"/>
                <w:iCs w:val="0"/>
                <w:sz w:val="20"/>
                <w:szCs w:val="20"/>
              </w:rPr>
              <w:t>X</w:t>
            </w:r>
            <w:r>
              <w:rPr>
                <w:rFonts w:ascii="BookAntiqua" w:hAnsi="BookAntiqua" w:cs="BookAntiqua"/>
                <w:b/>
                <w:bCs/>
                <w:i w:val="0"/>
                <w:iCs w:val="0"/>
                <w:sz w:val="20"/>
                <w:szCs w:val="20"/>
                <w:vertAlign w:val="subscript"/>
              </w:rPr>
              <w:t>1</w:t>
            </w:r>
            <w:r w:rsidRPr="00B53877">
              <w:rPr>
                <w:rFonts w:ascii="BookAntiqua" w:hAnsi="BookAntiqua" w:cs="BookAntiqua"/>
                <w:b/>
                <w:bCs/>
                <w:i w:val="0"/>
                <w:iCs w:val="0"/>
                <w:sz w:val="20"/>
                <w:szCs w:val="20"/>
              </w:rPr>
              <w:t xml:space="preserve"> (In</w:t>
            </w:r>
            <w:r>
              <w:rPr>
                <w:rFonts w:ascii="BookAntiqua" w:hAnsi="BookAntiqua" w:cs="BookAntiqua"/>
                <w:b/>
                <w:bCs/>
                <w:i w:val="0"/>
                <w:iCs w:val="0"/>
                <w:sz w:val="20"/>
                <w:szCs w:val="20"/>
              </w:rPr>
              <w:t>flation</w:t>
            </w:r>
            <w:r w:rsidRPr="00B53877">
              <w:rPr>
                <w:rFonts w:ascii="BookAntiqua" w:hAnsi="BookAntiqua" w:cs="BookAntiqua"/>
                <w:b/>
                <w:bCs/>
                <w:i w:val="0"/>
                <w:iCs w:val="0"/>
                <w:sz w:val="20"/>
                <w:szCs w:val="20"/>
              </w:rPr>
              <w:t>)</w:t>
            </w:r>
          </w:p>
        </w:tc>
      </w:tr>
      <w:tr w:rsidR="005D336C" w14:paraId="01E7F447" w14:textId="77777777" w:rsidTr="2AE4F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14:paraId="188ED169" w14:textId="77777777" w:rsidR="00914535" w:rsidRDefault="00914535" w:rsidP="000A5663">
            <w:pPr>
              <w:jc w:val="both"/>
              <w:rPr>
                <w:rFonts w:ascii="BookAntiqua" w:hAnsi="BookAntiqua" w:cs="BookAntiqua"/>
                <w:sz w:val="20"/>
                <w:szCs w:val="20"/>
              </w:rPr>
            </w:pPr>
            <w:r>
              <w:rPr>
                <w:rFonts w:ascii="BookAntiqua" w:hAnsi="BookAntiqua" w:cs="BookAntiqua"/>
                <w:sz w:val="20"/>
                <w:szCs w:val="20"/>
              </w:rPr>
              <w:t>Not important</w:t>
            </w:r>
          </w:p>
        </w:tc>
        <w:tc>
          <w:tcPr>
            <w:tcW w:w="2779" w:type="dxa"/>
            <w:vAlign w:val="center"/>
          </w:tcPr>
          <w:p w14:paraId="3A047439" w14:textId="77777777" w:rsidR="00914535" w:rsidRPr="005723C8" w:rsidRDefault="00914535" w:rsidP="000A5663">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sidRPr="005723C8">
              <w:rPr>
                <w:rFonts w:ascii="BookAntiqua" w:hAnsi="BookAntiqua" w:cs="BookAntiqua"/>
                <w:sz w:val="20"/>
                <w:szCs w:val="20"/>
              </w:rPr>
              <w:t>.374</w:t>
            </w:r>
          </w:p>
        </w:tc>
        <w:tc>
          <w:tcPr>
            <w:tcW w:w="3350" w:type="dxa"/>
          </w:tcPr>
          <w:p w14:paraId="57EB88B2" w14:textId="77777777" w:rsidR="00914535" w:rsidRDefault="00914535" w:rsidP="000A5663">
            <w:pPr>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1.454</w:t>
            </w:r>
          </w:p>
        </w:tc>
      </w:tr>
      <w:tr w:rsidR="00D369EB" w14:paraId="2A172CBA" w14:textId="77777777" w:rsidTr="2AE4F4DE">
        <w:tc>
          <w:tcPr>
            <w:cnfStyle w:val="001000000000" w:firstRow="0" w:lastRow="0" w:firstColumn="1" w:lastColumn="0" w:oddVBand="0" w:evenVBand="0" w:oddHBand="0" w:evenHBand="0" w:firstRowFirstColumn="0" w:firstRowLastColumn="0" w:lastRowFirstColumn="0" w:lastRowLastColumn="0"/>
            <w:tcW w:w="2801" w:type="dxa"/>
          </w:tcPr>
          <w:p w14:paraId="3A92F294" w14:textId="77777777" w:rsidR="00914535" w:rsidRDefault="00914535" w:rsidP="000A5663">
            <w:pPr>
              <w:jc w:val="both"/>
              <w:rPr>
                <w:rFonts w:ascii="BookAntiqua" w:hAnsi="BookAntiqua" w:cs="BookAntiqua"/>
                <w:sz w:val="20"/>
                <w:szCs w:val="20"/>
              </w:rPr>
            </w:pPr>
            <w:r>
              <w:rPr>
                <w:rFonts w:ascii="BookAntiqua" w:hAnsi="BookAntiqua" w:cs="BookAntiqua"/>
                <w:sz w:val="20"/>
                <w:szCs w:val="20"/>
              </w:rPr>
              <w:t>Neutral</w:t>
            </w:r>
          </w:p>
        </w:tc>
        <w:tc>
          <w:tcPr>
            <w:tcW w:w="2779" w:type="dxa"/>
            <w:vAlign w:val="center"/>
          </w:tcPr>
          <w:p w14:paraId="3270E6BE" w14:textId="77777777" w:rsidR="00914535" w:rsidRPr="005723C8" w:rsidRDefault="00914535" w:rsidP="000A5663">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sidRPr="005723C8">
              <w:rPr>
                <w:rFonts w:ascii="BookAntiqua" w:hAnsi="BookAntiqua" w:cs="BookAntiqua"/>
                <w:sz w:val="20"/>
                <w:szCs w:val="20"/>
              </w:rPr>
              <w:t>.199</w:t>
            </w:r>
          </w:p>
        </w:tc>
        <w:tc>
          <w:tcPr>
            <w:tcW w:w="3350" w:type="dxa"/>
          </w:tcPr>
          <w:p w14:paraId="3050E2BD" w14:textId="77777777" w:rsidR="00914535" w:rsidRDefault="00914535" w:rsidP="000A5663">
            <w:pPr>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1.22</w:t>
            </w:r>
          </w:p>
        </w:tc>
      </w:tr>
      <w:tr w:rsidR="005D336C" w14:paraId="0290F644" w14:textId="77777777" w:rsidTr="2AE4F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14:paraId="561B9AA9" w14:textId="77777777" w:rsidR="00914535" w:rsidRDefault="00914535" w:rsidP="000A5663">
            <w:pPr>
              <w:jc w:val="left"/>
              <w:rPr>
                <w:rFonts w:ascii="BookAntiqua" w:hAnsi="BookAntiqua" w:cs="BookAntiqua"/>
                <w:sz w:val="20"/>
                <w:szCs w:val="20"/>
              </w:rPr>
            </w:pPr>
            <w:r>
              <w:rPr>
                <w:rFonts w:ascii="BookAntiqua" w:hAnsi="BookAntiqua" w:cs="BookAntiqua"/>
                <w:sz w:val="20"/>
                <w:szCs w:val="20"/>
              </w:rPr>
              <w:t>Important (Ref)</w:t>
            </w:r>
          </w:p>
        </w:tc>
        <w:tc>
          <w:tcPr>
            <w:tcW w:w="2779" w:type="dxa"/>
          </w:tcPr>
          <w:p w14:paraId="7C091CFB" w14:textId="77777777" w:rsidR="00914535" w:rsidRDefault="00914535" w:rsidP="000A5663">
            <w:pPr>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w:t>
            </w:r>
          </w:p>
        </w:tc>
        <w:tc>
          <w:tcPr>
            <w:tcW w:w="3350" w:type="dxa"/>
          </w:tcPr>
          <w:p w14:paraId="04A9D65A" w14:textId="77777777" w:rsidR="00914535" w:rsidRDefault="00914535" w:rsidP="000A5663">
            <w:pPr>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w:t>
            </w:r>
          </w:p>
        </w:tc>
      </w:tr>
      <w:tr w:rsidR="005D336C" w14:paraId="6DFEB59D" w14:textId="77777777" w:rsidTr="2AE4F4DE">
        <w:tc>
          <w:tcPr>
            <w:cnfStyle w:val="001000000000" w:firstRow="0" w:lastRow="0" w:firstColumn="1" w:lastColumn="0" w:oddVBand="0" w:evenVBand="0" w:oddHBand="0" w:evenHBand="0" w:firstRowFirstColumn="0" w:firstRowLastColumn="0" w:lastRowFirstColumn="0" w:lastRowLastColumn="0"/>
            <w:tcW w:w="8930" w:type="dxa"/>
            <w:gridSpan w:val="3"/>
            <w:shd w:val="clear" w:color="auto" w:fill="A6A6A6" w:themeFill="background1" w:themeFillShade="A6"/>
          </w:tcPr>
          <w:p w14:paraId="0E4451B1" w14:textId="77777777" w:rsidR="00914535" w:rsidRDefault="00914535" w:rsidP="000A5663">
            <w:pPr>
              <w:jc w:val="left"/>
              <w:rPr>
                <w:rFonts w:ascii="BookAntiqua" w:hAnsi="BookAntiqua" w:cs="BookAntiqua"/>
                <w:sz w:val="20"/>
                <w:szCs w:val="20"/>
              </w:rPr>
            </w:pPr>
            <w:r w:rsidRPr="00B53877">
              <w:rPr>
                <w:rFonts w:ascii="BookAntiqua" w:hAnsi="BookAntiqua" w:cs="BookAntiqua"/>
                <w:b/>
                <w:bCs/>
                <w:i w:val="0"/>
                <w:iCs w:val="0"/>
                <w:sz w:val="20"/>
                <w:szCs w:val="20"/>
              </w:rPr>
              <w:t>X</w:t>
            </w:r>
            <w:r>
              <w:rPr>
                <w:rFonts w:ascii="BookAntiqua" w:hAnsi="BookAntiqua" w:cs="BookAntiqua"/>
                <w:b/>
                <w:bCs/>
                <w:i w:val="0"/>
                <w:iCs w:val="0"/>
                <w:sz w:val="20"/>
                <w:szCs w:val="20"/>
                <w:vertAlign w:val="subscript"/>
              </w:rPr>
              <w:t>2</w:t>
            </w:r>
            <w:r>
              <w:rPr>
                <w:rFonts w:ascii="BookAntiqua" w:hAnsi="BookAntiqua" w:cs="BookAntiqua"/>
                <w:b/>
                <w:bCs/>
                <w:i w:val="0"/>
                <w:iCs w:val="0"/>
                <w:sz w:val="20"/>
                <w:szCs w:val="20"/>
              </w:rPr>
              <w:t xml:space="preserve"> (Economic reform program and flotation</w:t>
            </w:r>
            <w:r w:rsidRPr="00B53877">
              <w:rPr>
                <w:rFonts w:ascii="BookAntiqua" w:hAnsi="BookAntiqua" w:cs="BookAntiqua"/>
                <w:b/>
                <w:bCs/>
                <w:i w:val="0"/>
                <w:iCs w:val="0"/>
                <w:sz w:val="20"/>
                <w:szCs w:val="20"/>
              </w:rPr>
              <w:t>)</w:t>
            </w:r>
          </w:p>
        </w:tc>
      </w:tr>
      <w:tr w:rsidR="005D336C" w14:paraId="49E5B35D" w14:textId="77777777" w:rsidTr="2AE4F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14:paraId="5F8A2F5C" w14:textId="77777777" w:rsidR="00914535" w:rsidRDefault="00914535" w:rsidP="000A5663">
            <w:pPr>
              <w:jc w:val="both"/>
              <w:rPr>
                <w:rFonts w:ascii="BookAntiqua" w:hAnsi="BookAntiqua" w:cs="BookAntiqua"/>
                <w:sz w:val="20"/>
                <w:szCs w:val="20"/>
              </w:rPr>
            </w:pPr>
            <w:r>
              <w:rPr>
                <w:rFonts w:ascii="BookAntiqua" w:hAnsi="BookAntiqua" w:cs="BookAntiqua"/>
                <w:sz w:val="20"/>
                <w:szCs w:val="20"/>
              </w:rPr>
              <w:t xml:space="preserve">Positive </w:t>
            </w:r>
          </w:p>
        </w:tc>
        <w:tc>
          <w:tcPr>
            <w:tcW w:w="2779" w:type="dxa"/>
          </w:tcPr>
          <w:p w14:paraId="5347C8D8" w14:textId="77777777" w:rsidR="00914535" w:rsidRDefault="00914535" w:rsidP="000A5663">
            <w:pPr>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sidRPr="004A477F">
              <w:rPr>
                <w:rFonts w:ascii="BookAntiqua" w:hAnsi="BookAntiqua" w:cs="BookAntiqua"/>
                <w:sz w:val="20"/>
                <w:szCs w:val="20"/>
              </w:rPr>
              <w:t>-.079</w:t>
            </w:r>
          </w:p>
        </w:tc>
        <w:tc>
          <w:tcPr>
            <w:tcW w:w="3350" w:type="dxa"/>
          </w:tcPr>
          <w:p w14:paraId="03F0D9F1" w14:textId="77777777" w:rsidR="00914535" w:rsidRDefault="00914535" w:rsidP="000A5663">
            <w:pPr>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0.924</w:t>
            </w:r>
          </w:p>
        </w:tc>
      </w:tr>
      <w:tr w:rsidR="00EA47C2" w14:paraId="62D36B18" w14:textId="77777777" w:rsidTr="2AE4F4DE">
        <w:tc>
          <w:tcPr>
            <w:cnfStyle w:val="001000000000" w:firstRow="0" w:lastRow="0" w:firstColumn="1" w:lastColumn="0" w:oddVBand="0" w:evenVBand="0" w:oddHBand="0" w:evenHBand="0" w:firstRowFirstColumn="0" w:firstRowLastColumn="0" w:lastRowFirstColumn="0" w:lastRowLastColumn="0"/>
            <w:tcW w:w="2801" w:type="dxa"/>
          </w:tcPr>
          <w:p w14:paraId="0C1ED533" w14:textId="77777777" w:rsidR="00914535" w:rsidRDefault="00914535" w:rsidP="000A5663">
            <w:pPr>
              <w:jc w:val="both"/>
              <w:rPr>
                <w:rFonts w:ascii="BookAntiqua" w:hAnsi="BookAntiqua" w:cs="BookAntiqua"/>
                <w:sz w:val="20"/>
                <w:szCs w:val="20"/>
              </w:rPr>
            </w:pPr>
            <w:r>
              <w:rPr>
                <w:rFonts w:ascii="BookAntiqua" w:hAnsi="BookAntiqua" w:cs="BookAntiqua"/>
                <w:sz w:val="20"/>
                <w:szCs w:val="20"/>
              </w:rPr>
              <w:t>Negative (Ref)</w:t>
            </w:r>
          </w:p>
        </w:tc>
        <w:tc>
          <w:tcPr>
            <w:tcW w:w="2779" w:type="dxa"/>
          </w:tcPr>
          <w:p w14:paraId="15E5B3E9" w14:textId="77777777" w:rsidR="00914535" w:rsidRDefault="00914535" w:rsidP="000A5663">
            <w:pPr>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w:t>
            </w:r>
          </w:p>
        </w:tc>
        <w:tc>
          <w:tcPr>
            <w:tcW w:w="3350" w:type="dxa"/>
          </w:tcPr>
          <w:p w14:paraId="2833B5D5" w14:textId="77777777" w:rsidR="00914535" w:rsidRDefault="00914535" w:rsidP="000A5663">
            <w:pPr>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w:t>
            </w:r>
          </w:p>
        </w:tc>
      </w:tr>
      <w:tr w:rsidR="005D336C" w14:paraId="64368A6C" w14:textId="77777777" w:rsidTr="2AE4F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0" w:type="dxa"/>
            <w:gridSpan w:val="3"/>
            <w:shd w:val="clear" w:color="auto" w:fill="A6A6A6" w:themeFill="background1" w:themeFillShade="A6"/>
          </w:tcPr>
          <w:p w14:paraId="63C052D4" w14:textId="77777777" w:rsidR="00914535" w:rsidRDefault="00914535" w:rsidP="000A5663">
            <w:pPr>
              <w:jc w:val="left"/>
              <w:rPr>
                <w:rFonts w:ascii="BookAntiqua" w:hAnsi="BookAntiqua" w:cs="BookAntiqua"/>
                <w:sz w:val="20"/>
                <w:szCs w:val="20"/>
              </w:rPr>
            </w:pPr>
            <w:r w:rsidRPr="00B53877">
              <w:rPr>
                <w:rFonts w:ascii="BookAntiqua" w:hAnsi="BookAntiqua" w:cs="BookAntiqua"/>
                <w:b/>
                <w:bCs/>
                <w:i w:val="0"/>
                <w:iCs w:val="0"/>
                <w:sz w:val="20"/>
                <w:szCs w:val="20"/>
              </w:rPr>
              <w:t>X</w:t>
            </w:r>
            <w:r>
              <w:rPr>
                <w:rFonts w:ascii="BookAntiqua" w:hAnsi="BookAntiqua" w:cs="BookAntiqua"/>
                <w:b/>
                <w:bCs/>
                <w:i w:val="0"/>
                <w:iCs w:val="0"/>
                <w:sz w:val="20"/>
                <w:szCs w:val="20"/>
                <w:vertAlign w:val="subscript"/>
              </w:rPr>
              <w:t>3</w:t>
            </w:r>
            <w:r>
              <w:rPr>
                <w:rFonts w:ascii="BookAntiqua" w:hAnsi="BookAntiqua" w:cs="BookAntiqua"/>
                <w:b/>
                <w:bCs/>
                <w:i w:val="0"/>
                <w:iCs w:val="0"/>
                <w:sz w:val="20"/>
                <w:szCs w:val="20"/>
              </w:rPr>
              <w:t xml:space="preserve"> (Cost of land, constructions and licenses</w:t>
            </w:r>
            <w:r w:rsidRPr="00B53877">
              <w:rPr>
                <w:rFonts w:ascii="BookAntiqua" w:hAnsi="BookAntiqua" w:cs="BookAntiqua"/>
                <w:b/>
                <w:bCs/>
                <w:i w:val="0"/>
                <w:iCs w:val="0"/>
                <w:sz w:val="20"/>
                <w:szCs w:val="20"/>
              </w:rPr>
              <w:t>)</w:t>
            </w:r>
          </w:p>
        </w:tc>
      </w:tr>
      <w:tr w:rsidR="00EA47C2" w14:paraId="7F48EBCC" w14:textId="77777777" w:rsidTr="2AE4F4DE">
        <w:tc>
          <w:tcPr>
            <w:cnfStyle w:val="001000000000" w:firstRow="0" w:lastRow="0" w:firstColumn="1" w:lastColumn="0" w:oddVBand="0" w:evenVBand="0" w:oddHBand="0" w:evenHBand="0" w:firstRowFirstColumn="0" w:firstRowLastColumn="0" w:lastRowFirstColumn="0" w:lastRowLastColumn="0"/>
            <w:tcW w:w="2801" w:type="dxa"/>
          </w:tcPr>
          <w:p w14:paraId="1B69314C" w14:textId="77777777" w:rsidR="00914535" w:rsidRDefault="00914535" w:rsidP="000A5663">
            <w:pPr>
              <w:jc w:val="both"/>
              <w:rPr>
                <w:rFonts w:ascii="BookAntiqua" w:hAnsi="BookAntiqua" w:cs="BookAntiqua"/>
                <w:sz w:val="20"/>
                <w:szCs w:val="20"/>
              </w:rPr>
            </w:pPr>
            <w:r>
              <w:rPr>
                <w:rFonts w:ascii="BookAntiqua" w:hAnsi="BookAntiqua" w:cs="BookAntiqua"/>
                <w:sz w:val="20"/>
                <w:szCs w:val="20"/>
              </w:rPr>
              <w:t>Not important</w:t>
            </w:r>
          </w:p>
        </w:tc>
        <w:tc>
          <w:tcPr>
            <w:tcW w:w="2779" w:type="dxa"/>
          </w:tcPr>
          <w:p w14:paraId="2D94DED7" w14:textId="77777777" w:rsidR="00914535" w:rsidRPr="00394A23" w:rsidRDefault="00914535" w:rsidP="000A5663">
            <w:pPr>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vertAlign w:val="superscript"/>
              </w:rPr>
            </w:pPr>
            <w:r>
              <w:rPr>
                <w:rFonts w:ascii="BookAntiqua" w:hAnsi="BookAntiqua" w:cs="BookAntiqua"/>
                <w:sz w:val="20"/>
                <w:szCs w:val="20"/>
              </w:rPr>
              <w:t>-1.297</w:t>
            </w:r>
            <w:r>
              <w:rPr>
                <w:rFonts w:ascii="BookAntiqua" w:hAnsi="BookAntiqua" w:cs="BookAntiqua"/>
                <w:sz w:val="20"/>
                <w:szCs w:val="20"/>
                <w:vertAlign w:val="superscript"/>
              </w:rPr>
              <w:t>***</w:t>
            </w:r>
          </w:p>
        </w:tc>
        <w:tc>
          <w:tcPr>
            <w:tcW w:w="3350" w:type="dxa"/>
          </w:tcPr>
          <w:p w14:paraId="4335BAB8" w14:textId="77777777" w:rsidR="00914535" w:rsidRDefault="00914535" w:rsidP="000A5663">
            <w:pPr>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0.273</w:t>
            </w:r>
            <w:r>
              <w:rPr>
                <w:rFonts w:ascii="BookAntiqua" w:hAnsi="BookAntiqua" w:cs="BookAntiqua"/>
                <w:sz w:val="20"/>
                <w:szCs w:val="20"/>
                <w:vertAlign w:val="superscript"/>
              </w:rPr>
              <w:t>***</w:t>
            </w:r>
          </w:p>
        </w:tc>
      </w:tr>
      <w:tr w:rsidR="005D336C" w14:paraId="54FD775D" w14:textId="77777777" w:rsidTr="2AE4F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14:paraId="2B8AF1D6" w14:textId="77777777" w:rsidR="00914535" w:rsidRDefault="00914535" w:rsidP="000A5663">
            <w:pPr>
              <w:jc w:val="both"/>
              <w:rPr>
                <w:rFonts w:ascii="BookAntiqua" w:hAnsi="BookAntiqua" w:cs="BookAntiqua"/>
                <w:sz w:val="20"/>
                <w:szCs w:val="20"/>
              </w:rPr>
            </w:pPr>
            <w:r>
              <w:rPr>
                <w:rFonts w:ascii="BookAntiqua" w:hAnsi="BookAntiqua" w:cs="BookAntiqua"/>
                <w:sz w:val="20"/>
                <w:szCs w:val="20"/>
              </w:rPr>
              <w:t>Neutral</w:t>
            </w:r>
          </w:p>
        </w:tc>
        <w:tc>
          <w:tcPr>
            <w:tcW w:w="2779" w:type="dxa"/>
          </w:tcPr>
          <w:p w14:paraId="0C6C7AFB" w14:textId="77777777" w:rsidR="00914535" w:rsidRDefault="00914535" w:rsidP="000A5663">
            <w:pPr>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-0.260</w:t>
            </w:r>
            <w:r>
              <w:rPr>
                <w:rFonts w:ascii="BookAntiqua" w:hAnsi="BookAntiqua" w:cs="BookAntiqua"/>
                <w:sz w:val="20"/>
                <w:szCs w:val="20"/>
                <w:vertAlign w:val="superscript"/>
              </w:rPr>
              <w:t>*</w:t>
            </w:r>
          </w:p>
        </w:tc>
        <w:tc>
          <w:tcPr>
            <w:tcW w:w="3350" w:type="dxa"/>
          </w:tcPr>
          <w:p w14:paraId="38B6B9AA" w14:textId="77777777" w:rsidR="00914535" w:rsidRDefault="00914535" w:rsidP="000A5663">
            <w:pPr>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0.771</w:t>
            </w:r>
            <w:r>
              <w:rPr>
                <w:rFonts w:ascii="BookAntiqua" w:hAnsi="BookAntiqua" w:cs="BookAntiqua"/>
                <w:sz w:val="20"/>
                <w:szCs w:val="20"/>
                <w:vertAlign w:val="superscript"/>
              </w:rPr>
              <w:t>*</w:t>
            </w:r>
          </w:p>
        </w:tc>
      </w:tr>
      <w:tr w:rsidR="00EA47C2" w14:paraId="4864E3BD" w14:textId="77777777" w:rsidTr="2AE4F4DE">
        <w:tc>
          <w:tcPr>
            <w:cnfStyle w:val="001000000000" w:firstRow="0" w:lastRow="0" w:firstColumn="1" w:lastColumn="0" w:oddVBand="0" w:evenVBand="0" w:oddHBand="0" w:evenHBand="0" w:firstRowFirstColumn="0" w:firstRowLastColumn="0" w:lastRowFirstColumn="0" w:lastRowLastColumn="0"/>
            <w:tcW w:w="2801" w:type="dxa"/>
          </w:tcPr>
          <w:p w14:paraId="1AD90500" w14:textId="77777777" w:rsidR="00914535" w:rsidRDefault="00914535" w:rsidP="000A5663">
            <w:pPr>
              <w:jc w:val="left"/>
              <w:rPr>
                <w:rFonts w:ascii="BookAntiqua" w:hAnsi="BookAntiqua" w:cs="BookAntiqua"/>
                <w:sz w:val="20"/>
                <w:szCs w:val="20"/>
              </w:rPr>
            </w:pPr>
            <w:r>
              <w:rPr>
                <w:rFonts w:ascii="BookAntiqua" w:hAnsi="BookAntiqua" w:cs="BookAntiqua"/>
                <w:sz w:val="20"/>
                <w:szCs w:val="20"/>
              </w:rPr>
              <w:t>Important/ (Ref)</w:t>
            </w:r>
          </w:p>
        </w:tc>
        <w:tc>
          <w:tcPr>
            <w:tcW w:w="2779" w:type="dxa"/>
          </w:tcPr>
          <w:p w14:paraId="12A19F27" w14:textId="77777777" w:rsidR="00914535" w:rsidRDefault="00914535" w:rsidP="000A5663">
            <w:pPr>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w:t>
            </w:r>
          </w:p>
        </w:tc>
        <w:tc>
          <w:tcPr>
            <w:tcW w:w="3350" w:type="dxa"/>
          </w:tcPr>
          <w:p w14:paraId="5D635FF3" w14:textId="77777777" w:rsidR="00914535" w:rsidRDefault="00914535" w:rsidP="000A5663">
            <w:pPr>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w:t>
            </w:r>
          </w:p>
        </w:tc>
      </w:tr>
      <w:tr w:rsidR="005D336C" w14:paraId="466A0BA9" w14:textId="77777777" w:rsidTr="2AE4F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0" w:type="dxa"/>
            <w:gridSpan w:val="3"/>
            <w:shd w:val="clear" w:color="auto" w:fill="A6A6A6" w:themeFill="background1" w:themeFillShade="A6"/>
          </w:tcPr>
          <w:p w14:paraId="6181AA2B" w14:textId="77777777" w:rsidR="00914535" w:rsidRDefault="00914535" w:rsidP="000A5663">
            <w:pPr>
              <w:jc w:val="left"/>
              <w:rPr>
                <w:rFonts w:ascii="BookAntiqua" w:hAnsi="BookAntiqua" w:cs="BookAntiqua"/>
                <w:sz w:val="20"/>
                <w:szCs w:val="20"/>
              </w:rPr>
            </w:pPr>
            <w:r w:rsidRPr="00B53877">
              <w:rPr>
                <w:rFonts w:ascii="BookAntiqua" w:hAnsi="BookAntiqua" w:cs="BookAntiqua"/>
                <w:b/>
                <w:bCs/>
                <w:i w:val="0"/>
                <w:iCs w:val="0"/>
                <w:sz w:val="20"/>
                <w:szCs w:val="20"/>
              </w:rPr>
              <w:t>X</w:t>
            </w:r>
            <w:r>
              <w:rPr>
                <w:rFonts w:ascii="BookAntiqua" w:hAnsi="BookAntiqua" w:cs="BookAntiqua"/>
                <w:b/>
                <w:bCs/>
                <w:i w:val="0"/>
                <w:iCs w:val="0"/>
                <w:sz w:val="20"/>
                <w:szCs w:val="20"/>
                <w:vertAlign w:val="subscript"/>
              </w:rPr>
              <w:t>4</w:t>
            </w:r>
            <w:r>
              <w:rPr>
                <w:rFonts w:ascii="BookAntiqua" w:hAnsi="BookAntiqua" w:cs="BookAntiqua"/>
                <w:b/>
                <w:bCs/>
                <w:i w:val="0"/>
                <w:iCs w:val="0"/>
                <w:sz w:val="20"/>
                <w:szCs w:val="20"/>
              </w:rPr>
              <w:t xml:space="preserve"> (State projects and new cities</w:t>
            </w:r>
            <w:r w:rsidRPr="00B53877">
              <w:rPr>
                <w:rFonts w:ascii="BookAntiqua" w:hAnsi="BookAntiqua" w:cs="BookAntiqua"/>
                <w:b/>
                <w:bCs/>
                <w:i w:val="0"/>
                <w:iCs w:val="0"/>
                <w:sz w:val="20"/>
                <w:szCs w:val="20"/>
              </w:rPr>
              <w:t>)</w:t>
            </w:r>
          </w:p>
        </w:tc>
      </w:tr>
      <w:tr w:rsidR="00D369EB" w14:paraId="23027520" w14:textId="77777777" w:rsidTr="2AE4F4DE">
        <w:tc>
          <w:tcPr>
            <w:cnfStyle w:val="001000000000" w:firstRow="0" w:lastRow="0" w:firstColumn="1" w:lastColumn="0" w:oddVBand="0" w:evenVBand="0" w:oddHBand="0" w:evenHBand="0" w:firstRowFirstColumn="0" w:firstRowLastColumn="0" w:lastRowFirstColumn="0" w:lastRowLastColumn="0"/>
            <w:tcW w:w="2801" w:type="dxa"/>
          </w:tcPr>
          <w:p w14:paraId="6D4E3CA4" w14:textId="77777777" w:rsidR="00914535" w:rsidRDefault="00914535" w:rsidP="000A5663">
            <w:pPr>
              <w:jc w:val="both"/>
              <w:rPr>
                <w:rFonts w:ascii="BookAntiqua" w:hAnsi="BookAntiqua" w:cs="BookAntiqua"/>
                <w:sz w:val="20"/>
                <w:szCs w:val="20"/>
              </w:rPr>
            </w:pPr>
            <w:r>
              <w:rPr>
                <w:rFonts w:ascii="BookAntiqua" w:hAnsi="BookAntiqua" w:cs="BookAntiqua"/>
                <w:sz w:val="20"/>
                <w:szCs w:val="20"/>
              </w:rPr>
              <w:t>Not important/Not effective</w:t>
            </w:r>
          </w:p>
        </w:tc>
        <w:tc>
          <w:tcPr>
            <w:tcW w:w="2779" w:type="dxa"/>
            <w:vAlign w:val="center"/>
          </w:tcPr>
          <w:p w14:paraId="6D794F25" w14:textId="77777777" w:rsidR="00914535" w:rsidRPr="0037221E" w:rsidRDefault="00914535" w:rsidP="000A5663">
            <w:pPr>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sidRPr="0037221E">
              <w:rPr>
                <w:rFonts w:ascii="BookAntiqua" w:hAnsi="BookAntiqua" w:cs="BookAntiqua"/>
                <w:sz w:val="20"/>
                <w:szCs w:val="20"/>
              </w:rPr>
              <w:t>.062</w:t>
            </w:r>
          </w:p>
        </w:tc>
        <w:tc>
          <w:tcPr>
            <w:tcW w:w="3350" w:type="dxa"/>
          </w:tcPr>
          <w:p w14:paraId="61DE2A1D" w14:textId="77777777" w:rsidR="00914535" w:rsidRDefault="00914535" w:rsidP="000A5663">
            <w:pPr>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1.064</w:t>
            </w:r>
          </w:p>
        </w:tc>
      </w:tr>
      <w:tr w:rsidR="005D336C" w14:paraId="30705AC4" w14:textId="77777777" w:rsidTr="2AE4F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14:paraId="30541741" w14:textId="31DDBC3B" w:rsidR="00914535" w:rsidRDefault="00600422" w:rsidP="000A5663">
            <w:pPr>
              <w:jc w:val="both"/>
              <w:rPr>
                <w:rFonts w:ascii="BookAntiqua" w:hAnsi="BookAntiqua" w:cs="BookAntiqua"/>
                <w:sz w:val="20"/>
                <w:szCs w:val="20"/>
              </w:rPr>
            </w:pPr>
            <w:r>
              <w:rPr>
                <w:rFonts w:ascii="BookAntiqua" w:hAnsi="BookAntiqua" w:cs="BookAntiqua"/>
                <w:sz w:val="20"/>
                <w:szCs w:val="20"/>
              </w:rPr>
              <w:t xml:space="preserve">Moderate </w:t>
            </w:r>
            <w:r w:rsidR="00C02995">
              <w:rPr>
                <w:rFonts w:ascii="BookAntiqua" w:hAnsi="BookAntiqua" w:cs="BookAntiqua"/>
                <w:sz w:val="20"/>
                <w:szCs w:val="20"/>
              </w:rPr>
              <w:t>effective</w:t>
            </w:r>
          </w:p>
        </w:tc>
        <w:tc>
          <w:tcPr>
            <w:tcW w:w="2779" w:type="dxa"/>
          </w:tcPr>
          <w:p w14:paraId="250CEF28" w14:textId="77777777" w:rsidR="00914535" w:rsidRDefault="00914535" w:rsidP="000A5663">
            <w:pPr>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sidRPr="0037221E">
              <w:rPr>
                <w:rFonts w:ascii="BookAntiqua" w:hAnsi="BookAntiqua" w:cs="BookAntiqua"/>
                <w:sz w:val="20"/>
                <w:szCs w:val="20"/>
              </w:rPr>
              <w:t>-.098</w:t>
            </w:r>
          </w:p>
        </w:tc>
        <w:tc>
          <w:tcPr>
            <w:tcW w:w="3350" w:type="dxa"/>
          </w:tcPr>
          <w:p w14:paraId="7C3FA380" w14:textId="77777777" w:rsidR="00914535" w:rsidRDefault="00914535" w:rsidP="000A5663">
            <w:pPr>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0.907</w:t>
            </w:r>
          </w:p>
        </w:tc>
      </w:tr>
      <w:tr w:rsidR="00EA47C2" w14:paraId="11143EFC" w14:textId="77777777" w:rsidTr="2AE4F4DE">
        <w:tc>
          <w:tcPr>
            <w:cnfStyle w:val="001000000000" w:firstRow="0" w:lastRow="0" w:firstColumn="1" w:lastColumn="0" w:oddVBand="0" w:evenVBand="0" w:oddHBand="0" w:evenHBand="0" w:firstRowFirstColumn="0" w:firstRowLastColumn="0" w:lastRowFirstColumn="0" w:lastRowLastColumn="0"/>
            <w:tcW w:w="2801" w:type="dxa"/>
          </w:tcPr>
          <w:p w14:paraId="6156CF04" w14:textId="1174B041" w:rsidR="00914535" w:rsidRDefault="00914535" w:rsidP="000A5663">
            <w:pPr>
              <w:jc w:val="left"/>
              <w:rPr>
                <w:rFonts w:ascii="BookAntiqua" w:hAnsi="BookAntiqua" w:cs="BookAntiqua"/>
                <w:sz w:val="20"/>
                <w:szCs w:val="20"/>
              </w:rPr>
            </w:pPr>
            <w:r>
              <w:rPr>
                <w:rFonts w:ascii="BookAntiqua" w:hAnsi="BookAntiqua" w:cs="BookAntiqua"/>
                <w:sz w:val="20"/>
                <w:szCs w:val="20"/>
              </w:rPr>
              <w:t>Important/Very effective</w:t>
            </w:r>
            <w:r w:rsidR="74E24099" w:rsidRPr="238253AB">
              <w:rPr>
                <w:rFonts w:ascii="BookAntiqua" w:hAnsi="BookAntiqua" w:cs="BookAntiqua"/>
                <w:sz w:val="20"/>
                <w:szCs w:val="20"/>
              </w:rPr>
              <w:t xml:space="preserve"> </w:t>
            </w:r>
            <w:r>
              <w:rPr>
                <w:rFonts w:ascii="BookAntiqua" w:hAnsi="BookAntiqua" w:cs="BookAntiqua"/>
                <w:sz w:val="20"/>
                <w:szCs w:val="20"/>
              </w:rPr>
              <w:t>(Ref)</w:t>
            </w:r>
          </w:p>
        </w:tc>
        <w:tc>
          <w:tcPr>
            <w:tcW w:w="2779" w:type="dxa"/>
          </w:tcPr>
          <w:p w14:paraId="5A50C709" w14:textId="77777777" w:rsidR="00914535" w:rsidRDefault="00914535" w:rsidP="000A5663">
            <w:pPr>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w:t>
            </w:r>
          </w:p>
        </w:tc>
        <w:tc>
          <w:tcPr>
            <w:tcW w:w="3350" w:type="dxa"/>
          </w:tcPr>
          <w:p w14:paraId="67F08467" w14:textId="77777777" w:rsidR="00914535" w:rsidRDefault="00914535" w:rsidP="000A5663">
            <w:pPr>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w:t>
            </w:r>
          </w:p>
        </w:tc>
      </w:tr>
      <w:tr w:rsidR="005D336C" w14:paraId="1683E32F" w14:textId="77777777" w:rsidTr="2AE4F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0" w:type="dxa"/>
            <w:gridSpan w:val="3"/>
            <w:shd w:val="clear" w:color="auto" w:fill="A6A6A6" w:themeFill="background1" w:themeFillShade="A6"/>
          </w:tcPr>
          <w:p w14:paraId="50C0FBAC" w14:textId="3B1B7D8D" w:rsidR="00914535" w:rsidRDefault="00914535" w:rsidP="000A5663">
            <w:pPr>
              <w:jc w:val="left"/>
              <w:rPr>
                <w:rFonts w:ascii="BookAntiqua" w:hAnsi="BookAntiqua" w:cs="BookAntiqua"/>
                <w:sz w:val="20"/>
                <w:szCs w:val="20"/>
              </w:rPr>
            </w:pPr>
            <w:r w:rsidRPr="00B53877">
              <w:rPr>
                <w:rFonts w:ascii="BookAntiqua" w:hAnsi="BookAntiqua" w:cs="BookAntiqua"/>
                <w:b/>
                <w:bCs/>
                <w:i w:val="0"/>
                <w:iCs w:val="0"/>
                <w:sz w:val="20"/>
                <w:szCs w:val="20"/>
              </w:rPr>
              <w:t>X</w:t>
            </w:r>
            <w:r>
              <w:rPr>
                <w:rFonts w:ascii="BookAntiqua" w:hAnsi="BookAntiqua" w:cs="BookAntiqua"/>
                <w:b/>
                <w:bCs/>
                <w:i w:val="0"/>
                <w:iCs w:val="0"/>
                <w:sz w:val="20"/>
                <w:szCs w:val="20"/>
                <w:vertAlign w:val="subscript"/>
              </w:rPr>
              <w:t>5</w:t>
            </w:r>
            <w:r>
              <w:rPr>
                <w:rFonts w:ascii="BookAntiqua" w:hAnsi="BookAntiqua" w:cs="BookAntiqua"/>
                <w:b/>
                <w:bCs/>
                <w:i w:val="0"/>
                <w:iCs w:val="0"/>
                <w:sz w:val="20"/>
                <w:szCs w:val="20"/>
              </w:rPr>
              <w:t xml:space="preserve"> (</w:t>
            </w:r>
            <w:r w:rsidR="009D40DE">
              <w:rPr>
                <w:rFonts w:ascii="BookAntiqua" w:hAnsi="BookAntiqua" w:cs="BookAntiqua"/>
                <w:b/>
                <w:bCs/>
                <w:i w:val="0"/>
                <w:iCs w:val="0"/>
                <w:sz w:val="20"/>
                <w:szCs w:val="20"/>
              </w:rPr>
              <w:t>Suspending</w:t>
            </w:r>
            <w:r>
              <w:rPr>
                <w:rFonts w:ascii="BookAntiqua" w:hAnsi="BookAntiqua" w:cs="BookAntiqua"/>
                <w:b/>
                <w:bCs/>
                <w:i w:val="0"/>
                <w:iCs w:val="0"/>
                <w:sz w:val="20"/>
                <w:szCs w:val="20"/>
              </w:rPr>
              <w:t xml:space="preserve"> housing permits policies</w:t>
            </w:r>
            <w:r w:rsidRPr="00B53877">
              <w:rPr>
                <w:rFonts w:ascii="BookAntiqua" w:hAnsi="BookAntiqua" w:cs="BookAntiqua"/>
                <w:b/>
                <w:bCs/>
                <w:i w:val="0"/>
                <w:iCs w:val="0"/>
                <w:sz w:val="20"/>
                <w:szCs w:val="20"/>
              </w:rPr>
              <w:t>)</w:t>
            </w:r>
          </w:p>
        </w:tc>
      </w:tr>
      <w:tr w:rsidR="00EA47C2" w14:paraId="42B9E73E" w14:textId="77777777" w:rsidTr="2AE4F4DE">
        <w:tc>
          <w:tcPr>
            <w:cnfStyle w:val="001000000000" w:firstRow="0" w:lastRow="0" w:firstColumn="1" w:lastColumn="0" w:oddVBand="0" w:evenVBand="0" w:oddHBand="0" w:evenHBand="0" w:firstRowFirstColumn="0" w:firstRowLastColumn="0" w:lastRowFirstColumn="0" w:lastRowLastColumn="0"/>
            <w:tcW w:w="2801" w:type="dxa"/>
          </w:tcPr>
          <w:p w14:paraId="5CAF328D" w14:textId="77777777" w:rsidR="00914535" w:rsidRDefault="00914535" w:rsidP="000A5663">
            <w:pPr>
              <w:jc w:val="both"/>
              <w:rPr>
                <w:rFonts w:ascii="BookAntiqua" w:hAnsi="BookAntiqua" w:cs="BookAntiqua"/>
                <w:sz w:val="20"/>
                <w:szCs w:val="20"/>
              </w:rPr>
            </w:pPr>
            <w:r>
              <w:rPr>
                <w:rFonts w:ascii="BookAntiqua" w:hAnsi="BookAntiqua" w:cs="BookAntiqua"/>
                <w:sz w:val="20"/>
                <w:szCs w:val="20"/>
              </w:rPr>
              <w:t xml:space="preserve">Positive </w:t>
            </w:r>
          </w:p>
        </w:tc>
        <w:tc>
          <w:tcPr>
            <w:tcW w:w="2779" w:type="dxa"/>
          </w:tcPr>
          <w:p w14:paraId="48333911" w14:textId="77777777" w:rsidR="00914535" w:rsidRDefault="00914535" w:rsidP="000A5663">
            <w:pPr>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Pr>
                <w:rFonts w:ascii="Arial" w:hAnsi="Arial" w:cs="Arial"/>
                <w:color w:val="000000"/>
                <w:sz w:val="18"/>
                <w:szCs w:val="18"/>
              </w:rPr>
              <w:t>0</w:t>
            </w:r>
            <w:r w:rsidRPr="00CA2992">
              <w:rPr>
                <w:rFonts w:ascii="Arial" w:hAnsi="Arial" w:cs="Arial"/>
                <w:color w:val="000000"/>
                <w:sz w:val="18"/>
                <w:szCs w:val="18"/>
              </w:rPr>
              <w:t>.655</w:t>
            </w:r>
            <w:r>
              <w:rPr>
                <w:rFonts w:ascii="BookAntiqua" w:hAnsi="BookAntiqua" w:cs="BookAntiqua"/>
                <w:sz w:val="20"/>
                <w:szCs w:val="20"/>
                <w:vertAlign w:val="superscript"/>
              </w:rPr>
              <w:t>***</w:t>
            </w:r>
          </w:p>
        </w:tc>
        <w:tc>
          <w:tcPr>
            <w:tcW w:w="3350" w:type="dxa"/>
          </w:tcPr>
          <w:p w14:paraId="702125F4" w14:textId="77777777" w:rsidR="00914535" w:rsidRDefault="00914535" w:rsidP="000A5663">
            <w:pPr>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1.925</w:t>
            </w:r>
            <w:r>
              <w:rPr>
                <w:rFonts w:ascii="BookAntiqua" w:hAnsi="BookAntiqua" w:cs="BookAntiqua"/>
                <w:sz w:val="20"/>
                <w:szCs w:val="20"/>
                <w:vertAlign w:val="superscript"/>
              </w:rPr>
              <w:t>***</w:t>
            </w:r>
          </w:p>
        </w:tc>
      </w:tr>
      <w:tr w:rsidR="005D336C" w14:paraId="26E8CFCB" w14:textId="77777777" w:rsidTr="2AE4F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14:paraId="70E91B0C" w14:textId="77777777" w:rsidR="00914535" w:rsidRDefault="00914535" w:rsidP="000A5663">
            <w:pPr>
              <w:jc w:val="both"/>
              <w:rPr>
                <w:rFonts w:ascii="BookAntiqua" w:hAnsi="BookAntiqua" w:cs="BookAntiqua"/>
                <w:sz w:val="20"/>
                <w:szCs w:val="20"/>
              </w:rPr>
            </w:pPr>
            <w:r>
              <w:rPr>
                <w:rFonts w:ascii="BookAntiqua" w:hAnsi="BookAntiqua" w:cs="BookAntiqua"/>
                <w:sz w:val="20"/>
                <w:szCs w:val="20"/>
              </w:rPr>
              <w:t>Negative (Ref)</w:t>
            </w:r>
          </w:p>
        </w:tc>
        <w:tc>
          <w:tcPr>
            <w:tcW w:w="2779" w:type="dxa"/>
          </w:tcPr>
          <w:p w14:paraId="39BFA048" w14:textId="77777777" w:rsidR="00914535" w:rsidRDefault="00914535" w:rsidP="000A5663">
            <w:pPr>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w:t>
            </w:r>
          </w:p>
        </w:tc>
        <w:tc>
          <w:tcPr>
            <w:tcW w:w="3350" w:type="dxa"/>
          </w:tcPr>
          <w:p w14:paraId="0774CCFE" w14:textId="77777777" w:rsidR="00914535" w:rsidRDefault="00914535" w:rsidP="000A5663">
            <w:pPr>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w:t>
            </w:r>
          </w:p>
        </w:tc>
      </w:tr>
      <w:tr w:rsidR="005D336C" w14:paraId="3F86DFEA" w14:textId="77777777" w:rsidTr="2AE4F4DE">
        <w:tc>
          <w:tcPr>
            <w:cnfStyle w:val="001000000000" w:firstRow="0" w:lastRow="0" w:firstColumn="1" w:lastColumn="0" w:oddVBand="0" w:evenVBand="0" w:oddHBand="0" w:evenHBand="0" w:firstRowFirstColumn="0" w:firstRowLastColumn="0" w:lastRowFirstColumn="0" w:lastRowLastColumn="0"/>
            <w:tcW w:w="8930" w:type="dxa"/>
            <w:gridSpan w:val="3"/>
            <w:shd w:val="clear" w:color="auto" w:fill="A6A6A6" w:themeFill="background1" w:themeFillShade="A6"/>
          </w:tcPr>
          <w:p w14:paraId="4C7855F8" w14:textId="77777777" w:rsidR="00914535" w:rsidRDefault="00914535" w:rsidP="000A5663">
            <w:pPr>
              <w:jc w:val="left"/>
              <w:rPr>
                <w:rFonts w:ascii="BookAntiqua" w:hAnsi="BookAntiqua" w:cs="BookAntiqua"/>
                <w:sz w:val="20"/>
                <w:szCs w:val="20"/>
              </w:rPr>
            </w:pPr>
            <w:r w:rsidRPr="00B53877">
              <w:rPr>
                <w:rFonts w:ascii="BookAntiqua" w:hAnsi="BookAntiqua" w:cs="BookAntiqua"/>
                <w:b/>
                <w:bCs/>
                <w:i w:val="0"/>
                <w:iCs w:val="0"/>
                <w:sz w:val="20"/>
                <w:szCs w:val="20"/>
              </w:rPr>
              <w:t>X</w:t>
            </w:r>
            <w:r>
              <w:rPr>
                <w:rFonts w:ascii="BookAntiqua" w:hAnsi="BookAntiqua" w:cs="BookAntiqua"/>
                <w:b/>
                <w:bCs/>
                <w:i w:val="0"/>
                <w:iCs w:val="0"/>
                <w:sz w:val="20"/>
                <w:szCs w:val="20"/>
                <w:vertAlign w:val="subscript"/>
              </w:rPr>
              <w:t>6</w:t>
            </w:r>
            <w:r>
              <w:rPr>
                <w:rFonts w:ascii="BookAntiqua" w:hAnsi="BookAntiqua" w:cs="BookAntiqua"/>
                <w:b/>
                <w:bCs/>
                <w:i w:val="0"/>
                <w:iCs w:val="0"/>
                <w:sz w:val="20"/>
                <w:szCs w:val="20"/>
              </w:rPr>
              <w:t xml:space="preserve"> (Cultural and religious reasons</w:t>
            </w:r>
            <w:r w:rsidRPr="00B53877">
              <w:rPr>
                <w:rFonts w:ascii="BookAntiqua" w:hAnsi="BookAntiqua" w:cs="BookAntiqua"/>
                <w:b/>
                <w:bCs/>
                <w:i w:val="0"/>
                <w:iCs w:val="0"/>
                <w:sz w:val="20"/>
                <w:szCs w:val="20"/>
              </w:rPr>
              <w:t>)</w:t>
            </w:r>
          </w:p>
        </w:tc>
      </w:tr>
      <w:tr w:rsidR="005D336C" w14:paraId="04D9011A" w14:textId="77777777" w:rsidTr="2AE4F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14:paraId="3448DF29" w14:textId="77777777" w:rsidR="00914535" w:rsidRDefault="00914535" w:rsidP="000A5663">
            <w:pPr>
              <w:jc w:val="both"/>
              <w:rPr>
                <w:rFonts w:ascii="BookAntiqua" w:hAnsi="BookAntiqua" w:cs="BookAntiqua"/>
                <w:sz w:val="20"/>
                <w:szCs w:val="20"/>
              </w:rPr>
            </w:pPr>
            <w:r>
              <w:rPr>
                <w:rFonts w:ascii="BookAntiqua" w:hAnsi="BookAntiqua" w:cs="BookAntiqua"/>
                <w:sz w:val="20"/>
                <w:szCs w:val="20"/>
              </w:rPr>
              <w:t>Administrative and financial reasons</w:t>
            </w:r>
          </w:p>
        </w:tc>
        <w:tc>
          <w:tcPr>
            <w:tcW w:w="2779" w:type="dxa"/>
          </w:tcPr>
          <w:p w14:paraId="6AA608D9" w14:textId="77777777" w:rsidR="00914535" w:rsidRDefault="00914535" w:rsidP="000A5663">
            <w:pPr>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sidRPr="00CA2992">
              <w:rPr>
                <w:rFonts w:ascii="Arial" w:hAnsi="Arial" w:cs="Arial"/>
                <w:color w:val="000000"/>
                <w:sz w:val="18"/>
                <w:szCs w:val="18"/>
              </w:rPr>
              <w:t>.353</w:t>
            </w:r>
            <w:r>
              <w:rPr>
                <w:rFonts w:ascii="BookAntiqua" w:hAnsi="BookAntiqua" w:cs="BookAntiqua"/>
                <w:sz w:val="20"/>
                <w:szCs w:val="20"/>
                <w:vertAlign w:val="superscript"/>
              </w:rPr>
              <w:t>*</w:t>
            </w:r>
          </w:p>
        </w:tc>
        <w:tc>
          <w:tcPr>
            <w:tcW w:w="3350" w:type="dxa"/>
          </w:tcPr>
          <w:p w14:paraId="7EAE6EAE" w14:textId="77777777" w:rsidR="00914535" w:rsidRDefault="00914535" w:rsidP="000A5663">
            <w:pPr>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1.423</w:t>
            </w:r>
          </w:p>
        </w:tc>
      </w:tr>
      <w:tr w:rsidR="00EA47C2" w14:paraId="5AD14247" w14:textId="77777777" w:rsidTr="2AE4F4DE">
        <w:tc>
          <w:tcPr>
            <w:cnfStyle w:val="001000000000" w:firstRow="0" w:lastRow="0" w:firstColumn="1" w:lastColumn="0" w:oddVBand="0" w:evenVBand="0" w:oddHBand="0" w:evenHBand="0" w:firstRowFirstColumn="0" w:firstRowLastColumn="0" w:lastRowFirstColumn="0" w:lastRowLastColumn="0"/>
            <w:tcW w:w="2801" w:type="dxa"/>
          </w:tcPr>
          <w:p w14:paraId="0A3D07CE" w14:textId="0A616DA6" w:rsidR="00914535" w:rsidRDefault="00914535" w:rsidP="44512F32">
            <w:pPr>
              <w:jc w:val="both"/>
              <w:rPr>
                <w:rFonts w:ascii="BookAntiqua" w:hAnsi="BookAntiqua" w:cs="BookAntiqua"/>
                <w:sz w:val="20"/>
                <w:szCs w:val="20"/>
              </w:rPr>
            </w:pPr>
            <w:r>
              <w:rPr>
                <w:rFonts w:ascii="BookAntiqua" w:hAnsi="BookAntiqua" w:cs="BookAntiqua"/>
                <w:sz w:val="20"/>
                <w:szCs w:val="20"/>
              </w:rPr>
              <w:t>Cultural and religious</w:t>
            </w:r>
          </w:p>
          <w:p w14:paraId="140BE78A" w14:textId="0693802A" w:rsidR="00914535" w:rsidRDefault="00914535" w:rsidP="000A5663">
            <w:pPr>
              <w:jc w:val="both"/>
              <w:rPr>
                <w:rFonts w:ascii="BookAntiqua" w:hAnsi="BookAntiqua" w:cs="BookAntiqua"/>
                <w:sz w:val="20"/>
                <w:szCs w:val="20"/>
              </w:rPr>
            </w:pPr>
            <w:r w:rsidRPr="4DB15421">
              <w:rPr>
                <w:rFonts w:ascii="BookAntiqua" w:hAnsi="BookAntiqua" w:cs="BookAntiqua"/>
                <w:sz w:val="20"/>
                <w:szCs w:val="20"/>
              </w:rPr>
              <w:t xml:space="preserve"> </w:t>
            </w:r>
            <w:r w:rsidR="7CA454FA" w:rsidRPr="4DB15421">
              <w:rPr>
                <w:rFonts w:ascii="BookAntiqua" w:hAnsi="BookAntiqua" w:cs="BookAntiqua"/>
                <w:sz w:val="20"/>
                <w:szCs w:val="20"/>
              </w:rPr>
              <w:t>R</w:t>
            </w:r>
            <w:r w:rsidRPr="4DB15421">
              <w:rPr>
                <w:rFonts w:ascii="BookAntiqua" w:hAnsi="BookAntiqua" w:cs="BookAntiqua"/>
                <w:sz w:val="20"/>
                <w:szCs w:val="20"/>
              </w:rPr>
              <w:t>easons</w:t>
            </w:r>
            <w:r w:rsidR="7CA454FA" w:rsidRPr="4DB15421">
              <w:rPr>
                <w:rFonts w:ascii="BookAntiqua" w:hAnsi="BookAntiqua" w:cs="BookAntiqua"/>
                <w:sz w:val="20"/>
                <w:szCs w:val="20"/>
              </w:rPr>
              <w:t xml:space="preserve"> (Ref)</w:t>
            </w:r>
          </w:p>
        </w:tc>
        <w:tc>
          <w:tcPr>
            <w:tcW w:w="2779" w:type="dxa"/>
          </w:tcPr>
          <w:p w14:paraId="27BE493D" w14:textId="77777777" w:rsidR="00914535" w:rsidRDefault="00914535" w:rsidP="000A5663">
            <w:pPr>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w:t>
            </w:r>
          </w:p>
        </w:tc>
        <w:tc>
          <w:tcPr>
            <w:tcW w:w="3350" w:type="dxa"/>
          </w:tcPr>
          <w:p w14:paraId="4A0C742A" w14:textId="77777777" w:rsidR="00914535" w:rsidRDefault="00914535" w:rsidP="000A5663">
            <w:pPr>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w:t>
            </w:r>
          </w:p>
        </w:tc>
      </w:tr>
      <w:tr w:rsidR="005D336C" w14:paraId="7ABDC273" w14:textId="77777777" w:rsidTr="2AE4F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0" w:type="dxa"/>
            <w:gridSpan w:val="3"/>
            <w:shd w:val="clear" w:color="auto" w:fill="A6A6A6" w:themeFill="background1" w:themeFillShade="A6"/>
          </w:tcPr>
          <w:p w14:paraId="28E88186" w14:textId="77777777" w:rsidR="00914535" w:rsidRDefault="00914535" w:rsidP="000A5663">
            <w:pPr>
              <w:jc w:val="left"/>
              <w:rPr>
                <w:rFonts w:ascii="BookAntiqua" w:hAnsi="BookAntiqua" w:cs="BookAntiqua"/>
                <w:sz w:val="20"/>
                <w:szCs w:val="20"/>
              </w:rPr>
            </w:pPr>
            <w:r w:rsidRPr="00B53877">
              <w:rPr>
                <w:rFonts w:ascii="BookAntiqua" w:hAnsi="BookAntiqua" w:cs="BookAntiqua"/>
                <w:b/>
                <w:bCs/>
                <w:i w:val="0"/>
                <w:iCs w:val="0"/>
                <w:sz w:val="20"/>
                <w:szCs w:val="20"/>
              </w:rPr>
              <w:t>X</w:t>
            </w:r>
            <w:r>
              <w:rPr>
                <w:rFonts w:ascii="BookAntiqua" w:hAnsi="BookAntiqua" w:cs="BookAntiqua"/>
                <w:b/>
                <w:bCs/>
                <w:i w:val="0"/>
                <w:iCs w:val="0"/>
                <w:sz w:val="20"/>
                <w:szCs w:val="20"/>
                <w:vertAlign w:val="subscript"/>
              </w:rPr>
              <w:t>7</w:t>
            </w:r>
            <w:r>
              <w:rPr>
                <w:rFonts w:ascii="BookAntiqua" w:hAnsi="BookAntiqua" w:cs="BookAntiqua"/>
                <w:b/>
                <w:bCs/>
                <w:i w:val="0"/>
                <w:iCs w:val="0"/>
                <w:sz w:val="20"/>
                <w:szCs w:val="20"/>
              </w:rPr>
              <w:t xml:space="preserve"> (COVID-19</w:t>
            </w:r>
            <w:r w:rsidRPr="00B53877">
              <w:rPr>
                <w:rFonts w:ascii="BookAntiqua" w:hAnsi="BookAntiqua" w:cs="BookAntiqua"/>
                <w:b/>
                <w:bCs/>
                <w:i w:val="0"/>
                <w:iCs w:val="0"/>
                <w:sz w:val="20"/>
                <w:szCs w:val="20"/>
              </w:rPr>
              <w:t>)</w:t>
            </w:r>
          </w:p>
        </w:tc>
      </w:tr>
      <w:tr w:rsidR="00EA47C2" w14:paraId="298A9786" w14:textId="77777777" w:rsidTr="2AE4F4DE">
        <w:tc>
          <w:tcPr>
            <w:cnfStyle w:val="001000000000" w:firstRow="0" w:lastRow="0" w:firstColumn="1" w:lastColumn="0" w:oddVBand="0" w:evenVBand="0" w:oddHBand="0" w:evenHBand="0" w:firstRowFirstColumn="0" w:firstRowLastColumn="0" w:lastRowFirstColumn="0" w:lastRowLastColumn="0"/>
            <w:tcW w:w="2801" w:type="dxa"/>
          </w:tcPr>
          <w:p w14:paraId="5CD9AEA3" w14:textId="77777777" w:rsidR="00914535" w:rsidRDefault="00914535" w:rsidP="000A5663">
            <w:pPr>
              <w:jc w:val="both"/>
              <w:rPr>
                <w:rFonts w:ascii="BookAntiqua" w:hAnsi="BookAntiqua" w:cs="BookAntiqua"/>
                <w:sz w:val="20"/>
                <w:szCs w:val="20"/>
              </w:rPr>
            </w:pPr>
            <w:r>
              <w:rPr>
                <w:rFonts w:ascii="BookAntiqua" w:hAnsi="BookAntiqua" w:cs="BookAntiqua"/>
                <w:sz w:val="20"/>
                <w:szCs w:val="20"/>
              </w:rPr>
              <w:t xml:space="preserve">Positive </w:t>
            </w:r>
          </w:p>
        </w:tc>
        <w:tc>
          <w:tcPr>
            <w:tcW w:w="2779" w:type="dxa"/>
          </w:tcPr>
          <w:p w14:paraId="260D7C9B" w14:textId="77777777" w:rsidR="00914535" w:rsidRPr="004A477F" w:rsidRDefault="00914535" w:rsidP="000A5663">
            <w:pPr>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vertAlign w:val="superscript"/>
              </w:rPr>
            </w:pPr>
            <w:r w:rsidRPr="00CA2992">
              <w:rPr>
                <w:rFonts w:ascii="Arial" w:hAnsi="Arial" w:cs="Arial"/>
                <w:color w:val="000000"/>
                <w:sz w:val="18"/>
                <w:szCs w:val="18"/>
              </w:rPr>
              <w:t>-.502</w:t>
            </w:r>
            <w:r>
              <w:rPr>
                <w:rFonts w:ascii="Arial" w:hAnsi="Arial" w:cs="Arial"/>
                <w:color w:val="000000"/>
                <w:sz w:val="18"/>
                <w:szCs w:val="18"/>
                <w:vertAlign w:val="superscript"/>
              </w:rPr>
              <w:t>**</w:t>
            </w:r>
          </w:p>
        </w:tc>
        <w:tc>
          <w:tcPr>
            <w:tcW w:w="3350" w:type="dxa"/>
          </w:tcPr>
          <w:p w14:paraId="6E721488" w14:textId="77777777" w:rsidR="00914535" w:rsidRDefault="00914535" w:rsidP="000A5663">
            <w:pPr>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0.605</w:t>
            </w:r>
            <w:r>
              <w:rPr>
                <w:rFonts w:ascii="BookAntiqua" w:hAnsi="BookAntiqua" w:cs="BookAntiqua"/>
                <w:sz w:val="20"/>
                <w:szCs w:val="20"/>
                <w:vertAlign w:val="superscript"/>
              </w:rPr>
              <w:t>**</w:t>
            </w:r>
          </w:p>
        </w:tc>
      </w:tr>
      <w:tr w:rsidR="005D336C" w14:paraId="19D56DF7" w14:textId="77777777" w:rsidTr="2AE4F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14:paraId="44E3BBBB" w14:textId="77777777" w:rsidR="00914535" w:rsidRDefault="00914535" w:rsidP="000A5663">
            <w:pPr>
              <w:jc w:val="both"/>
              <w:rPr>
                <w:rFonts w:ascii="BookAntiqua" w:hAnsi="BookAntiqua" w:cs="BookAntiqua"/>
                <w:sz w:val="20"/>
                <w:szCs w:val="20"/>
              </w:rPr>
            </w:pPr>
            <w:r>
              <w:rPr>
                <w:rFonts w:ascii="BookAntiqua" w:hAnsi="BookAntiqua" w:cs="BookAntiqua"/>
                <w:sz w:val="20"/>
                <w:szCs w:val="20"/>
              </w:rPr>
              <w:t>Negative (Ref)</w:t>
            </w:r>
          </w:p>
        </w:tc>
        <w:tc>
          <w:tcPr>
            <w:tcW w:w="2779" w:type="dxa"/>
          </w:tcPr>
          <w:p w14:paraId="6FA5DCC8" w14:textId="77777777" w:rsidR="00914535" w:rsidRDefault="00914535" w:rsidP="000A5663">
            <w:pPr>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w:t>
            </w:r>
          </w:p>
        </w:tc>
        <w:tc>
          <w:tcPr>
            <w:tcW w:w="3350" w:type="dxa"/>
          </w:tcPr>
          <w:p w14:paraId="4913DB6B" w14:textId="77777777" w:rsidR="00914535" w:rsidRDefault="00914535" w:rsidP="000A5663">
            <w:pPr>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w:t>
            </w:r>
          </w:p>
        </w:tc>
      </w:tr>
      <w:tr w:rsidR="005D336C" w14:paraId="0E67843E" w14:textId="77777777" w:rsidTr="2AE4F4DE">
        <w:tc>
          <w:tcPr>
            <w:cnfStyle w:val="001000000000" w:firstRow="0" w:lastRow="0" w:firstColumn="1" w:lastColumn="0" w:oddVBand="0" w:evenVBand="0" w:oddHBand="0" w:evenHBand="0" w:firstRowFirstColumn="0" w:firstRowLastColumn="0" w:lastRowFirstColumn="0" w:lastRowLastColumn="0"/>
            <w:tcW w:w="8930" w:type="dxa"/>
            <w:gridSpan w:val="3"/>
            <w:shd w:val="clear" w:color="auto" w:fill="A6A6A6" w:themeFill="background1" w:themeFillShade="A6"/>
          </w:tcPr>
          <w:p w14:paraId="2BE86B42" w14:textId="77777777" w:rsidR="00914535" w:rsidRDefault="00914535" w:rsidP="000A5663">
            <w:pPr>
              <w:jc w:val="left"/>
              <w:rPr>
                <w:rFonts w:ascii="BookAntiqua" w:hAnsi="BookAntiqua" w:cs="BookAntiqua"/>
                <w:sz w:val="20"/>
                <w:szCs w:val="20"/>
              </w:rPr>
            </w:pPr>
            <w:r w:rsidRPr="00B53877">
              <w:rPr>
                <w:rFonts w:ascii="BookAntiqua" w:hAnsi="BookAntiqua" w:cs="BookAntiqua"/>
                <w:b/>
                <w:bCs/>
                <w:i w:val="0"/>
                <w:iCs w:val="0"/>
                <w:sz w:val="20"/>
                <w:szCs w:val="20"/>
              </w:rPr>
              <w:t>X</w:t>
            </w:r>
            <w:r>
              <w:rPr>
                <w:rFonts w:ascii="BookAntiqua" w:hAnsi="BookAntiqua" w:cs="BookAntiqua"/>
                <w:b/>
                <w:bCs/>
                <w:i w:val="0"/>
                <w:iCs w:val="0"/>
                <w:sz w:val="20"/>
                <w:szCs w:val="20"/>
                <w:vertAlign w:val="subscript"/>
              </w:rPr>
              <w:t>8</w:t>
            </w:r>
            <w:r>
              <w:rPr>
                <w:rFonts w:ascii="BookAntiqua" w:hAnsi="BookAntiqua" w:cs="BookAntiqua"/>
                <w:b/>
                <w:bCs/>
                <w:i w:val="0"/>
                <w:iCs w:val="0"/>
                <w:sz w:val="20"/>
                <w:szCs w:val="20"/>
              </w:rPr>
              <w:t xml:space="preserve"> (Pound Floatation</w:t>
            </w:r>
            <w:r w:rsidRPr="00B53877">
              <w:rPr>
                <w:rFonts w:ascii="BookAntiqua" w:hAnsi="BookAntiqua" w:cs="BookAntiqua"/>
                <w:b/>
                <w:bCs/>
                <w:i w:val="0"/>
                <w:iCs w:val="0"/>
                <w:sz w:val="20"/>
                <w:szCs w:val="20"/>
              </w:rPr>
              <w:t>)</w:t>
            </w:r>
          </w:p>
        </w:tc>
      </w:tr>
      <w:tr w:rsidR="005D336C" w14:paraId="2F8F7B4C" w14:textId="77777777" w:rsidTr="2AE4F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14:paraId="3448FA04" w14:textId="77777777" w:rsidR="00914535" w:rsidRDefault="00914535" w:rsidP="000A5663">
            <w:pPr>
              <w:jc w:val="both"/>
              <w:rPr>
                <w:rFonts w:ascii="BookAntiqua" w:hAnsi="BookAntiqua" w:cs="BookAntiqua"/>
                <w:sz w:val="20"/>
                <w:szCs w:val="20"/>
              </w:rPr>
            </w:pPr>
            <w:r>
              <w:rPr>
                <w:rFonts w:ascii="BookAntiqua" w:hAnsi="BookAntiqua" w:cs="BookAntiqua"/>
                <w:sz w:val="20"/>
                <w:szCs w:val="20"/>
              </w:rPr>
              <w:t xml:space="preserve">Positive </w:t>
            </w:r>
          </w:p>
        </w:tc>
        <w:tc>
          <w:tcPr>
            <w:tcW w:w="2779" w:type="dxa"/>
          </w:tcPr>
          <w:p w14:paraId="6EAC4DD5" w14:textId="77777777" w:rsidR="00914535" w:rsidRDefault="00914535" w:rsidP="000A5663">
            <w:pPr>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sidRPr="004A477F">
              <w:rPr>
                <w:rFonts w:ascii="BookAntiqua" w:hAnsi="BookAntiqua" w:cs="BookAntiqua"/>
                <w:sz w:val="20"/>
                <w:szCs w:val="20"/>
              </w:rPr>
              <w:t>-.043</w:t>
            </w:r>
          </w:p>
        </w:tc>
        <w:tc>
          <w:tcPr>
            <w:tcW w:w="3350" w:type="dxa"/>
          </w:tcPr>
          <w:p w14:paraId="6332D12C" w14:textId="77777777" w:rsidR="00914535" w:rsidRDefault="00914535" w:rsidP="000A5663">
            <w:pPr>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0.958</w:t>
            </w:r>
          </w:p>
        </w:tc>
      </w:tr>
      <w:tr w:rsidR="005D336C" w14:paraId="06274E2F" w14:textId="77777777" w:rsidTr="2AE4F4DE">
        <w:tc>
          <w:tcPr>
            <w:cnfStyle w:val="001000000000" w:firstRow="0" w:lastRow="0" w:firstColumn="1" w:lastColumn="0" w:oddVBand="0" w:evenVBand="0" w:oddHBand="0" w:evenHBand="0" w:firstRowFirstColumn="0" w:firstRowLastColumn="0" w:lastRowFirstColumn="0" w:lastRowLastColumn="0"/>
            <w:tcW w:w="2801" w:type="dxa"/>
            <w:tcBorders>
              <w:bottom w:val="single" w:sz="24" w:space="0" w:color="auto"/>
            </w:tcBorders>
          </w:tcPr>
          <w:p w14:paraId="2E79E52F" w14:textId="77777777" w:rsidR="00914535" w:rsidRDefault="00914535" w:rsidP="000A5663">
            <w:pPr>
              <w:jc w:val="both"/>
              <w:rPr>
                <w:rFonts w:ascii="BookAntiqua" w:hAnsi="BookAntiqua" w:cs="BookAntiqua"/>
                <w:sz w:val="20"/>
                <w:szCs w:val="20"/>
              </w:rPr>
            </w:pPr>
            <w:r>
              <w:rPr>
                <w:rFonts w:ascii="BookAntiqua" w:hAnsi="BookAntiqua" w:cs="BookAntiqua"/>
                <w:sz w:val="20"/>
                <w:szCs w:val="20"/>
              </w:rPr>
              <w:t>Negative (Ref)</w:t>
            </w:r>
          </w:p>
        </w:tc>
        <w:tc>
          <w:tcPr>
            <w:tcW w:w="2779" w:type="dxa"/>
            <w:tcBorders>
              <w:bottom w:val="single" w:sz="24" w:space="0" w:color="auto"/>
            </w:tcBorders>
          </w:tcPr>
          <w:p w14:paraId="1559F5FF" w14:textId="77777777" w:rsidR="00914535" w:rsidRDefault="00914535" w:rsidP="000A5663">
            <w:pPr>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w:t>
            </w:r>
          </w:p>
        </w:tc>
        <w:tc>
          <w:tcPr>
            <w:tcW w:w="3350" w:type="dxa"/>
            <w:tcBorders>
              <w:bottom w:val="single" w:sz="24" w:space="0" w:color="auto"/>
            </w:tcBorders>
          </w:tcPr>
          <w:p w14:paraId="373EFAC6" w14:textId="77777777" w:rsidR="00914535" w:rsidRDefault="00914535" w:rsidP="000A5663">
            <w:pPr>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w:t>
            </w:r>
          </w:p>
        </w:tc>
      </w:tr>
      <w:tr w:rsidR="005D336C" w14:paraId="1EBAC07F" w14:textId="77777777" w:rsidTr="2AE4F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14:paraId="2CEF02CB" w14:textId="77777777" w:rsidR="00914535" w:rsidRPr="00C67425" w:rsidRDefault="00914535" w:rsidP="000A5663">
            <w:pPr>
              <w:jc w:val="both"/>
              <w:rPr>
                <w:sz w:val="24"/>
                <w:szCs w:val="24"/>
                <w:vertAlign w:val="superscript"/>
              </w:rPr>
            </w:pPr>
            <w:r w:rsidRPr="00C67425">
              <w:rPr>
                <w:sz w:val="24"/>
                <w:szCs w:val="24"/>
              </w:rPr>
              <w:t>Psedudo R</w:t>
            </w:r>
            <w:r w:rsidRPr="00C67425">
              <w:rPr>
                <w:sz w:val="24"/>
                <w:szCs w:val="24"/>
                <w:vertAlign w:val="superscript"/>
              </w:rPr>
              <w:t>2</w:t>
            </w:r>
            <w:r w:rsidRPr="00C67425">
              <w:rPr>
                <w:sz w:val="24"/>
                <w:szCs w:val="24"/>
              </w:rPr>
              <w:t xml:space="preserve"> (Nagelkerke)</w:t>
            </w:r>
          </w:p>
        </w:tc>
        <w:tc>
          <w:tcPr>
            <w:tcW w:w="6129" w:type="dxa"/>
            <w:gridSpan w:val="2"/>
          </w:tcPr>
          <w:p w14:paraId="684AF58B" w14:textId="77777777" w:rsidR="00914535" w:rsidRPr="00C67425" w:rsidRDefault="00914535" w:rsidP="000A5663">
            <w:pPr>
              <w:jc w:val="center"/>
              <w:cnfStyle w:val="000000100000" w:firstRow="0" w:lastRow="0" w:firstColumn="0" w:lastColumn="0" w:oddVBand="0" w:evenVBand="0" w:oddHBand="1" w:evenHBand="0" w:firstRowFirstColumn="0" w:firstRowLastColumn="0" w:lastRowFirstColumn="0" w:lastRowLastColumn="0"/>
              <w:rPr>
                <w:rFonts w:cstheme="majorBidi"/>
                <w:sz w:val="24"/>
                <w:szCs w:val="24"/>
              </w:rPr>
            </w:pPr>
            <w:r w:rsidRPr="00C67425">
              <w:rPr>
                <w:rFonts w:cstheme="majorBidi"/>
                <w:sz w:val="24"/>
                <w:szCs w:val="24"/>
              </w:rPr>
              <w:t>0.171</w:t>
            </w:r>
          </w:p>
        </w:tc>
      </w:tr>
    </w:tbl>
    <w:p w14:paraId="62F15C09" w14:textId="77777777" w:rsidR="00EF48AB" w:rsidRPr="004F060E" w:rsidRDefault="00EF48AB" w:rsidP="00EF48AB">
      <w:pPr>
        <w:autoSpaceDE w:val="0"/>
        <w:autoSpaceDN w:val="0"/>
        <w:adjustRightInd w:val="0"/>
        <w:spacing w:after="0" w:line="240" w:lineRule="auto"/>
        <w:rPr>
          <w:rFonts w:cstheme="majorBidi"/>
          <w:color w:val="000000"/>
          <w:sz w:val="18"/>
          <w:szCs w:val="18"/>
        </w:rPr>
      </w:pPr>
      <w:r w:rsidRPr="004F060E">
        <w:rPr>
          <w:rFonts w:cstheme="majorBidi"/>
          <w:i/>
          <w:iCs/>
          <w:sz w:val="20"/>
          <w:szCs w:val="20"/>
        </w:rPr>
        <w:t>Source</w:t>
      </w:r>
      <w:r w:rsidRPr="004F060E">
        <w:rPr>
          <w:rFonts w:cstheme="majorBidi"/>
          <w:sz w:val="20"/>
          <w:szCs w:val="20"/>
        </w:rPr>
        <w:t xml:space="preserve">: own study, </w:t>
      </w:r>
      <w:r w:rsidRPr="004F060E">
        <w:rPr>
          <w:rFonts w:cstheme="majorBidi"/>
          <w:color w:val="000000"/>
          <w:sz w:val="18"/>
          <w:szCs w:val="18"/>
          <w:vertAlign w:val="superscript"/>
        </w:rPr>
        <w:t xml:space="preserve">* </w:t>
      </w:r>
      <w:r w:rsidRPr="004F060E">
        <w:rPr>
          <w:rFonts w:cstheme="majorBidi"/>
          <w:color w:val="000000"/>
          <w:sz w:val="18"/>
          <w:szCs w:val="18"/>
        </w:rPr>
        <w:t xml:space="preserve">significant at 0.1; </w:t>
      </w:r>
      <w:r w:rsidRPr="004F060E">
        <w:rPr>
          <w:rFonts w:cstheme="majorBidi"/>
          <w:color w:val="000000"/>
          <w:sz w:val="18"/>
          <w:szCs w:val="18"/>
          <w:vertAlign w:val="superscript"/>
        </w:rPr>
        <w:t xml:space="preserve">** </w:t>
      </w:r>
      <w:r w:rsidRPr="004F060E">
        <w:rPr>
          <w:rFonts w:cstheme="majorBidi"/>
          <w:color w:val="000000"/>
          <w:sz w:val="18"/>
          <w:szCs w:val="18"/>
        </w:rPr>
        <w:t>significant at 0.05;</w:t>
      </w:r>
      <w:r w:rsidRPr="004F060E">
        <w:rPr>
          <w:rFonts w:cstheme="majorBidi"/>
          <w:color w:val="000000"/>
          <w:sz w:val="18"/>
          <w:szCs w:val="18"/>
          <w:vertAlign w:val="superscript"/>
        </w:rPr>
        <w:t xml:space="preserve"> *** </w:t>
      </w:r>
      <w:r w:rsidRPr="004F060E">
        <w:rPr>
          <w:rFonts w:cstheme="majorBidi"/>
          <w:color w:val="000000"/>
          <w:sz w:val="18"/>
          <w:szCs w:val="18"/>
        </w:rPr>
        <w:t>significant at 0.01</w:t>
      </w:r>
    </w:p>
    <w:p w14:paraId="6064B091" w14:textId="77777777" w:rsidR="00EF48AB" w:rsidRPr="004F060E" w:rsidRDefault="00EF48AB" w:rsidP="00EF48AB">
      <w:pPr>
        <w:autoSpaceDE w:val="0"/>
        <w:autoSpaceDN w:val="0"/>
        <w:adjustRightInd w:val="0"/>
        <w:spacing w:after="0" w:line="240" w:lineRule="auto"/>
        <w:rPr>
          <w:rFonts w:eastAsiaTheme="minorEastAsia" w:cstheme="majorBidi"/>
          <w:color w:val="000000"/>
          <w:sz w:val="18"/>
          <w:szCs w:val="18"/>
        </w:rPr>
      </w:pPr>
      <w:r w:rsidRPr="004F060E">
        <w:rPr>
          <w:rFonts w:cstheme="majorBidi"/>
          <w:color w:val="000000"/>
          <w:sz w:val="18"/>
          <w:szCs w:val="18"/>
        </w:rPr>
        <w:t xml:space="preserve">-2loglikelihood= 439.969, </w:t>
      </w:r>
      <m:oMath>
        <m:sSub>
          <m:sSubPr>
            <m:ctrlPr>
              <w:rPr>
                <w:rFonts w:ascii="Cambria Math" w:hAnsi="Cambria Math" w:cstheme="majorBidi"/>
                <w:i/>
                <w:color w:val="000000"/>
                <w:sz w:val="18"/>
                <w:szCs w:val="18"/>
              </w:rPr>
            </m:ctrlPr>
          </m:sSubPr>
          <m:e>
            <m:r>
              <m:rPr>
                <m:sty m:val="p"/>
              </m:rPr>
              <w:rPr>
                <w:rFonts w:ascii="Cambria Math" w:hAnsi="Cambria Math" w:cs="Segoe UI Semilight"/>
                <w:color w:val="262626"/>
                <w:sz w:val="21"/>
                <w:szCs w:val="21"/>
              </w:rPr>
              <m:t>χ²</m:t>
            </m:r>
          </m:e>
          <m:sub>
            <m:r>
              <w:rPr>
                <w:rFonts w:ascii="Cambria Math" w:hAnsi="Cambria Math" w:cstheme="majorBidi"/>
                <w:color w:val="000000"/>
                <w:sz w:val="18"/>
                <w:szCs w:val="18"/>
              </w:rPr>
              <m:t>(11)</m:t>
            </m:r>
          </m:sub>
        </m:sSub>
        <m:r>
          <w:rPr>
            <w:rFonts w:ascii="Cambria Math" w:hAnsi="Cambria Math" w:cstheme="majorBidi"/>
            <w:color w:val="000000"/>
            <w:sz w:val="18"/>
            <w:szCs w:val="18"/>
          </w:rPr>
          <m:t>=</m:t>
        </m:r>
      </m:oMath>
      <w:r w:rsidRPr="004F060E">
        <w:rPr>
          <w:rFonts w:eastAsiaTheme="minorEastAsia" w:cstheme="majorBidi"/>
          <w:color w:val="000000"/>
          <w:sz w:val="18"/>
          <w:szCs w:val="18"/>
        </w:rPr>
        <w:t>26.934, p-value= 0.005</w:t>
      </w:r>
    </w:p>
    <w:p w14:paraId="59CE4040" w14:textId="19006ACB" w:rsidR="002E1C93" w:rsidRDefault="002E1C93" w:rsidP="001E1BF7">
      <w:pPr>
        <w:jc w:val="both"/>
        <w:rPr>
          <w:rFonts w:eastAsiaTheme="minorEastAsia" w:cstheme="majorBidi"/>
          <w:b/>
          <w:bCs/>
          <w:sz w:val="24"/>
          <w:szCs w:val="24"/>
        </w:rPr>
      </w:pPr>
    </w:p>
    <w:p w14:paraId="24326193" w14:textId="625C1CAD" w:rsidR="001E1BF7" w:rsidRPr="00553B43" w:rsidRDefault="001E1BF7" w:rsidP="001E1BF7">
      <w:pPr>
        <w:jc w:val="both"/>
        <w:rPr>
          <w:rFonts w:eastAsiaTheme="minorEastAsia" w:cstheme="majorBidi"/>
          <w:b/>
          <w:bCs/>
          <w:sz w:val="24"/>
          <w:szCs w:val="24"/>
        </w:rPr>
      </w:pPr>
      <w:r>
        <w:rPr>
          <w:rFonts w:eastAsiaTheme="minorEastAsia" w:cstheme="majorBidi"/>
          <w:b/>
          <w:bCs/>
          <w:sz w:val="24"/>
          <w:szCs w:val="24"/>
        </w:rPr>
        <w:t>Model (1): The Households Survey-L</w:t>
      </w:r>
      <w:r w:rsidR="002E1C93">
        <w:rPr>
          <w:rFonts w:eastAsiaTheme="minorEastAsia" w:cstheme="majorBidi"/>
          <w:b/>
          <w:bCs/>
          <w:sz w:val="24"/>
          <w:szCs w:val="24"/>
        </w:rPr>
        <w:t>ogit</w:t>
      </w:r>
      <w:r>
        <w:rPr>
          <w:rFonts w:eastAsiaTheme="minorEastAsia" w:cstheme="majorBidi"/>
          <w:b/>
          <w:bCs/>
          <w:sz w:val="24"/>
          <w:szCs w:val="24"/>
        </w:rPr>
        <w:t xml:space="preserve"> Equation</w:t>
      </w:r>
    </w:p>
    <w:p w14:paraId="3BD61C72" w14:textId="52A4EAE8" w:rsidR="001E1BF7" w:rsidRPr="001548BC" w:rsidRDefault="001E1BF7" w:rsidP="001E1BF7">
      <w:pPr>
        <w:jc w:val="both"/>
        <w:rPr>
          <w:rFonts w:eastAsiaTheme="minorEastAsia" w:cstheme="majorBidi"/>
        </w:rPr>
      </w:pPr>
      <m:oMath>
        <m:r>
          <w:rPr>
            <w:rFonts w:ascii="Cambria Math" w:hAnsi="Cambria Math" w:cstheme="majorBidi"/>
          </w:rPr>
          <m:t>logit</m:t>
        </m:r>
        <m:d>
          <m:dPr>
            <m:ctrlPr>
              <w:rPr>
                <w:rFonts w:ascii="Cambria Math" w:hAnsi="Cambria Math" w:cstheme="majorBidi"/>
                <w:i/>
              </w:rPr>
            </m:ctrlPr>
          </m:dPr>
          <m:e>
            <m:r>
              <w:rPr>
                <w:rFonts w:ascii="Cambria Math" w:hAnsi="Cambria Math" w:cstheme="majorBidi"/>
              </w:rPr>
              <m:t>Low prices</m:t>
            </m:r>
          </m:e>
        </m:d>
        <m:r>
          <w:rPr>
            <w:rFonts w:ascii="Cambria Math" w:hAnsi="Cambria Math" w:cstheme="majorBidi"/>
          </w:rPr>
          <m:t>=</m:t>
        </m:r>
        <m:r>
          <m:rPr>
            <m:sty m:val="p"/>
          </m:rPr>
          <w:rPr>
            <w:rFonts w:ascii="Cambria Math" w:eastAsiaTheme="minorEastAsia" w:hAnsi="Cambria Math" w:cstheme="majorBidi"/>
          </w:rPr>
          <m:t>-1.517-1.637</m:t>
        </m:r>
      </m:oMath>
      <w:r w:rsidRPr="001548BC">
        <w:rPr>
          <w:rFonts w:eastAsiaTheme="minorEastAsia" w:cstheme="majorBidi"/>
        </w:rPr>
        <w:t xml:space="preserve">*Cost of land is not </w:t>
      </w:r>
      <w:r>
        <w:rPr>
          <w:rFonts w:eastAsiaTheme="minorEastAsia" w:cstheme="majorBidi"/>
        </w:rPr>
        <w:t>effective</w:t>
      </w:r>
      <w:r w:rsidRPr="001548BC">
        <w:rPr>
          <w:rFonts w:eastAsiaTheme="minorEastAsia" w:cstheme="majorBidi"/>
        </w:rPr>
        <w:t xml:space="preserve"> – 0.</w:t>
      </w:r>
      <w:r>
        <w:rPr>
          <w:rFonts w:eastAsiaTheme="minorEastAsia" w:cstheme="majorBidi"/>
        </w:rPr>
        <w:t>846</w:t>
      </w:r>
      <w:r w:rsidRPr="001548BC">
        <w:rPr>
          <w:rFonts w:eastAsiaTheme="minorEastAsia" w:cstheme="majorBidi"/>
        </w:rPr>
        <w:t xml:space="preserve"> *Cost of </w:t>
      </w:r>
      <w:r>
        <w:rPr>
          <w:rFonts w:eastAsiaTheme="minorEastAsia" w:cstheme="majorBidi"/>
        </w:rPr>
        <w:t>L</w:t>
      </w:r>
      <w:r w:rsidRPr="001548BC">
        <w:rPr>
          <w:rFonts w:eastAsiaTheme="minorEastAsia" w:cstheme="majorBidi"/>
        </w:rPr>
        <w:t xml:space="preserve">and is </w:t>
      </w:r>
      <w:r w:rsidR="2B138E7B" w:rsidRPr="0D7891A4">
        <w:rPr>
          <w:rFonts w:eastAsiaTheme="minorEastAsia" w:cstheme="majorBidi"/>
        </w:rPr>
        <w:t>moderate</w:t>
      </w:r>
      <w:r>
        <w:rPr>
          <w:rFonts w:eastAsiaTheme="minorEastAsia" w:cstheme="majorBidi"/>
        </w:rPr>
        <w:t xml:space="preserve"> effect</w:t>
      </w:r>
    </w:p>
    <w:p w14:paraId="200E054D" w14:textId="77777777" w:rsidR="001E1BF7" w:rsidRDefault="001E1BF7" w:rsidP="001E1BF7">
      <w:pPr>
        <w:pStyle w:val="ListParagraph"/>
        <w:ind w:left="1600"/>
        <w:jc w:val="both"/>
        <w:rPr>
          <w:rFonts w:eastAsiaTheme="minorEastAsia" w:cstheme="majorBidi"/>
        </w:rPr>
      </w:pPr>
      <m:oMath>
        <m:r>
          <m:rPr>
            <m:sty m:val="p"/>
          </m:rPr>
          <w:rPr>
            <w:rFonts w:ascii="Cambria Math" w:eastAsiaTheme="minorEastAsia" w:hAnsi="Cambria Math" w:cstheme="majorBidi"/>
          </w:rPr>
          <m:t>+0.971</m:t>
        </m:r>
      </m:oMath>
      <w:r w:rsidRPr="001548BC">
        <w:rPr>
          <w:rFonts w:eastAsiaTheme="minorEastAsia" w:cstheme="majorBidi"/>
        </w:rPr>
        <w:t>*</w:t>
      </w:r>
      <w:r>
        <w:rPr>
          <w:rFonts w:eastAsiaTheme="minorEastAsia" w:cstheme="majorBidi"/>
        </w:rPr>
        <w:t>Bank preferences are commercial</w:t>
      </w:r>
    </w:p>
    <w:p w14:paraId="54EE242D" w14:textId="0B62AEE1" w:rsidR="001E1BF7" w:rsidRPr="000F332B" w:rsidRDefault="001E1BF7" w:rsidP="001E1BF7">
      <w:pPr>
        <w:ind w:left="1620" w:hanging="1620"/>
        <w:jc w:val="both"/>
        <w:rPr>
          <w:rFonts w:eastAsiaTheme="minorEastAsia" w:cstheme="majorBidi"/>
        </w:rPr>
      </w:pPr>
      <m:oMath>
        <m:r>
          <w:rPr>
            <w:rFonts w:ascii="Cambria Math" w:hAnsi="Cambria Math" w:cstheme="majorBidi"/>
          </w:rPr>
          <m:t>logit</m:t>
        </m:r>
        <m:d>
          <m:dPr>
            <m:ctrlPr>
              <w:rPr>
                <w:rFonts w:ascii="Cambria Math" w:hAnsi="Cambria Math" w:cstheme="majorBidi"/>
                <w:i/>
              </w:rPr>
            </m:ctrlPr>
          </m:dPr>
          <m:e>
            <m:r>
              <w:rPr>
                <w:rFonts w:ascii="Cambria Math" w:hAnsi="Cambria Math" w:cstheme="majorBidi"/>
              </w:rPr>
              <m:t>Medium prices</m:t>
            </m:r>
          </m:e>
        </m:d>
        <m:r>
          <w:rPr>
            <w:rFonts w:ascii="Cambria Math" w:hAnsi="Cambria Math" w:cstheme="majorBidi"/>
          </w:rPr>
          <m:t>=</m:t>
        </m:r>
        <m:r>
          <m:rPr>
            <m:sty m:val="p"/>
          </m:rPr>
          <w:rPr>
            <w:rFonts w:ascii="Cambria Math" w:eastAsiaTheme="minorEastAsia" w:hAnsi="Cambria Math" w:cstheme="majorBidi"/>
          </w:rPr>
          <m:t>-1.517-1.637</m:t>
        </m:r>
      </m:oMath>
      <w:r w:rsidRPr="001548BC">
        <w:rPr>
          <w:rFonts w:eastAsiaTheme="minorEastAsia" w:cstheme="majorBidi"/>
        </w:rPr>
        <w:t xml:space="preserve">*Cost of land is not </w:t>
      </w:r>
      <w:r>
        <w:rPr>
          <w:rFonts w:eastAsiaTheme="minorEastAsia" w:cstheme="majorBidi"/>
        </w:rPr>
        <w:t>effective</w:t>
      </w:r>
      <w:r w:rsidRPr="001548BC">
        <w:rPr>
          <w:rFonts w:eastAsiaTheme="minorEastAsia" w:cstheme="majorBidi"/>
        </w:rPr>
        <w:t xml:space="preserve"> – 0.</w:t>
      </w:r>
      <w:r>
        <w:rPr>
          <w:rFonts w:eastAsiaTheme="minorEastAsia" w:cstheme="majorBidi"/>
        </w:rPr>
        <w:t>846</w:t>
      </w:r>
      <w:r w:rsidRPr="001548BC">
        <w:rPr>
          <w:rFonts w:eastAsiaTheme="minorEastAsia" w:cstheme="majorBidi"/>
        </w:rPr>
        <w:t xml:space="preserve"> *Cost of land is </w:t>
      </w:r>
      <w:r w:rsidR="5526D4A7" w:rsidRPr="0D7891A4">
        <w:rPr>
          <w:rFonts w:eastAsiaTheme="minorEastAsia" w:cstheme="majorBidi"/>
        </w:rPr>
        <w:t>moderate</w:t>
      </w:r>
      <w:r>
        <w:rPr>
          <w:rFonts w:eastAsiaTheme="minorEastAsia" w:cstheme="majorBidi"/>
        </w:rPr>
        <w:t xml:space="preserve"> effect</w:t>
      </w:r>
      <m:oMath>
        <m:r>
          <m:rPr>
            <m:sty m:val="p"/>
          </m:rPr>
          <w:rPr>
            <w:rFonts w:ascii="Cambria Math" w:eastAsiaTheme="minorEastAsia" w:hAnsi="Cambria Math" w:cstheme="majorBidi"/>
          </w:rPr>
          <m:t>+0.971</m:t>
        </m:r>
      </m:oMath>
      <w:r w:rsidRPr="000F332B">
        <w:rPr>
          <w:rFonts w:eastAsiaTheme="minorEastAsia" w:cstheme="majorBidi"/>
        </w:rPr>
        <w:t xml:space="preserve">*Bank </w:t>
      </w:r>
      <w:r w:rsidR="03A02DF9" w:rsidRPr="6EA7D7CB">
        <w:rPr>
          <w:rFonts w:eastAsiaTheme="minorEastAsia" w:cstheme="majorBidi"/>
        </w:rPr>
        <w:t>preferences</w:t>
      </w:r>
      <w:r w:rsidRPr="000F332B">
        <w:rPr>
          <w:rFonts w:eastAsiaTheme="minorEastAsia" w:cstheme="majorBidi"/>
        </w:rPr>
        <w:t xml:space="preserve"> are commercial</w:t>
      </w:r>
    </w:p>
    <w:p w14:paraId="00D98CDE" w14:textId="2C2A62A6" w:rsidR="006118CD" w:rsidRPr="006118CD" w:rsidRDefault="006118CD" w:rsidP="006118CD">
      <w:pPr>
        <w:autoSpaceDE w:val="0"/>
        <w:autoSpaceDN w:val="0"/>
        <w:adjustRightInd w:val="0"/>
        <w:rPr>
          <w:rFonts w:cstheme="majorBidi"/>
          <w:b/>
          <w:bCs/>
        </w:rPr>
      </w:pPr>
      <w:r w:rsidRPr="006118CD">
        <w:rPr>
          <w:rFonts w:cstheme="majorBidi"/>
          <w:b/>
          <w:bCs/>
        </w:rPr>
        <w:t xml:space="preserve">Table </w:t>
      </w:r>
      <w:r w:rsidR="00476D66">
        <w:rPr>
          <w:rFonts w:cstheme="majorBidi"/>
          <w:b/>
          <w:bCs/>
        </w:rPr>
        <w:t>(</w:t>
      </w:r>
      <w:r w:rsidRPr="006118CD">
        <w:rPr>
          <w:rFonts w:cstheme="majorBidi"/>
          <w:b/>
          <w:bCs/>
        </w:rPr>
        <w:t>20</w:t>
      </w:r>
      <w:r w:rsidR="00476D66">
        <w:rPr>
          <w:rFonts w:cstheme="majorBidi"/>
          <w:b/>
          <w:bCs/>
        </w:rPr>
        <w:t>)</w:t>
      </w:r>
      <w:r w:rsidRPr="006118CD">
        <w:rPr>
          <w:rFonts w:cstheme="majorBidi"/>
          <w:b/>
          <w:bCs/>
        </w:rPr>
        <w:t>: Ordinal logit model estimation results for buyers (dependent variable is housing price index)</w:t>
      </w:r>
    </w:p>
    <w:tbl>
      <w:tblPr>
        <w:tblStyle w:val="PlainTable5"/>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2700"/>
        <w:gridCol w:w="3330"/>
      </w:tblGrid>
      <w:tr w:rsidR="005D336C" w14:paraId="4A9A1B10" w14:textId="77777777" w:rsidTr="516AAD3A">
        <w:trPr>
          <w:cnfStyle w:val="100000000000" w:firstRow="1" w:lastRow="0" w:firstColumn="0" w:lastColumn="0" w:oddVBand="0" w:evenVBand="0" w:oddHBand="0" w:evenHBand="0" w:firstRowFirstColumn="0" w:firstRowLastColumn="0" w:lastRowFirstColumn="0" w:lastRowLastColumn="0"/>
          <w:trHeight w:val="143"/>
        </w:trPr>
        <w:tc>
          <w:tcPr>
            <w:cnfStyle w:val="001000000100" w:firstRow="0" w:lastRow="0" w:firstColumn="1" w:lastColumn="0" w:oddVBand="0" w:evenVBand="0" w:oddHBand="0" w:evenHBand="0" w:firstRowFirstColumn="1" w:firstRowLastColumn="0" w:lastRowFirstColumn="0" w:lastRowLastColumn="0"/>
            <w:tcW w:w="3330" w:type="dxa"/>
          </w:tcPr>
          <w:p w14:paraId="020E420D" w14:textId="77777777" w:rsidR="006118CD" w:rsidRPr="00D83087" w:rsidRDefault="006118CD" w:rsidP="00476D66">
            <w:pPr>
              <w:jc w:val="both"/>
              <w:rPr>
                <w:rFonts w:ascii="BookAntiqua" w:hAnsi="BookAntiqua" w:cs="BookAntiqua"/>
                <w:b/>
                <w:bCs/>
                <w:sz w:val="20"/>
                <w:szCs w:val="20"/>
              </w:rPr>
            </w:pPr>
            <w:r w:rsidRPr="00D83087">
              <w:rPr>
                <w:rFonts w:ascii="BookAntiqua" w:hAnsi="BookAntiqua" w:cs="BookAntiqua"/>
                <w:b/>
                <w:bCs/>
                <w:sz w:val="20"/>
                <w:szCs w:val="20"/>
              </w:rPr>
              <w:t>Variable</w:t>
            </w:r>
          </w:p>
        </w:tc>
        <w:tc>
          <w:tcPr>
            <w:tcW w:w="6030" w:type="dxa"/>
            <w:gridSpan w:val="2"/>
          </w:tcPr>
          <w:p w14:paraId="7808A178" w14:textId="77777777" w:rsidR="006118CD" w:rsidRDefault="006118CD" w:rsidP="00476D66">
            <w:pPr>
              <w:jc w:val="center"/>
              <w:cnfStyle w:val="100000000000" w:firstRow="1" w:lastRow="0" w:firstColumn="0" w:lastColumn="0" w:oddVBand="0" w:evenVBand="0" w:oddHBand="0" w:evenHBand="0" w:firstRowFirstColumn="0" w:firstRowLastColumn="0" w:lastRowFirstColumn="0" w:lastRowLastColumn="0"/>
              <w:rPr>
                <w:rFonts w:ascii="BookAntiqua" w:hAnsi="BookAntiqua" w:cs="BookAntiqua"/>
                <w:b/>
                <w:bCs/>
                <w:sz w:val="20"/>
                <w:szCs w:val="20"/>
              </w:rPr>
            </w:pPr>
            <w:r>
              <w:rPr>
                <w:rFonts w:ascii="BookAntiqua" w:hAnsi="BookAntiqua" w:cs="BookAntiqua"/>
                <w:b/>
                <w:bCs/>
                <w:sz w:val="20"/>
                <w:szCs w:val="20"/>
              </w:rPr>
              <w:t>Parameter Estimates</w:t>
            </w:r>
          </w:p>
          <w:p w14:paraId="7E277400" w14:textId="77777777" w:rsidR="006118CD" w:rsidRDefault="006118CD" w:rsidP="00476D66">
            <w:pPr>
              <w:jc w:val="center"/>
              <w:cnfStyle w:val="100000000000" w:firstRow="1" w:lastRow="0" w:firstColumn="0" w:lastColumn="0" w:oddVBand="0" w:evenVBand="0" w:oddHBand="0" w:evenHBand="0" w:firstRowFirstColumn="0" w:firstRowLastColumn="0" w:lastRowFirstColumn="0" w:lastRowLastColumn="0"/>
              <w:rPr>
                <w:rFonts w:ascii="BookAntiqua" w:hAnsi="BookAntiqua" w:cs="BookAntiqua"/>
                <w:b/>
                <w:bCs/>
                <w:sz w:val="20"/>
                <w:szCs w:val="20"/>
              </w:rPr>
            </w:pPr>
            <w:r>
              <w:rPr>
                <w:rFonts w:ascii="BookAntiqua" w:hAnsi="BookAntiqua" w:cs="BookAntiqua"/>
                <w:b/>
                <w:bCs/>
                <w:sz w:val="20"/>
                <w:szCs w:val="20"/>
              </w:rPr>
              <w:t>Buyer</w:t>
            </w:r>
          </w:p>
        </w:tc>
      </w:tr>
      <w:tr w:rsidR="005D336C" w14:paraId="67E27656" w14:textId="77777777" w:rsidTr="516AAD3A">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3330" w:type="dxa"/>
          </w:tcPr>
          <w:p w14:paraId="150D006B" w14:textId="77777777" w:rsidR="006118CD" w:rsidRPr="00D83087" w:rsidRDefault="006118CD" w:rsidP="00476D66">
            <w:pPr>
              <w:jc w:val="both"/>
              <w:rPr>
                <w:rFonts w:ascii="BookAntiqua" w:hAnsi="BookAntiqua" w:cs="BookAntiqua"/>
                <w:b/>
                <w:bCs/>
                <w:sz w:val="20"/>
                <w:szCs w:val="20"/>
              </w:rPr>
            </w:pPr>
            <w:r w:rsidRPr="00D83087">
              <w:rPr>
                <w:rFonts w:ascii="BookAntiqua" w:hAnsi="BookAntiqua" w:cs="BookAntiqua"/>
                <w:b/>
                <w:bCs/>
                <w:sz w:val="20"/>
                <w:szCs w:val="20"/>
              </w:rPr>
              <w:t>Variable</w:t>
            </w:r>
            <w:r>
              <w:rPr>
                <w:rFonts w:ascii="BookAntiqua" w:hAnsi="BookAntiqua" w:cs="BookAntiqua"/>
                <w:b/>
                <w:bCs/>
                <w:sz w:val="20"/>
                <w:szCs w:val="20"/>
              </w:rPr>
              <w:t xml:space="preserve"> Option</w:t>
            </w:r>
          </w:p>
        </w:tc>
        <w:tc>
          <w:tcPr>
            <w:tcW w:w="2700" w:type="dxa"/>
          </w:tcPr>
          <w:p w14:paraId="2ED5C6EA" w14:textId="77777777" w:rsidR="006118CD" w:rsidRDefault="006118CD" w:rsidP="00476D66">
            <w:pPr>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b/>
                <w:bCs/>
                <w:sz w:val="20"/>
                <w:szCs w:val="20"/>
              </w:rPr>
            </w:pPr>
            <w:r>
              <w:rPr>
                <w:rFonts w:ascii="BookAntiqua" w:hAnsi="BookAntiqua" w:cs="BookAntiqua"/>
                <w:b/>
                <w:bCs/>
                <w:sz w:val="20"/>
                <w:szCs w:val="20"/>
              </w:rPr>
              <w:t>B</w:t>
            </w:r>
          </w:p>
        </w:tc>
        <w:tc>
          <w:tcPr>
            <w:tcW w:w="3330" w:type="dxa"/>
          </w:tcPr>
          <w:p w14:paraId="5A3CC1C5" w14:textId="77777777" w:rsidR="006118CD" w:rsidRDefault="006118CD" w:rsidP="00476D66">
            <w:pPr>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b/>
                <w:bCs/>
                <w:sz w:val="20"/>
                <w:szCs w:val="20"/>
              </w:rPr>
            </w:pPr>
            <w:r>
              <w:rPr>
                <w:rFonts w:ascii="BookAntiqua" w:hAnsi="BookAntiqua" w:cs="BookAntiqua"/>
                <w:b/>
                <w:bCs/>
                <w:sz w:val="20"/>
                <w:szCs w:val="20"/>
              </w:rPr>
              <w:t>Exp(B) / odds ratio</w:t>
            </w:r>
          </w:p>
        </w:tc>
      </w:tr>
      <w:tr w:rsidR="00EA47C2" w14:paraId="786592B6" w14:textId="77777777" w:rsidTr="516AAD3A">
        <w:tc>
          <w:tcPr>
            <w:cnfStyle w:val="001000000000" w:firstRow="0" w:lastRow="0" w:firstColumn="1" w:lastColumn="0" w:oddVBand="0" w:evenVBand="0" w:oddHBand="0" w:evenHBand="0" w:firstRowFirstColumn="0" w:firstRowLastColumn="0" w:lastRowFirstColumn="0" w:lastRowLastColumn="0"/>
            <w:tcW w:w="3330" w:type="dxa"/>
          </w:tcPr>
          <w:p w14:paraId="75E29DED" w14:textId="77777777" w:rsidR="006118CD" w:rsidRPr="00EA514A" w:rsidRDefault="004C4582" w:rsidP="00476D66">
            <w:pPr>
              <w:jc w:val="both"/>
              <w:rPr>
                <w:rFonts w:ascii="BookAntiqua" w:hAnsi="BookAntiqua" w:cs="BookAntiqua"/>
                <w:sz w:val="20"/>
                <w:szCs w:val="20"/>
              </w:rPr>
            </w:pPr>
            <m:oMathPara>
              <m:oMathParaPr>
                <m:jc m:val="left"/>
              </m:oMathParaPr>
              <m:oMath>
                <m:sSub>
                  <m:sSubPr>
                    <m:ctrlPr>
                      <w:rPr>
                        <w:rFonts w:ascii="Cambria Math" w:hAnsi="Cambria Math" w:cs="BookAntiqua"/>
                        <w:sz w:val="20"/>
                        <w:szCs w:val="20"/>
                      </w:rPr>
                    </m:ctrlPr>
                  </m:sSubPr>
                  <m:e>
                    <m:r>
                      <w:rPr>
                        <w:rFonts w:ascii="Cambria Math" w:hAnsi="Cambria Math" w:cs="BookAntiqua"/>
                        <w:sz w:val="20"/>
                        <w:szCs w:val="20"/>
                      </w:rPr>
                      <m:t>α</m:t>
                    </m:r>
                  </m:e>
                  <m:sub>
                    <m:r>
                      <w:rPr>
                        <w:rFonts w:ascii="Cambria Math" w:hAnsi="Cambria Math" w:cs="BookAntiqua"/>
                        <w:sz w:val="20"/>
                        <w:szCs w:val="20"/>
                      </w:rPr>
                      <m:t>1</m:t>
                    </m:r>
                  </m:sub>
                </m:sSub>
                <m:r>
                  <w:rPr>
                    <w:rFonts w:ascii="Cambria Math" w:hAnsi="Cambria Math" w:cs="BookAntiqua"/>
                    <w:sz w:val="20"/>
                    <w:szCs w:val="20"/>
                  </w:rPr>
                  <m:t>(≤Low prices)</m:t>
                </m:r>
              </m:oMath>
            </m:oMathPara>
          </w:p>
        </w:tc>
        <w:tc>
          <w:tcPr>
            <w:tcW w:w="2700" w:type="dxa"/>
          </w:tcPr>
          <w:p w14:paraId="11D18164" w14:textId="77777777" w:rsidR="006118CD" w:rsidRDefault="006118CD" w:rsidP="00476D66">
            <w:pPr>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sidRPr="003A033C">
              <w:rPr>
                <w:rFonts w:ascii="Arial" w:hAnsi="Arial" w:cs="Arial"/>
                <w:color w:val="000000"/>
                <w:sz w:val="18"/>
                <w:szCs w:val="18"/>
              </w:rPr>
              <w:t>-1.517</w:t>
            </w:r>
            <w:r>
              <w:rPr>
                <w:rFonts w:ascii="BookAntiqua" w:hAnsi="BookAntiqua" w:cs="BookAntiqua"/>
                <w:sz w:val="20"/>
                <w:szCs w:val="20"/>
                <w:vertAlign w:val="superscript"/>
              </w:rPr>
              <w:t>***</w:t>
            </w:r>
          </w:p>
        </w:tc>
        <w:tc>
          <w:tcPr>
            <w:tcW w:w="3330" w:type="dxa"/>
          </w:tcPr>
          <w:p w14:paraId="2D5D8935" w14:textId="77777777" w:rsidR="006118CD" w:rsidRDefault="006118CD" w:rsidP="00476D66">
            <w:pPr>
              <w:jc w:val="both"/>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p>
        </w:tc>
      </w:tr>
      <w:tr w:rsidR="005D336C" w14:paraId="6D7F55F7" w14:textId="77777777" w:rsidTr="516AA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6BBA55DD" w14:textId="77777777" w:rsidR="006118CD" w:rsidRPr="00EA514A" w:rsidRDefault="004C4582" w:rsidP="00476D66">
            <w:pPr>
              <w:jc w:val="both"/>
              <w:rPr>
                <w:rFonts w:ascii="BookAntiqua" w:hAnsi="BookAntiqua" w:cs="BookAntiqua"/>
                <w:sz w:val="20"/>
                <w:szCs w:val="20"/>
              </w:rPr>
            </w:pPr>
            <m:oMathPara>
              <m:oMathParaPr>
                <m:jc m:val="left"/>
              </m:oMathParaPr>
              <m:oMath>
                <m:sSub>
                  <m:sSubPr>
                    <m:ctrlPr>
                      <w:rPr>
                        <w:rFonts w:ascii="Cambria Math" w:hAnsi="Cambria Math" w:cs="BookAntiqua"/>
                        <w:sz w:val="20"/>
                        <w:szCs w:val="20"/>
                      </w:rPr>
                    </m:ctrlPr>
                  </m:sSubPr>
                  <m:e>
                    <m:r>
                      <w:rPr>
                        <w:rFonts w:ascii="Cambria Math" w:hAnsi="Cambria Math" w:cs="BookAntiqua"/>
                        <w:sz w:val="20"/>
                        <w:szCs w:val="20"/>
                      </w:rPr>
                      <m:t>α</m:t>
                    </m:r>
                  </m:e>
                  <m:sub>
                    <m:r>
                      <w:rPr>
                        <w:rFonts w:ascii="Cambria Math" w:hAnsi="Cambria Math" w:cs="BookAntiqua"/>
                        <w:sz w:val="20"/>
                        <w:szCs w:val="20"/>
                      </w:rPr>
                      <m:t>2</m:t>
                    </m:r>
                  </m:sub>
                </m:sSub>
                <m:r>
                  <w:rPr>
                    <w:rFonts w:ascii="Cambria Math" w:hAnsi="Cambria Math" w:cs="BookAntiqua"/>
                    <w:sz w:val="20"/>
                    <w:szCs w:val="20"/>
                  </w:rPr>
                  <m:t>(≤Medium prices)</m:t>
                </m:r>
              </m:oMath>
            </m:oMathPara>
          </w:p>
        </w:tc>
        <w:tc>
          <w:tcPr>
            <w:tcW w:w="2700" w:type="dxa"/>
          </w:tcPr>
          <w:p w14:paraId="667CE1F7" w14:textId="77777777" w:rsidR="006118CD" w:rsidRDefault="006118CD" w:rsidP="00476D66">
            <w:pPr>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0.288</w:t>
            </w:r>
            <w:r>
              <w:rPr>
                <w:rFonts w:ascii="BookAntiqua" w:hAnsi="BookAntiqua" w:cs="BookAntiqua"/>
                <w:sz w:val="20"/>
                <w:szCs w:val="20"/>
                <w:vertAlign w:val="superscript"/>
              </w:rPr>
              <w:t>*</w:t>
            </w:r>
          </w:p>
        </w:tc>
        <w:tc>
          <w:tcPr>
            <w:tcW w:w="3330" w:type="dxa"/>
          </w:tcPr>
          <w:p w14:paraId="5FF5A31C" w14:textId="77777777" w:rsidR="006118CD" w:rsidRDefault="006118CD" w:rsidP="00476D66">
            <w:pPr>
              <w:jc w:val="both"/>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p>
        </w:tc>
      </w:tr>
      <w:tr w:rsidR="005D336C" w14:paraId="4D0D07A4" w14:textId="77777777" w:rsidTr="516AAD3A">
        <w:tc>
          <w:tcPr>
            <w:cnfStyle w:val="001000000000" w:firstRow="0" w:lastRow="0" w:firstColumn="1" w:lastColumn="0" w:oddVBand="0" w:evenVBand="0" w:oddHBand="0" w:evenHBand="0" w:firstRowFirstColumn="0" w:firstRowLastColumn="0" w:lastRowFirstColumn="0" w:lastRowLastColumn="0"/>
            <w:tcW w:w="9360" w:type="dxa"/>
            <w:gridSpan w:val="3"/>
            <w:shd w:val="clear" w:color="auto" w:fill="A6A6A6" w:themeFill="background1" w:themeFillShade="A6"/>
          </w:tcPr>
          <w:p w14:paraId="4911DB0B" w14:textId="77777777" w:rsidR="006118CD" w:rsidRDefault="006118CD" w:rsidP="00476D66">
            <w:pPr>
              <w:jc w:val="left"/>
              <w:rPr>
                <w:rFonts w:ascii="BookAntiqua" w:hAnsi="BookAntiqua" w:cs="BookAntiqua"/>
                <w:sz w:val="20"/>
                <w:szCs w:val="20"/>
              </w:rPr>
            </w:pPr>
            <w:r w:rsidRPr="00B53877">
              <w:rPr>
                <w:rFonts w:ascii="BookAntiqua" w:hAnsi="BookAntiqua" w:cs="BookAntiqua"/>
                <w:b/>
                <w:bCs/>
                <w:i w:val="0"/>
                <w:iCs w:val="0"/>
                <w:sz w:val="20"/>
                <w:szCs w:val="20"/>
              </w:rPr>
              <w:t>X</w:t>
            </w:r>
            <w:r>
              <w:rPr>
                <w:rFonts w:ascii="BookAntiqua" w:hAnsi="BookAntiqua" w:cs="BookAntiqua"/>
                <w:b/>
                <w:bCs/>
                <w:i w:val="0"/>
                <w:iCs w:val="0"/>
                <w:sz w:val="20"/>
                <w:szCs w:val="20"/>
                <w:vertAlign w:val="subscript"/>
              </w:rPr>
              <w:t>1</w:t>
            </w:r>
            <w:r>
              <w:rPr>
                <w:rFonts w:ascii="BookAntiqua" w:hAnsi="BookAntiqua" w:cs="BookAntiqua"/>
                <w:b/>
                <w:bCs/>
                <w:i w:val="0"/>
                <w:iCs w:val="0"/>
                <w:sz w:val="20"/>
                <w:szCs w:val="20"/>
              </w:rPr>
              <w:t xml:space="preserve"> (Income</w:t>
            </w:r>
            <w:r w:rsidRPr="00B53877">
              <w:rPr>
                <w:rFonts w:ascii="BookAntiqua" w:hAnsi="BookAntiqua" w:cs="BookAntiqua"/>
                <w:b/>
                <w:bCs/>
                <w:i w:val="0"/>
                <w:iCs w:val="0"/>
                <w:sz w:val="20"/>
                <w:szCs w:val="20"/>
              </w:rPr>
              <w:t>)</w:t>
            </w:r>
          </w:p>
        </w:tc>
      </w:tr>
      <w:tr w:rsidR="005D336C" w14:paraId="2264C1FD" w14:textId="77777777" w:rsidTr="516AA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07EB05D5" w14:textId="77777777" w:rsidR="006118CD" w:rsidRPr="00BA1351" w:rsidRDefault="006118CD" w:rsidP="00476D66">
            <w:pPr>
              <w:jc w:val="both"/>
              <w:rPr>
                <w:rFonts w:ascii="BookAntiqua" w:hAnsi="BookAntiqua" w:cstheme="minorBidi"/>
                <w:sz w:val="20"/>
                <w:szCs w:val="20"/>
                <w:lang w:bidi="ar-EG"/>
              </w:rPr>
            </w:pPr>
            <w:r>
              <w:rPr>
                <w:rFonts w:ascii="BookAntiqua" w:hAnsi="BookAntiqua" w:cstheme="minorBidi"/>
                <w:sz w:val="20"/>
                <w:szCs w:val="20"/>
                <w:lang w:bidi="ar-EG"/>
              </w:rPr>
              <w:t>Less than 6000</w:t>
            </w:r>
          </w:p>
        </w:tc>
        <w:tc>
          <w:tcPr>
            <w:tcW w:w="2700" w:type="dxa"/>
            <w:vAlign w:val="center"/>
          </w:tcPr>
          <w:p w14:paraId="5E4B7B64" w14:textId="77777777" w:rsidR="006118CD" w:rsidRPr="003A033C" w:rsidRDefault="006118CD" w:rsidP="00476D66">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-0</w:t>
            </w:r>
            <w:r w:rsidRPr="003A033C">
              <w:rPr>
                <w:rFonts w:ascii="BookAntiqua" w:hAnsi="BookAntiqua" w:cs="BookAntiqua"/>
                <w:sz w:val="20"/>
                <w:szCs w:val="20"/>
              </w:rPr>
              <w:t>.116</w:t>
            </w:r>
          </w:p>
        </w:tc>
        <w:tc>
          <w:tcPr>
            <w:tcW w:w="3330" w:type="dxa"/>
          </w:tcPr>
          <w:p w14:paraId="10C9A251" w14:textId="77777777" w:rsidR="006118CD" w:rsidRDefault="006118CD" w:rsidP="00476D66">
            <w:pPr>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0.890</w:t>
            </w:r>
          </w:p>
        </w:tc>
      </w:tr>
      <w:tr w:rsidR="00D369EB" w14:paraId="57557C6B" w14:textId="77777777" w:rsidTr="516AAD3A">
        <w:tc>
          <w:tcPr>
            <w:cnfStyle w:val="001000000000" w:firstRow="0" w:lastRow="0" w:firstColumn="1" w:lastColumn="0" w:oddVBand="0" w:evenVBand="0" w:oddHBand="0" w:evenHBand="0" w:firstRowFirstColumn="0" w:firstRowLastColumn="0" w:lastRowFirstColumn="0" w:lastRowLastColumn="0"/>
            <w:tcW w:w="3330" w:type="dxa"/>
          </w:tcPr>
          <w:p w14:paraId="0E72C21B" w14:textId="77777777" w:rsidR="006118CD" w:rsidRDefault="006118CD" w:rsidP="00476D66">
            <w:pPr>
              <w:jc w:val="both"/>
              <w:rPr>
                <w:rFonts w:ascii="BookAntiqua" w:hAnsi="BookAntiqua" w:cs="BookAntiqua"/>
                <w:sz w:val="20"/>
                <w:szCs w:val="20"/>
              </w:rPr>
            </w:pPr>
            <w:r>
              <w:rPr>
                <w:rFonts w:ascii="BookAntiqua" w:hAnsi="BookAntiqua" w:cs="BookAntiqua"/>
                <w:sz w:val="20"/>
                <w:szCs w:val="20"/>
              </w:rPr>
              <w:t>Less than 10,000</w:t>
            </w:r>
          </w:p>
        </w:tc>
        <w:tc>
          <w:tcPr>
            <w:tcW w:w="2700" w:type="dxa"/>
            <w:vAlign w:val="center"/>
          </w:tcPr>
          <w:p w14:paraId="638D4C50" w14:textId="77777777" w:rsidR="006118CD" w:rsidRPr="003A033C" w:rsidRDefault="006118CD" w:rsidP="00476D66">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-0</w:t>
            </w:r>
            <w:r w:rsidRPr="003A033C">
              <w:rPr>
                <w:rFonts w:ascii="BookAntiqua" w:hAnsi="BookAntiqua" w:cs="BookAntiqua"/>
                <w:sz w:val="20"/>
                <w:szCs w:val="20"/>
              </w:rPr>
              <w:t>.059</w:t>
            </w:r>
          </w:p>
        </w:tc>
        <w:tc>
          <w:tcPr>
            <w:tcW w:w="3330" w:type="dxa"/>
          </w:tcPr>
          <w:p w14:paraId="3EB59658" w14:textId="77777777" w:rsidR="006118CD" w:rsidRDefault="006118CD" w:rsidP="00476D66">
            <w:pPr>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0.943</w:t>
            </w:r>
          </w:p>
        </w:tc>
      </w:tr>
      <w:tr w:rsidR="005D336C" w14:paraId="30AC979C" w14:textId="77777777" w:rsidTr="516AA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0592F588" w14:textId="77777777" w:rsidR="006118CD" w:rsidRDefault="006118CD" w:rsidP="00476D66">
            <w:pPr>
              <w:jc w:val="both"/>
              <w:rPr>
                <w:rFonts w:ascii="BookAntiqua" w:hAnsi="BookAntiqua" w:cs="BookAntiqua"/>
                <w:sz w:val="20"/>
                <w:szCs w:val="20"/>
              </w:rPr>
            </w:pPr>
            <w:r>
              <w:rPr>
                <w:rFonts w:ascii="BookAntiqua" w:hAnsi="BookAntiqua" w:cs="BookAntiqua"/>
                <w:sz w:val="20"/>
                <w:szCs w:val="20"/>
              </w:rPr>
              <w:t>Less 20,000</w:t>
            </w:r>
          </w:p>
        </w:tc>
        <w:tc>
          <w:tcPr>
            <w:tcW w:w="2700" w:type="dxa"/>
            <w:vAlign w:val="center"/>
          </w:tcPr>
          <w:p w14:paraId="71E22205" w14:textId="77777777" w:rsidR="006118CD" w:rsidRPr="003A033C" w:rsidRDefault="006118CD" w:rsidP="00476D66">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0.</w:t>
            </w:r>
            <w:r w:rsidRPr="003A033C">
              <w:rPr>
                <w:rFonts w:ascii="BookAntiqua" w:hAnsi="BookAntiqua" w:cs="BookAntiqua"/>
                <w:sz w:val="20"/>
                <w:szCs w:val="20"/>
              </w:rPr>
              <w:t>080</w:t>
            </w:r>
          </w:p>
        </w:tc>
        <w:tc>
          <w:tcPr>
            <w:tcW w:w="3330" w:type="dxa"/>
          </w:tcPr>
          <w:p w14:paraId="0B3FFBD3" w14:textId="77777777" w:rsidR="006118CD" w:rsidRDefault="006118CD" w:rsidP="00476D66">
            <w:pPr>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1.083</w:t>
            </w:r>
          </w:p>
        </w:tc>
      </w:tr>
      <w:tr w:rsidR="00D369EB" w14:paraId="563A6456" w14:textId="77777777" w:rsidTr="516AAD3A">
        <w:tc>
          <w:tcPr>
            <w:cnfStyle w:val="001000000000" w:firstRow="0" w:lastRow="0" w:firstColumn="1" w:lastColumn="0" w:oddVBand="0" w:evenVBand="0" w:oddHBand="0" w:evenHBand="0" w:firstRowFirstColumn="0" w:firstRowLastColumn="0" w:lastRowFirstColumn="0" w:lastRowLastColumn="0"/>
            <w:tcW w:w="3330" w:type="dxa"/>
          </w:tcPr>
          <w:p w14:paraId="6840F9DC" w14:textId="77777777" w:rsidR="006118CD" w:rsidRDefault="006118CD" w:rsidP="00476D66">
            <w:pPr>
              <w:jc w:val="both"/>
              <w:rPr>
                <w:rFonts w:ascii="BookAntiqua" w:hAnsi="BookAntiqua" w:cs="BookAntiqua"/>
                <w:sz w:val="20"/>
                <w:szCs w:val="20"/>
              </w:rPr>
            </w:pPr>
            <w:r>
              <w:rPr>
                <w:rFonts w:ascii="BookAntiqua" w:hAnsi="BookAntiqua" w:cs="BookAntiqua"/>
                <w:sz w:val="20"/>
                <w:szCs w:val="20"/>
              </w:rPr>
              <w:t>20,000 and above</w:t>
            </w:r>
          </w:p>
        </w:tc>
        <w:tc>
          <w:tcPr>
            <w:tcW w:w="2700" w:type="dxa"/>
            <w:vAlign w:val="center"/>
          </w:tcPr>
          <w:p w14:paraId="1FBE63FC" w14:textId="77777777" w:rsidR="006118CD" w:rsidRPr="003A033C" w:rsidRDefault="006118CD" w:rsidP="00476D66">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w:t>
            </w:r>
          </w:p>
        </w:tc>
        <w:tc>
          <w:tcPr>
            <w:tcW w:w="3330" w:type="dxa"/>
          </w:tcPr>
          <w:p w14:paraId="660E8613" w14:textId="77777777" w:rsidR="006118CD" w:rsidRDefault="006118CD" w:rsidP="00476D66">
            <w:pPr>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w:t>
            </w:r>
          </w:p>
        </w:tc>
      </w:tr>
      <w:tr w:rsidR="005D336C" w14:paraId="340CA2CE" w14:textId="77777777" w:rsidTr="516AA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shd w:val="clear" w:color="auto" w:fill="A6A6A6" w:themeFill="background1" w:themeFillShade="A6"/>
          </w:tcPr>
          <w:p w14:paraId="1928247E" w14:textId="77777777" w:rsidR="006118CD" w:rsidRDefault="006118CD" w:rsidP="00476D66">
            <w:pPr>
              <w:jc w:val="left"/>
              <w:rPr>
                <w:rFonts w:ascii="BookAntiqua" w:hAnsi="BookAntiqua" w:cs="BookAntiqua"/>
                <w:sz w:val="20"/>
                <w:szCs w:val="20"/>
              </w:rPr>
            </w:pPr>
            <w:r w:rsidRPr="00B53877">
              <w:rPr>
                <w:rFonts w:ascii="BookAntiqua" w:hAnsi="BookAntiqua" w:cs="BookAntiqua"/>
                <w:b/>
                <w:bCs/>
                <w:i w:val="0"/>
                <w:iCs w:val="0"/>
                <w:sz w:val="20"/>
                <w:szCs w:val="20"/>
              </w:rPr>
              <w:t>X</w:t>
            </w:r>
            <w:r>
              <w:rPr>
                <w:rFonts w:ascii="BookAntiqua" w:hAnsi="BookAntiqua" w:cs="BookAntiqua"/>
                <w:b/>
                <w:bCs/>
                <w:i w:val="0"/>
                <w:iCs w:val="0"/>
                <w:sz w:val="20"/>
                <w:szCs w:val="20"/>
                <w:vertAlign w:val="subscript"/>
              </w:rPr>
              <w:t>2</w:t>
            </w:r>
            <w:r>
              <w:rPr>
                <w:rFonts w:ascii="BookAntiqua" w:hAnsi="BookAntiqua" w:cs="BookAntiqua"/>
                <w:b/>
                <w:bCs/>
                <w:i w:val="0"/>
                <w:iCs w:val="0"/>
                <w:sz w:val="20"/>
                <w:szCs w:val="20"/>
              </w:rPr>
              <w:t xml:space="preserve"> (Inflation</w:t>
            </w:r>
            <w:r w:rsidRPr="00B53877">
              <w:rPr>
                <w:rFonts w:ascii="BookAntiqua" w:hAnsi="BookAntiqua" w:cs="BookAntiqua"/>
                <w:b/>
                <w:bCs/>
                <w:i w:val="0"/>
                <w:iCs w:val="0"/>
                <w:sz w:val="20"/>
                <w:szCs w:val="20"/>
              </w:rPr>
              <w:t>)</w:t>
            </w:r>
          </w:p>
        </w:tc>
      </w:tr>
      <w:tr w:rsidR="00D369EB" w14:paraId="44BAE237" w14:textId="77777777" w:rsidTr="516AAD3A">
        <w:tc>
          <w:tcPr>
            <w:cnfStyle w:val="001000000000" w:firstRow="0" w:lastRow="0" w:firstColumn="1" w:lastColumn="0" w:oddVBand="0" w:evenVBand="0" w:oddHBand="0" w:evenHBand="0" w:firstRowFirstColumn="0" w:firstRowLastColumn="0" w:lastRowFirstColumn="0" w:lastRowLastColumn="0"/>
            <w:tcW w:w="3330" w:type="dxa"/>
          </w:tcPr>
          <w:p w14:paraId="63CE990B" w14:textId="77777777" w:rsidR="006118CD" w:rsidRDefault="006118CD" w:rsidP="00476D66">
            <w:pPr>
              <w:jc w:val="both"/>
              <w:rPr>
                <w:rFonts w:ascii="BookAntiqua" w:hAnsi="BookAntiqua" w:cs="BookAntiqua"/>
                <w:sz w:val="20"/>
                <w:szCs w:val="20"/>
              </w:rPr>
            </w:pPr>
            <w:r>
              <w:rPr>
                <w:rFonts w:ascii="BookAntiqua" w:hAnsi="BookAntiqua" w:cs="BookAntiqua"/>
                <w:sz w:val="20"/>
                <w:szCs w:val="20"/>
              </w:rPr>
              <w:t>Not effective</w:t>
            </w:r>
          </w:p>
        </w:tc>
        <w:tc>
          <w:tcPr>
            <w:tcW w:w="2700" w:type="dxa"/>
            <w:vAlign w:val="center"/>
          </w:tcPr>
          <w:p w14:paraId="07D21D88" w14:textId="77777777" w:rsidR="006118CD" w:rsidRPr="003A033C" w:rsidRDefault="006118CD" w:rsidP="00476D66">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sidRPr="003A033C">
              <w:rPr>
                <w:rFonts w:ascii="BookAntiqua" w:hAnsi="BookAntiqua" w:cs="BookAntiqua"/>
                <w:sz w:val="20"/>
                <w:szCs w:val="20"/>
              </w:rPr>
              <w:t>-.422</w:t>
            </w:r>
          </w:p>
        </w:tc>
        <w:tc>
          <w:tcPr>
            <w:tcW w:w="3330" w:type="dxa"/>
          </w:tcPr>
          <w:p w14:paraId="22C3986A" w14:textId="77777777" w:rsidR="006118CD" w:rsidRDefault="006118CD" w:rsidP="00476D66">
            <w:pPr>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0.656</w:t>
            </w:r>
          </w:p>
        </w:tc>
      </w:tr>
      <w:tr w:rsidR="005D336C" w14:paraId="40DA0310" w14:textId="77777777" w:rsidTr="516AA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50852B4D" w14:textId="4BC37B12" w:rsidR="006118CD" w:rsidRDefault="00A156C0" w:rsidP="00476D66">
            <w:pPr>
              <w:jc w:val="both"/>
              <w:rPr>
                <w:rFonts w:ascii="BookAntiqua" w:hAnsi="BookAntiqua" w:cs="BookAntiqua"/>
                <w:sz w:val="20"/>
                <w:szCs w:val="20"/>
              </w:rPr>
            </w:pPr>
            <w:r>
              <w:rPr>
                <w:rFonts w:ascii="BookAntiqua" w:hAnsi="BookAntiqua" w:cs="BookAntiqua"/>
                <w:sz w:val="20"/>
                <w:szCs w:val="20"/>
              </w:rPr>
              <w:t>effective</w:t>
            </w:r>
          </w:p>
        </w:tc>
        <w:tc>
          <w:tcPr>
            <w:tcW w:w="2700" w:type="dxa"/>
            <w:vAlign w:val="center"/>
          </w:tcPr>
          <w:p w14:paraId="1FDB0237" w14:textId="77777777" w:rsidR="006118CD" w:rsidRPr="003A033C" w:rsidRDefault="006118CD" w:rsidP="00476D66">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sidRPr="003A033C">
              <w:rPr>
                <w:rFonts w:ascii="BookAntiqua" w:hAnsi="BookAntiqua" w:cs="BookAntiqua"/>
                <w:sz w:val="20"/>
                <w:szCs w:val="20"/>
              </w:rPr>
              <w:t>-.553</w:t>
            </w:r>
          </w:p>
        </w:tc>
        <w:tc>
          <w:tcPr>
            <w:tcW w:w="3330" w:type="dxa"/>
          </w:tcPr>
          <w:p w14:paraId="2FF0B845" w14:textId="77777777" w:rsidR="006118CD" w:rsidRDefault="006118CD" w:rsidP="00476D66">
            <w:pPr>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0.575</w:t>
            </w:r>
          </w:p>
        </w:tc>
      </w:tr>
      <w:tr w:rsidR="00EA47C2" w14:paraId="17E94D53" w14:textId="77777777" w:rsidTr="516AAD3A">
        <w:tc>
          <w:tcPr>
            <w:cnfStyle w:val="001000000000" w:firstRow="0" w:lastRow="0" w:firstColumn="1" w:lastColumn="0" w:oddVBand="0" w:evenVBand="0" w:oddHBand="0" w:evenHBand="0" w:firstRowFirstColumn="0" w:firstRowLastColumn="0" w:lastRowFirstColumn="0" w:lastRowLastColumn="0"/>
            <w:tcW w:w="3330" w:type="dxa"/>
          </w:tcPr>
          <w:p w14:paraId="06B4480B" w14:textId="6A7E4385" w:rsidR="006118CD" w:rsidRDefault="006118CD" w:rsidP="00476D66">
            <w:pPr>
              <w:jc w:val="left"/>
              <w:rPr>
                <w:rFonts w:ascii="BookAntiqua" w:hAnsi="BookAntiqua" w:cs="BookAntiqua"/>
                <w:sz w:val="20"/>
                <w:szCs w:val="20"/>
              </w:rPr>
            </w:pPr>
            <w:r>
              <w:rPr>
                <w:rFonts w:ascii="BookAntiqua" w:hAnsi="BookAntiqua" w:cs="BookAntiqua"/>
                <w:sz w:val="20"/>
                <w:szCs w:val="20"/>
              </w:rPr>
              <w:t>Very effective</w:t>
            </w:r>
            <w:r w:rsidR="1A282FC9" w:rsidRPr="516AAD3A">
              <w:rPr>
                <w:rFonts w:ascii="BookAntiqua" w:hAnsi="BookAntiqua" w:cs="BookAntiqua"/>
                <w:sz w:val="20"/>
                <w:szCs w:val="20"/>
              </w:rPr>
              <w:t xml:space="preserve"> </w:t>
            </w:r>
            <w:r>
              <w:rPr>
                <w:rFonts w:ascii="BookAntiqua" w:hAnsi="BookAntiqua" w:cs="BookAntiqua"/>
                <w:sz w:val="20"/>
                <w:szCs w:val="20"/>
              </w:rPr>
              <w:t>(Ref)</w:t>
            </w:r>
          </w:p>
        </w:tc>
        <w:tc>
          <w:tcPr>
            <w:tcW w:w="2700" w:type="dxa"/>
          </w:tcPr>
          <w:p w14:paraId="4D3C8F8F" w14:textId="77777777" w:rsidR="006118CD" w:rsidRDefault="006118CD" w:rsidP="00476D66">
            <w:pPr>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w:t>
            </w:r>
          </w:p>
        </w:tc>
        <w:tc>
          <w:tcPr>
            <w:tcW w:w="3330" w:type="dxa"/>
          </w:tcPr>
          <w:p w14:paraId="275C3851" w14:textId="77777777" w:rsidR="006118CD" w:rsidRDefault="006118CD" w:rsidP="00476D66">
            <w:pPr>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w:t>
            </w:r>
          </w:p>
        </w:tc>
      </w:tr>
      <w:tr w:rsidR="005D336C" w14:paraId="288FDADB" w14:textId="77777777" w:rsidTr="516AA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shd w:val="clear" w:color="auto" w:fill="A6A6A6" w:themeFill="background1" w:themeFillShade="A6"/>
          </w:tcPr>
          <w:p w14:paraId="6C483115" w14:textId="77777777" w:rsidR="006118CD" w:rsidRPr="0060169B" w:rsidRDefault="006118CD" w:rsidP="00476D66">
            <w:pPr>
              <w:jc w:val="left"/>
              <w:rPr>
                <w:rFonts w:ascii="BookAntiqua" w:hAnsi="BookAntiqua" w:cs="BookAntiqua"/>
                <w:sz w:val="20"/>
                <w:szCs w:val="20"/>
              </w:rPr>
            </w:pPr>
            <w:r w:rsidRPr="00B53877">
              <w:rPr>
                <w:rFonts w:ascii="BookAntiqua" w:hAnsi="BookAntiqua" w:cs="BookAntiqua"/>
                <w:b/>
                <w:bCs/>
                <w:i w:val="0"/>
                <w:iCs w:val="0"/>
                <w:sz w:val="20"/>
                <w:szCs w:val="20"/>
              </w:rPr>
              <w:t>X</w:t>
            </w:r>
            <w:r>
              <w:rPr>
                <w:rFonts w:ascii="BookAntiqua" w:hAnsi="BookAntiqua" w:cs="BookAntiqua"/>
                <w:b/>
                <w:bCs/>
                <w:i w:val="0"/>
                <w:iCs w:val="0"/>
                <w:sz w:val="20"/>
                <w:szCs w:val="20"/>
                <w:vertAlign w:val="subscript"/>
              </w:rPr>
              <w:t>3</w:t>
            </w:r>
            <w:r>
              <w:rPr>
                <w:rFonts w:ascii="BookAntiqua" w:hAnsi="BookAntiqua" w:cs="BookAntiqua"/>
                <w:b/>
                <w:bCs/>
                <w:i w:val="0"/>
                <w:iCs w:val="0"/>
                <w:sz w:val="20"/>
                <w:szCs w:val="20"/>
              </w:rPr>
              <w:t>(Ease of contracting procedures)</w:t>
            </w:r>
          </w:p>
        </w:tc>
      </w:tr>
      <w:tr w:rsidR="00EA47C2" w14:paraId="1FEC5BCB" w14:textId="77777777" w:rsidTr="516AAD3A">
        <w:tc>
          <w:tcPr>
            <w:cnfStyle w:val="001000000000" w:firstRow="0" w:lastRow="0" w:firstColumn="1" w:lastColumn="0" w:oddVBand="0" w:evenVBand="0" w:oddHBand="0" w:evenHBand="0" w:firstRowFirstColumn="0" w:firstRowLastColumn="0" w:lastRowFirstColumn="0" w:lastRowLastColumn="0"/>
            <w:tcW w:w="3330" w:type="dxa"/>
          </w:tcPr>
          <w:p w14:paraId="31CBD083" w14:textId="77777777" w:rsidR="006118CD" w:rsidRDefault="006118CD" w:rsidP="00476D66">
            <w:pPr>
              <w:jc w:val="both"/>
              <w:rPr>
                <w:rFonts w:ascii="BookAntiqua" w:hAnsi="BookAntiqua" w:cs="BookAntiqua"/>
                <w:sz w:val="20"/>
                <w:szCs w:val="20"/>
              </w:rPr>
            </w:pPr>
            <w:r>
              <w:rPr>
                <w:rFonts w:ascii="BookAntiqua" w:hAnsi="BookAntiqua" w:cs="BookAntiqua"/>
                <w:sz w:val="20"/>
                <w:szCs w:val="20"/>
              </w:rPr>
              <w:t>No</w:t>
            </w:r>
          </w:p>
        </w:tc>
        <w:tc>
          <w:tcPr>
            <w:tcW w:w="2700" w:type="dxa"/>
          </w:tcPr>
          <w:p w14:paraId="730AF9F8" w14:textId="77777777" w:rsidR="006118CD" w:rsidRDefault="006118CD" w:rsidP="00476D66">
            <w:pPr>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sidRPr="003A033C">
              <w:rPr>
                <w:rFonts w:ascii="BookAntiqua" w:hAnsi="BookAntiqua" w:cs="BookAntiqua"/>
                <w:sz w:val="20"/>
                <w:szCs w:val="20"/>
              </w:rPr>
              <w:t>-.400</w:t>
            </w:r>
          </w:p>
        </w:tc>
        <w:tc>
          <w:tcPr>
            <w:tcW w:w="3330" w:type="dxa"/>
          </w:tcPr>
          <w:p w14:paraId="07248AC5" w14:textId="77777777" w:rsidR="006118CD" w:rsidRDefault="006118CD" w:rsidP="00476D66">
            <w:pPr>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0.67</w:t>
            </w:r>
          </w:p>
        </w:tc>
      </w:tr>
      <w:tr w:rsidR="005D336C" w14:paraId="7A14795D" w14:textId="77777777" w:rsidTr="516AA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498A4560" w14:textId="77777777" w:rsidR="006118CD" w:rsidRDefault="006118CD" w:rsidP="00476D66">
            <w:pPr>
              <w:jc w:val="both"/>
              <w:rPr>
                <w:rFonts w:ascii="BookAntiqua" w:hAnsi="BookAntiqua" w:cs="BookAntiqua"/>
                <w:sz w:val="20"/>
                <w:szCs w:val="20"/>
              </w:rPr>
            </w:pPr>
            <w:r>
              <w:rPr>
                <w:rFonts w:ascii="BookAntiqua" w:hAnsi="BookAntiqua" w:cs="BookAntiqua"/>
                <w:sz w:val="20"/>
                <w:szCs w:val="20"/>
              </w:rPr>
              <w:t>Yes</w:t>
            </w:r>
          </w:p>
        </w:tc>
        <w:tc>
          <w:tcPr>
            <w:tcW w:w="2700" w:type="dxa"/>
          </w:tcPr>
          <w:p w14:paraId="58944A6A" w14:textId="77777777" w:rsidR="006118CD" w:rsidRDefault="006118CD" w:rsidP="00476D66">
            <w:pPr>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w:t>
            </w:r>
          </w:p>
        </w:tc>
        <w:tc>
          <w:tcPr>
            <w:tcW w:w="3330" w:type="dxa"/>
          </w:tcPr>
          <w:p w14:paraId="4BF7BCD8" w14:textId="77777777" w:rsidR="006118CD" w:rsidRDefault="006118CD" w:rsidP="00476D66">
            <w:pPr>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w:t>
            </w:r>
          </w:p>
        </w:tc>
      </w:tr>
      <w:tr w:rsidR="005D336C" w14:paraId="33675DDE" w14:textId="77777777" w:rsidTr="516AAD3A">
        <w:tc>
          <w:tcPr>
            <w:cnfStyle w:val="001000000000" w:firstRow="0" w:lastRow="0" w:firstColumn="1" w:lastColumn="0" w:oddVBand="0" w:evenVBand="0" w:oddHBand="0" w:evenHBand="0" w:firstRowFirstColumn="0" w:firstRowLastColumn="0" w:lastRowFirstColumn="0" w:lastRowLastColumn="0"/>
            <w:tcW w:w="9360" w:type="dxa"/>
            <w:gridSpan w:val="3"/>
            <w:shd w:val="clear" w:color="auto" w:fill="A6A6A6" w:themeFill="background1" w:themeFillShade="A6"/>
          </w:tcPr>
          <w:p w14:paraId="7E80EF40" w14:textId="77777777" w:rsidR="006118CD" w:rsidRPr="0060169B" w:rsidRDefault="006118CD" w:rsidP="00476D66">
            <w:pPr>
              <w:jc w:val="left"/>
              <w:rPr>
                <w:rFonts w:ascii="BookAntiqua" w:hAnsi="BookAntiqua" w:cs="BookAntiqua"/>
                <w:sz w:val="20"/>
                <w:szCs w:val="20"/>
              </w:rPr>
            </w:pPr>
            <w:r w:rsidRPr="00B53877">
              <w:rPr>
                <w:rFonts w:ascii="BookAntiqua" w:hAnsi="BookAntiqua" w:cs="BookAntiqua"/>
                <w:b/>
                <w:bCs/>
                <w:i w:val="0"/>
                <w:iCs w:val="0"/>
                <w:sz w:val="20"/>
                <w:szCs w:val="20"/>
              </w:rPr>
              <w:t>X</w:t>
            </w:r>
            <w:r>
              <w:rPr>
                <w:rFonts w:ascii="BookAntiqua" w:hAnsi="BookAntiqua" w:cs="BookAntiqua"/>
                <w:b/>
                <w:bCs/>
                <w:i w:val="0"/>
                <w:iCs w:val="0"/>
                <w:sz w:val="20"/>
                <w:szCs w:val="20"/>
                <w:vertAlign w:val="subscript"/>
              </w:rPr>
              <w:t xml:space="preserve">4 </w:t>
            </w:r>
            <w:r>
              <w:rPr>
                <w:rFonts w:ascii="BookAntiqua" w:hAnsi="BookAntiqua" w:cs="BookAntiqua"/>
                <w:b/>
                <w:bCs/>
                <w:i w:val="0"/>
                <w:iCs w:val="0"/>
                <w:sz w:val="20"/>
                <w:szCs w:val="20"/>
              </w:rPr>
              <w:t>(Taxes and fees)</w:t>
            </w:r>
          </w:p>
        </w:tc>
      </w:tr>
      <w:tr w:rsidR="005D336C" w14:paraId="45D5DD9D" w14:textId="77777777" w:rsidTr="516AA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1F88CB9E" w14:textId="77777777" w:rsidR="006118CD" w:rsidRDefault="006118CD" w:rsidP="00476D66">
            <w:pPr>
              <w:jc w:val="both"/>
              <w:rPr>
                <w:rFonts w:ascii="BookAntiqua" w:hAnsi="BookAntiqua" w:cs="BookAntiqua"/>
                <w:sz w:val="20"/>
                <w:szCs w:val="20"/>
              </w:rPr>
            </w:pPr>
            <w:r>
              <w:rPr>
                <w:rFonts w:ascii="BookAntiqua" w:hAnsi="BookAntiqua" w:cs="BookAntiqua"/>
                <w:sz w:val="20"/>
                <w:szCs w:val="20"/>
              </w:rPr>
              <w:t>Not effective</w:t>
            </w:r>
          </w:p>
        </w:tc>
        <w:tc>
          <w:tcPr>
            <w:tcW w:w="2700" w:type="dxa"/>
            <w:vAlign w:val="center"/>
          </w:tcPr>
          <w:p w14:paraId="5DF82831" w14:textId="77777777" w:rsidR="006118CD" w:rsidRPr="003A033C" w:rsidRDefault="006118CD" w:rsidP="00476D66">
            <w:pPr>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sidRPr="003A033C">
              <w:rPr>
                <w:rFonts w:ascii="BookAntiqua" w:hAnsi="BookAntiqua" w:cs="BookAntiqua"/>
                <w:sz w:val="20"/>
                <w:szCs w:val="20"/>
              </w:rPr>
              <w:t>-.359</w:t>
            </w:r>
          </w:p>
        </w:tc>
        <w:tc>
          <w:tcPr>
            <w:tcW w:w="3330" w:type="dxa"/>
          </w:tcPr>
          <w:p w14:paraId="142AB7B2" w14:textId="77777777" w:rsidR="006118CD" w:rsidRDefault="006118CD" w:rsidP="00476D66">
            <w:pPr>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0.698</w:t>
            </w:r>
          </w:p>
        </w:tc>
      </w:tr>
      <w:tr w:rsidR="00D369EB" w14:paraId="60537657" w14:textId="77777777" w:rsidTr="516AAD3A">
        <w:tc>
          <w:tcPr>
            <w:cnfStyle w:val="001000000000" w:firstRow="0" w:lastRow="0" w:firstColumn="1" w:lastColumn="0" w:oddVBand="0" w:evenVBand="0" w:oddHBand="0" w:evenHBand="0" w:firstRowFirstColumn="0" w:firstRowLastColumn="0" w:lastRowFirstColumn="0" w:lastRowLastColumn="0"/>
            <w:tcW w:w="3330" w:type="dxa"/>
          </w:tcPr>
          <w:p w14:paraId="38A3A17C" w14:textId="4F607D36" w:rsidR="006118CD" w:rsidRDefault="006118CD" w:rsidP="00476D66">
            <w:pPr>
              <w:jc w:val="both"/>
              <w:rPr>
                <w:rFonts w:ascii="BookAntiqua" w:hAnsi="BookAntiqua" w:cs="BookAntiqua"/>
                <w:sz w:val="20"/>
                <w:szCs w:val="20"/>
              </w:rPr>
            </w:pPr>
            <w:r>
              <w:rPr>
                <w:rFonts w:ascii="BookAntiqua" w:hAnsi="BookAntiqua" w:cs="BookAntiqua"/>
                <w:sz w:val="20"/>
                <w:szCs w:val="20"/>
              </w:rPr>
              <w:t>Moderate effect</w:t>
            </w:r>
            <w:r w:rsidR="00600422">
              <w:rPr>
                <w:rFonts w:ascii="BookAntiqua" w:hAnsi="BookAntiqua" w:cs="BookAntiqua"/>
                <w:sz w:val="20"/>
                <w:szCs w:val="20"/>
              </w:rPr>
              <w:t>ive</w:t>
            </w:r>
          </w:p>
        </w:tc>
        <w:tc>
          <w:tcPr>
            <w:tcW w:w="2700" w:type="dxa"/>
            <w:vAlign w:val="center"/>
          </w:tcPr>
          <w:p w14:paraId="7876D687" w14:textId="77777777" w:rsidR="006118CD" w:rsidRPr="003A033C" w:rsidRDefault="006118CD" w:rsidP="00476D66">
            <w:pPr>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sidRPr="003A033C">
              <w:rPr>
                <w:rFonts w:ascii="BookAntiqua" w:hAnsi="BookAntiqua" w:cs="BookAntiqua"/>
                <w:sz w:val="20"/>
                <w:szCs w:val="20"/>
              </w:rPr>
              <w:t>-.299</w:t>
            </w:r>
          </w:p>
        </w:tc>
        <w:tc>
          <w:tcPr>
            <w:tcW w:w="3330" w:type="dxa"/>
          </w:tcPr>
          <w:p w14:paraId="0210FA00" w14:textId="77777777" w:rsidR="006118CD" w:rsidRDefault="006118CD" w:rsidP="00476D66">
            <w:pPr>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0.742</w:t>
            </w:r>
          </w:p>
        </w:tc>
      </w:tr>
      <w:tr w:rsidR="005D336C" w14:paraId="3F0528F0" w14:textId="77777777" w:rsidTr="516AA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7CEFC51D" w14:textId="77777777" w:rsidR="006118CD" w:rsidRDefault="006118CD" w:rsidP="00476D66">
            <w:pPr>
              <w:jc w:val="both"/>
              <w:rPr>
                <w:rFonts w:ascii="BookAntiqua" w:hAnsi="BookAntiqua" w:cs="BookAntiqua"/>
                <w:sz w:val="20"/>
                <w:szCs w:val="20"/>
              </w:rPr>
            </w:pPr>
            <w:r>
              <w:rPr>
                <w:rFonts w:ascii="BookAntiqua" w:hAnsi="BookAntiqua" w:cs="BookAntiqua"/>
                <w:sz w:val="20"/>
                <w:szCs w:val="20"/>
              </w:rPr>
              <w:t>Very effective (Ref)</w:t>
            </w:r>
          </w:p>
        </w:tc>
        <w:tc>
          <w:tcPr>
            <w:tcW w:w="2700" w:type="dxa"/>
          </w:tcPr>
          <w:p w14:paraId="1569F4C1" w14:textId="77777777" w:rsidR="006118CD" w:rsidRDefault="006118CD" w:rsidP="00476D66">
            <w:pPr>
              <w:jc w:val="both"/>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w:t>
            </w:r>
          </w:p>
        </w:tc>
        <w:tc>
          <w:tcPr>
            <w:tcW w:w="3330" w:type="dxa"/>
          </w:tcPr>
          <w:p w14:paraId="1CDF5679" w14:textId="77777777" w:rsidR="006118CD" w:rsidRDefault="006118CD" w:rsidP="00476D66">
            <w:pPr>
              <w:jc w:val="both"/>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w:t>
            </w:r>
          </w:p>
        </w:tc>
      </w:tr>
      <w:tr w:rsidR="005D336C" w14:paraId="5BEB78A5" w14:textId="77777777" w:rsidTr="516AAD3A">
        <w:tc>
          <w:tcPr>
            <w:cnfStyle w:val="001000000000" w:firstRow="0" w:lastRow="0" w:firstColumn="1" w:lastColumn="0" w:oddVBand="0" w:evenVBand="0" w:oddHBand="0" w:evenHBand="0" w:firstRowFirstColumn="0" w:firstRowLastColumn="0" w:lastRowFirstColumn="0" w:lastRowLastColumn="0"/>
            <w:tcW w:w="9360" w:type="dxa"/>
            <w:gridSpan w:val="3"/>
            <w:shd w:val="clear" w:color="auto" w:fill="A6A6A6" w:themeFill="background1" w:themeFillShade="A6"/>
          </w:tcPr>
          <w:p w14:paraId="440055E1" w14:textId="77777777" w:rsidR="006118CD" w:rsidRDefault="006118CD" w:rsidP="00476D66">
            <w:pPr>
              <w:jc w:val="left"/>
              <w:rPr>
                <w:rFonts w:ascii="BookAntiqua" w:hAnsi="BookAntiqua" w:cs="BookAntiqua"/>
                <w:sz w:val="20"/>
                <w:szCs w:val="20"/>
              </w:rPr>
            </w:pPr>
            <w:r w:rsidRPr="00B53877">
              <w:rPr>
                <w:rFonts w:ascii="BookAntiqua" w:hAnsi="BookAntiqua" w:cs="BookAntiqua"/>
                <w:b/>
                <w:bCs/>
                <w:i w:val="0"/>
                <w:iCs w:val="0"/>
                <w:sz w:val="20"/>
                <w:szCs w:val="20"/>
              </w:rPr>
              <w:t>X</w:t>
            </w:r>
            <w:r>
              <w:rPr>
                <w:rFonts w:ascii="BookAntiqua" w:hAnsi="BookAntiqua" w:cs="BookAntiqua"/>
                <w:b/>
                <w:bCs/>
                <w:i w:val="0"/>
                <w:iCs w:val="0"/>
                <w:sz w:val="20"/>
                <w:szCs w:val="20"/>
                <w:vertAlign w:val="subscript"/>
              </w:rPr>
              <w:t xml:space="preserve">5 </w:t>
            </w:r>
            <w:r>
              <w:rPr>
                <w:rFonts w:ascii="BookAntiqua" w:hAnsi="BookAntiqua" w:cs="BookAntiqua"/>
                <w:b/>
                <w:bCs/>
                <w:i w:val="0"/>
                <w:iCs w:val="0"/>
                <w:sz w:val="20"/>
                <w:szCs w:val="20"/>
              </w:rPr>
              <w:t>(Cost of land, constructions and licenses)</w:t>
            </w:r>
          </w:p>
        </w:tc>
      </w:tr>
      <w:tr w:rsidR="005D336C" w14:paraId="7C104A27" w14:textId="77777777" w:rsidTr="516AA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73803EF6" w14:textId="77777777" w:rsidR="006118CD" w:rsidRDefault="006118CD" w:rsidP="00476D66">
            <w:pPr>
              <w:jc w:val="both"/>
              <w:rPr>
                <w:rFonts w:ascii="BookAntiqua" w:hAnsi="BookAntiqua" w:cs="BookAntiqua"/>
                <w:sz w:val="20"/>
                <w:szCs w:val="20"/>
              </w:rPr>
            </w:pPr>
            <w:r>
              <w:rPr>
                <w:rFonts w:ascii="BookAntiqua" w:hAnsi="BookAntiqua" w:cs="BookAntiqua"/>
                <w:sz w:val="20"/>
                <w:szCs w:val="20"/>
              </w:rPr>
              <w:t>Not effective</w:t>
            </w:r>
          </w:p>
        </w:tc>
        <w:tc>
          <w:tcPr>
            <w:tcW w:w="2700" w:type="dxa"/>
            <w:vAlign w:val="center"/>
          </w:tcPr>
          <w:p w14:paraId="19FC4839" w14:textId="77777777" w:rsidR="006118CD" w:rsidRPr="003A033C" w:rsidRDefault="006118CD" w:rsidP="00476D66">
            <w:pPr>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sidRPr="003A033C">
              <w:rPr>
                <w:rFonts w:ascii="BookAntiqua" w:hAnsi="BookAntiqua" w:cs="BookAntiqua"/>
                <w:sz w:val="20"/>
                <w:szCs w:val="20"/>
              </w:rPr>
              <w:t>-1.637</w:t>
            </w:r>
            <w:r>
              <w:rPr>
                <w:rFonts w:ascii="BookAntiqua" w:hAnsi="BookAntiqua" w:cs="BookAntiqua"/>
                <w:sz w:val="20"/>
                <w:szCs w:val="20"/>
                <w:vertAlign w:val="superscript"/>
              </w:rPr>
              <w:t>***</w:t>
            </w:r>
          </w:p>
        </w:tc>
        <w:tc>
          <w:tcPr>
            <w:tcW w:w="3330" w:type="dxa"/>
          </w:tcPr>
          <w:p w14:paraId="7E6B7910" w14:textId="77777777" w:rsidR="006118CD" w:rsidRDefault="006118CD" w:rsidP="00476D66">
            <w:pPr>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0.195</w:t>
            </w:r>
            <w:r>
              <w:rPr>
                <w:rFonts w:ascii="BookAntiqua" w:hAnsi="BookAntiqua" w:cs="BookAntiqua"/>
                <w:sz w:val="20"/>
                <w:szCs w:val="20"/>
                <w:vertAlign w:val="superscript"/>
              </w:rPr>
              <w:t>***</w:t>
            </w:r>
          </w:p>
        </w:tc>
      </w:tr>
      <w:tr w:rsidR="00D369EB" w14:paraId="624EF93C" w14:textId="77777777" w:rsidTr="516AAD3A">
        <w:tc>
          <w:tcPr>
            <w:cnfStyle w:val="001000000000" w:firstRow="0" w:lastRow="0" w:firstColumn="1" w:lastColumn="0" w:oddVBand="0" w:evenVBand="0" w:oddHBand="0" w:evenHBand="0" w:firstRowFirstColumn="0" w:firstRowLastColumn="0" w:lastRowFirstColumn="0" w:lastRowLastColumn="0"/>
            <w:tcW w:w="3330" w:type="dxa"/>
          </w:tcPr>
          <w:p w14:paraId="17F9B760" w14:textId="02778A94" w:rsidR="006118CD" w:rsidRDefault="00600422" w:rsidP="00476D66">
            <w:pPr>
              <w:jc w:val="both"/>
              <w:rPr>
                <w:rFonts w:ascii="BookAntiqua" w:hAnsi="BookAntiqua" w:cs="BookAntiqua"/>
                <w:sz w:val="20"/>
                <w:szCs w:val="20"/>
              </w:rPr>
            </w:pPr>
            <w:r>
              <w:rPr>
                <w:rFonts w:ascii="BookAntiqua" w:hAnsi="BookAntiqua" w:cs="BookAntiqua"/>
                <w:sz w:val="20"/>
                <w:szCs w:val="20"/>
              </w:rPr>
              <w:t xml:space="preserve">Moderate </w:t>
            </w:r>
            <w:r w:rsidR="00FF1C9C">
              <w:rPr>
                <w:rFonts w:ascii="BookAntiqua" w:hAnsi="BookAntiqua" w:cs="BookAntiqua"/>
                <w:sz w:val="20"/>
                <w:szCs w:val="20"/>
              </w:rPr>
              <w:t>effective</w:t>
            </w:r>
          </w:p>
        </w:tc>
        <w:tc>
          <w:tcPr>
            <w:tcW w:w="2700" w:type="dxa"/>
            <w:vAlign w:val="center"/>
          </w:tcPr>
          <w:p w14:paraId="61FCA56E" w14:textId="77777777" w:rsidR="006118CD" w:rsidRPr="003A033C" w:rsidRDefault="006118CD" w:rsidP="00476D66">
            <w:pPr>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sidRPr="003A033C">
              <w:rPr>
                <w:rFonts w:ascii="BookAntiqua" w:hAnsi="BookAntiqua" w:cs="BookAntiqua"/>
                <w:sz w:val="20"/>
                <w:szCs w:val="20"/>
              </w:rPr>
              <w:t>-</w:t>
            </w:r>
            <w:r>
              <w:rPr>
                <w:rFonts w:ascii="BookAntiqua" w:hAnsi="BookAntiqua" w:cs="BookAntiqua"/>
                <w:sz w:val="20"/>
                <w:szCs w:val="20"/>
              </w:rPr>
              <w:t>0</w:t>
            </w:r>
            <w:r w:rsidRPr="003A033C">
              <w:rPr>
                <w:rFonts w:ascii="BookAntiqua" w:hAnsi="BookAntiqua" w:cs="BookAntiqua"/>
                <w:sz w:val="20"/>
                <w:szCs w:val="20"/>
              </w:rPr>
              <w:t>.846</w:t>
            </w:r>
            <w:r>
              <w:rPr>
                <w:rFonts w:ascii="BookAntiqua" w:hAnsi="BookAntiqua" w:cs="BookAntiqua"/>
                <w:sz w:val="20"/>
                <w:szCs w:val="20"/>
                <w:vertAlign w:val="superscript"/>
              </w:rPr>
              <w:t>**</w:t>
            </w:r>
          </w:p>
        </w:tc>
        <w:tc>
          <w:tcPr>
            <w:tcW w:w="3330" w:type="dxa"/>
          </w:tcPr>
          <w:p w14:paraId="346358B5" w14:textId="77777777" w:rsidR="006118CD" w:rsidRDefault="006118CD" w:rsidP="00476D66">
            <w:pPr>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0.429</w:t>
            </w:r>
            <w:r>
              <w:rPr>
                <w:rFonts w:ascii="BookAntiqua" w:hAnsi="BookAntiqua" w:cs="BookAntiqua"/>
                <w:sz w:val="20"/>
                <w:szCs w:val="20"/>
                <w:vertAlign w:val="superscript"/>
              </w:rPr>
              <w:t>**</w:t>
            </w:r>
          </w:p>
        </w:tc>
      </w:tr>
      <w:tr w:rsidR="005D336C" w14:paraId="09118395" w14:textId="77777777" w:rsidTr="516AA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0ABC58B4" w14:textId="52E918AE" w:rsidR="006118CD" w:rsidRDefault="006118CD" w:rsidP="00476D66">
            <w:pPr>
              <w:jc w:val="left"/>
              <w:rPr>
                <w:rFonts w:ascii="BookAntiqua" w:hAnsi="BookAntiqua" w:cs="BookAntiqua"/>
                <w:sz w:val="20"/>
                <w:szCs w:val="20"/>
              </w:rPr>
            </w:pPr>
            <w:r>
              <w:rPr>
                <w:rFonts w:ascii="BookAntiqua" w:hAnsi="BookAntiqua" w:cs="BookAntiqua"/>
                <w:sz w:val="20"/>
                <w:szCs w:val="20"/>
              </w:rPr>
              <w:t>Very effective</w:t>
            </w:r>
            <w:r w:rsidR="400F35B8" w:rsidRPr="13C1FD00">
              <w:rPr>
                <w:rFonts w:ascii="BookAntiqua" w:hAnsi="BookAntiqua" w:cs="BookAntiqua"/>
                <w:sz w:val="20"/>
                <w:szCs w:val="20"/>
              </w:rPr>
              <w:t xml:space="preserve"> </w:t>
            </w:r>
            <w:r>
              <w:rPr>
                <w:rFonts w:ascii="BookAntiqua" w:hAnsi="BookAntiqua" w:cs="BookAntiqua"/>
                <w:sz w:val="20"/>
                <w:szCs w:val="20"/>
              </w:rPr>
              <w:t>(Ref)</w:t>
            </w:r>
          </w:p>
        </w:tc>
        <w:tc>
          <w:tcPr>
            <w:tcW w:w="2700" w:type="dxa"/>
          </w:tcPr>
          <w:p w14:paraId="76A3A610" w14:textId="77777777" w:rsidR="006118CD" w:rsidRDefault="006118CD" w:rsidP="00476D66">
            <w:pPr>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w:t>
            </w:r>
          </w:p>
        </w:tc>
        <w:tc>
          <w:tcPr>
            <w:tcW w:w="3330" w:type="dxa"/>
          </w:tcPr>
          <w:p w14:paraId="7F26A83F" w14:textId="77777777" w:rsidR="006118CD" w:rsidRDefault="006118CD" w:rsidP="00476D66">
            <w:pPr>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w:t>
            </w:r>
          </w:p>
        </w:tc>
      </w:tr>
      <w:tr w:rsidR="005D336C" w14:paraId="74A0637E" w14:textId="77777777" w:rsidTr="516AAD3A">
        <w:tc>
          <w:tcPr>
            <w:cnfStyle w:val="001000000000" w:firstRow="0" w:lastRow="0" w:firstColumn="1" w:lastColumn="0" w:oddVBand="0" w:evenVBand="0" w:oddHBand="0" w:evenHBand="0" w:firstRowFirstColumn="0" w:firstRowLastColumn="0" w:lastRowFirstColumn="0" w:lastRowLastColumn="0"/>
            <w:tcW w:w="9360" w:type="dxa"/>
            <w:gridSpan w:val="3"/>
            <w:shd w:val="clear" w:color="auto" w:fill="A6A6A6" w:themeFill="background1" w:themeFillShade="A6"/>
          </w:tcPr>
          <w:p w14:paraId="7FF1A6FE" w14:textId="77777777" w:rsidR="006118CD" w:rsidRDefault="006118CD" w:rsidP="00476D66">
            <w:pPr>
              <w:jc w:val="left"/>
              <w:rPr>
                <w:rFonts w:ascii="BookAntiqua" w:hAnsi="BookAntiqua" w:cs="BookAntiqua"/>
                <w:sz w:val="20"/>
                <w:szCs w:val="20"/>
              </w:rPr>
            </w:pPr>
            <w:r w:rsidRPr="00B53877">
              <w:rPr>
                <w:rFonts w:ascii="BookAntiqua" w:hAnsi="BookAntiqua" w:cs="BookAntiqua"/>
                <w:b/>
                <w:bCs/>
                <w:i w:val="0"/>
                <w:iCs w:val="0"/>
                <w:sz w:val="20"/>
                <w:szCs w:val="20"/>
              </w:rPr>
              <w:t>X</w:t>
            </w:r>
            <w:r>
              <w:rPr>
                <w:rFonts w:ascii="BookAntiqua" w:hAnsi="BookAntiqua" w:cs="BookAntiqua"/>
                <w:b/>
                <w:bCs/>
                <w:i w:val="0"/>
                <w:iCs w:val="0"/>
                <w:sz w:val="20"/>
                <w:szCs w:val="20"/>
                <w:vertAlign w:val="subscript"/>
              </w:rPr>
              <w:t xml:space="preserve">6 </w:t>
            </w:r>
            <w:r>
              <w:rPr>
                <w:rFonts w:ascii="BookAntiqua" w:hAnsi="BookAntiqua" w:cs="BookAntiqua"/>
                <w:b/>
                <w:bCs/>
                <w:i w:val="0"/>
                <w:iCs w:val="0"/>
                <w:sz w:val="20"/>
                <w:szCs w:val="20"/>
              </w:rPr>
              <w:t>(State projects and new cities)</w:t>
            </w:r>
          </w:p>
        </w:tc>
      </w:tr>
      <w:tr w:rsidR="005D336C" w14:paraId="0A7BEE52" w14:textId="77777777" w:rsidTr="516AA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4815D77A" w14:textId="77777777" w:rsidR="006118CD" w:rsidRDefault="006118CD" w:rsidP="00476D66">
            <w:pPr>
              <w:jc w:val="both"/>
              <w:rPr>
                <w:rFonts w:ascii="BookAntiqua" w:hAnsi="BookAntiqua" w:cs="BookAntiqua"/>
                <w:sz w:val="20"/>
                <w:szCs w:val="20"/>
              </w:rPr>
            </w:pPr>
            <w:r>
              <w:rPr>
                <w:rFonts w:ascii="BookAntiqua" w:hAnsi="BookAntiqua" w:cs="BookAntiqua"/>
                <w:sz w:val="20"/>
                <w:szCs w:val="20"/>
              </w:rPr>
              <w:t>Not effective</w:t>
            </w:r>
          </w:p>
        </w:tc>
        <w:tc>
          <w:tcPr>
            <w:tcW w:w="2700" w:type="dxa"/>
            <w:vAlign w:val="center"/>
          </w:tcPr>
          <w:p w14:paraId="08F84328" w14:textId="77777777" w:rsidR="006118CD" w:rsidRPr="00FD146F" w:rsidRDefault="006118CD" w:rsidP="00476D66">
            <w:pPr>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sidRPr="00FD146F">
              <w:rPr>
                <w:rFonts w:ascii="BookAntiqua" w:hAnsi="BookAntiqua" w:cs="BookAntiqua"/>
                <w:sz w:val="20"/>
                <w:szCs w:val="20"/>
              </w:rPr>
              <w:t>-</w:t>
            </w:r>
            <w:r>
              <w:rPr>
                <w:rFonts w:ascii="BookAntiqua" w:hAnsi="BookAntiqua" w:cs="BookAntiqua"/>
                <w:sz w:val="20"/>
                <w:szCs w:val="20"/>
              </w:rPr>
              <w:t>0</w:t>
            </w:r>
            <w:r w:rsidRPr="00FD146F">
              <w:rPr>
                <w:rFonts w:ascii="BookAntiqua" w:hAnsi="BookAntiqua" w:cs="BookAntiqua"/>
                <w:sz w:val="20"/>
                <w:szCs w:val="20"/>
              </w:rPr>
              <w:t>.364</w:t>
            </w:r>
          </w:p>
        </w:tc>
        <w:tc>
          <w:tcPr>
            <w:tcW w:w="3330" w:type="dxa"/>
          </w:tcPr>
          <w:p w14:paraId="37351539" w14:textId="77777777" w:rsidR="006118CD" w:rsidRDefault="006118CD" w:rsidP="00476D66">
            <w:pPr>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0.965</w:t>
            </w:r>
          </w:p>
        </w:tc>
      </w:tr>
      <w:tr w:rsidR="00D369EB" w14:paraId="268B5DC2" w14:textId="77777777" w:rsidTr="516AAD3A">
        <w:tc>
          <w:tcPr>
            <w:cnfStyle w:val="001000000000" w:firstRow="0" w:lastRow="0" w:firstColumn="1" w:lastColumn="0" w:oddVBand="0" w:evenVBand="0" w:oddHBand="0" w:evenHBand="0" w:firstRowFirstColumn="0" w:firstRowLastColumn="0" w:lastRowFirstColumn="0" w:lastRowLastColumn="0"/>
            <w:tcW w:w="3330" w:type="dxa"/>
          </w:tcPr>
          <w:p w14:paraId="4F72859F" w14:textId="6121DC0C" w:rsidR="006118CD" w:rsidRDefault="00600422" w:rsidP="00476D66">
            <w:pPr>
              <w:jc w:val="both"/>
              <w:rPr>
                <w:rFonts w:ascii="BookAntiqua" w:hAnsi="BookAntiqua" w:cs="BookAntiqua"/>
                <w:sz w:val="20"/>
                <w:szCs w:val="20"/>
              </w:rPr>
            </w:pPr>
            <w:r>
              <w:rPr>
                <w:rFonts w:ascii="BookAntiqua" w:hAnsi="BookAntiqua" w:cs="BookAntiqua"/>
                <w:sz w:val="20"/>
                <w:szCs w:val="20"/>
              </w:rPr>
              <w:t xml:space="preserve">Moderate </w:t>
            </w:r>
            <w:r w:rsidR="00FF1C9C">
              <w:rPr>
                <w:rFonts w:ascii="BookAntiqua" w:hAnsi="BookAntiqua" w:cs="BookAntiqua"/>
                <w:sz w:val="20"/>
                <w:szCs w:val="20"/>
              </w:rPr>
              <w:t>effective</w:t>
            </w:r>
          </w:p>
        </w:tc>
        <w:tc>
          <w:tcPr>
            <w:tcW w:w="2700" w:type="dxa"/>
            <w:vAlign w:val="center"/>
          </w:tcPr>
          <w:p w14:paraId="777D09B0" w14:textId="77777777" w:rsidR="006118CD" w:rsidRPr="00FD146F" w:rsidRDefault="006118CD" w:rsidP="00476D66">
            <w:pPr>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0</w:t>
            </w:r>
            <w:r w:rsidRPr="00FD146F">
              <w:rPr>
                <w:rFonts w:ascii="BookAntiqua" w:hAnsi="BookAntiqua" w:cs="BookAntiqua"/>
                <w:sz w:val="20"/>
                <w:szCs w:val="20"/>
              </w:rPr>
              <w:t>.313</w:t>
            </w:r>
          </w:p>
        </w:tc>
        <w:tc>
          <w:tcPr>
            <w:tcW w:w="3330" w:type="dxa"/>
          </w:tcPr>
          <w:p w14:paraId="12E9987B" w14:textId="77777777" w:rsidR="006118CD" w:rsidRDefault="006118CD" w:rsidP="00476D66">
            <w:pPr>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1.37</w:t>
            </w:r>
          </w:p>
        </w:tc>
      </w:tr>
      <w:tr w:rsidR="005D336C" w14:paraId="1927CAE3" w14:textId="77777777" w:rsidTr="516AA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4B98A25C" w14:textId="09061E91" w:rsidR="006118CD" w:rsidRDefault="006118CD" w:rsidP="00476D66">
            <w:pPr>
              <w:jc w:val="left"/>
              <w:rPr>
                <w:rFonts w:ascii="BookAntiqua" w:hAnsi="BookAntiqua" w:cs="BookAntiqua"/>
                <w:sz w:val="20"/>
                <w:szCs w:val="20"/>
              </w:rPr>
            </w:pPr>
            <w:r>
              <w:rPr>
                <w:rFonts w:ascii="BookAntiqua" w:hAnsi="BookAntiqua" w:cs="BookAntiqua"/>
                <w:sz w:val="20"/>
                <w:szCs w:val="20"/>
              </w:rPr>
              <w:t>Very effective</w:t>
            </w:r>
            <w:r w:rsidR="618A381C" w:rsidRPr="512AAF74">
              <w:rPr>
                <w:rFonts w:ascii="BookAntiqua" w:hAnsi="BookAntiqua" w:cs="BookAntiqua"/>
                <w:sz w:val="20"/>
                <w:szCs w:val="20"/>
              </w:rPr>
              <w:t xml:space="preserve"> </w:t>
            </w:r>
            <w:r>
              <w:rPr>
                <w:rFonts w:ascii="BookAntiqua" w:hAnsi="BookAntiqua" w:cs="BookAntiqua"/>
                <w:sz w:val="20"/>
                <w:szCs w:val="20"/>
              </w:rPr>
              <w:t>(Ref)</w:t>
            </w:r>
          </w:p>
        </w:tc>
        <w:tc>
          <w:tcPr>
            <w:tcW w:w="2700" w:type="dxa"/>
          </w:tcPr>
          <w:p w14:paraId="399976D1" w14:textId="77777777" w:rsidR="006118CD" w:rsidRDefault="006118CD" w:rsidP="00476D66">
            <w:pPr>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w:t>
            </w:r>
          </w:p>
        </w:tc>
        <w:tc>
          <w:tcPr>
            <w:tcW w:w="3330" w:type="dxa"/>
          </w:tcPr>
          <w:p w14:paraId="4F701022" w14:textId="77777777" w:rsidR="006118CD" w:rsidRDefault="006118CD" w:rsidP="00476D66">
            <w:pPr>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w:t>
            </w:r>
          </w:p>
        </w:tc>
      </w:tr>
      <w:tr w:rsidR="005D336C" w14:paraId="3FE12DAA" w14:textId="77777777" w:rsidTr="516AAD3A">
        <w:tc>
          <w:tcPr>
            <w:cnfStyle w:val="001000000000" w:firstRow="0" w:lastRow="0" w:firstColumn="1" w:lastColumn="0" w:oddVBand="0" w:evenVBand="0" w:oddHBand="0" w:evenHBand="0" w:firstRowFirstColumn="0" w:firstRowLastColumn="0" w:lastRowFirstColumn="0" w:lastRowLastColumn="0"/>
            <w:tcW w:w="9360" w:type="dxa"/>
            <w:gridSpan w:val="3"/>
            <w:shd w:val="clear" w:color="auto" w:fill="A6A6A6" w:themeFill="background1" w:themeFillShade="A6"/>
          </w:tcPr>
          <w:p w14:paraId="269F1479" w14:textId="77777777" w:rsidR="006118CD" w:rsidRDefault="006118CD" w:rsidP="00476D66">
            <w:pPr>
              <w:jc w:val="left"/>
              <w:rPr>
                <w:rFonts w:ascii="BookAntiqua" w:hAnsi="BookAntiqua" w:cs="BookAntiqua"/>
                <w:sz w:val="20"/>
                <w:szCs w:val="20"/>
              </w:rPr>
            </w:pPr>
            <w:r w:rsidRPr="00B53877">
              <w:rPr>
                <w:rFonts w:ascii="BookAntiqua" w:hAnsi="BookAntiqua" w:cs="BookAntiqua"/>
                <w:b/>
                <w:bCs/>
                <w:i w:val="0"/>
                <w:iCs w:val="0"/>
                <w:sz w:val="20"/>
                <w:szCs w:val="20"/>
              </w:rPr>
              <w:t>X</w:t>
            </w:r>
            <w:r>
              <w:rPr>
                <w:rFonts w:ascii="BookAntiqua" w:hAnsi="BookAntiqua" w:cs="BookAntiqua" w:hint="cs"/>
                <w:b/>
                <w:bCs/>
                <w:i w:val="0"/>
                <w:iCs w:val="0"/>
                <w:sz w:val="20"/>
                <w:szCs w:val="20"/>
                <w:vertAlign w:val="subscript"/>
                <w:rtl/>
              </w:rPr>
              <w:t>7</w:t>
            </w:r>
            <w:r>
              <w:rPr>
                <w:rFonts w:ascii="BookAntiqua" w:hAnsi="BookAntiqua" w:cs="BookAntiqua"/>
                <w:b/>
                <w:bCs/>
                <w:i w:val="0"/>
                <w:iCs w:val="0"/>
                <w:sz w:val="20"/>
                <w:szCs w:val="20"/>
                <w:vertAlign w:val="subscript"/>
              </w:rPr>
              <w:t xml:space="preserve"> </w:t>
            </w:r>
            <w:r>
              <w:rPr>
                <w:rFonts w:ascii="BookAntiqua" w:hAnsi="BookAntiqua" w:cs="BookAntiqua"/>
                <w:b/>
                <w:bCs/>
                <w:i w:val="0"/>
                <w:iCs w:val="0"/>
                <w:sz w:val="20"/>
                <w:szCs w:val="20"/>
              </w:rPr>
              <w:t>(Types of banks preferences)</w:t>
            </w:r>
          </w:p>
        </w:tc>
      </w:tr>
      <w:tr w:rsidR="005D336C" w14:paraId="2358E0F3" w14:textId="77777777" w:rsidTr="516AA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3CA1A614" w14:textId="77777777" w:rsidR="006118CD" w:rsidRDefault="006118CD" w:rsidP="00476D66">
            <w:pPr>
              <w:jc w:val="both"/>
              <w:rPr>
                <w:rFonts w:ascii="BookAntiqua" w:hAnsi="BookAntiqua" w:cs="BookAntiqua"/>
                <w:sz w:val="20"/>
                <w:szCs w:val="20"/>
              </w:rPr>
            </w:pPr>
            <w:r>
              <w:rPr>
                <w:rFonts w:ascii="BookAntiqua" w:hAnsi="BookAntiqua" w:cs="BookAntiqua"/>
                <w:sz w:val="20"/>
                <w:szCs w:val="20"/>
              </w:rPr>
              <w:t xml:space="preserve">Governmental </w:t>
            </w:r>
          </w:p>
        </w:tc>
        <w:tc>
          <w:tcPr>
            <w:tcW w:w="2700" w:type="dxa"/>
          </w:tcPr>
          <w:p w14:paraId="206D2682" w14:textId="77777777" w:rsidR="006118CD" w:rsidRPr="00067D41" w:rsidRDefault="006118CD" w:rsidP="00476D66">
            <w:pPr>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sidRPr="00067D41">
              <w:rPr>
                <w:rFonts w:ascii="Arial" w:hAnsi="Arial" w:cs="Arial"/>
                <w:color w:val="000000"/>
                <w:sz w:val="18"/>
                <w:szCs w:val="18"/>
              </w:rPr>
              <w:t>.466</w:t>
            </w:r>
          </w:p>
        </w:tc>
        <w:tc>
          <w:tcPr>
            <w:tcW w:w="3330" w:type="dxa"/>
          </w:tcPr>
          <w:p w14:paraId="166B0985" w14:textId="77777777" w:rsidR="006118CD" w:rsidRPr="00067D41" w:rsidRDefault="006118CD" w:rsidP="00476D66">
            <w:pPr>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sidRPr="00067D41">
              <w:rPr>
                <w:rFonts w:ascii="BookAntiqua" w:hAnsi="BookAntiqua" w:cs="BookAntiqua"/>
                <w:sz w:val="20"/>
                <w:szCs w:val="20"/>
              </w:rPr>
              <w:t>1.594</w:t>
            </w:r>
          </w:p>
        </w:tc>
      </w:tr>
      <w:tr w:rsidR="00D369EB" w14:paraId="02A2C8A7" w14:textId="77777777" w:rsidTr="516AAD3A">
        <w:tc>
          <w:tcPr>
            <w:cnfStyle w:val="001000000000" w:firstRow="0" w:lastRow="0" w:firstColumn="1" w:lastColumn="0" w:oddVBand="0" w:evenVBand="0" w:oddHBand="0" w:evenHBand="0" w:firstRowFirstColumn="0" w:firstRowLastColumn="0" w:lastRowFirstColumn="0" w:lastRowLastColumn="0"/>
            <w:tcW w:w="3330" w:type="dxa"/>
          </w:tcPr>
          <w:p w14:paraId="23BA9582" w14:textId="77777777" w:rsidR="006118CD" w:rsidRDefault="006118CD" w:rsidP="00476D66">
            <w:pPr>
              <w:jc w:val="both"/>
              <w:rPr>
                <w:rFonts w:ascii="BookAntiqua" w:hAnsi="BookAntiqua" w:cs="BookAntiqua"/>
                <w:sz w:val="20"/>
                <w:szCs w:val="20"/>
              </w:rPr>
            </w:pPr>
            <w:r>
              <w:rPr>
                <w:rFonts w:ascii="BookAntiqua" w:hAnsi="BookAntiqua" w:cs="BookAntiqua"/>
                <w:sz w:val="20"/>
                <w:szCs w:val="20"/>
              </w:rPr>
              <w:t xml:space="preserve">Commercial </w:t>
            </w:r>
          </w:p>
        </w:tc>
        <w:tc>
          <w:tcPr>
            <w:tcW w:w="2700" w:type="dxa"/>
            <w:vAlign w:val="center"/>
          </w:tcPr>
          <w:p w14:paraId="48065DCA" w14:textId="77777777" w:rsidR="006118CD" w:rsidRPr="00067D41" w:rsidRDefault="006118CD" w:rsidP="00476D66">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   </w:t>
            </w:r>
            <w:r w:rsidRPr="00067D41">
              <w:rPr>
                <w:rFonts w:ascii="Arial" w:hAnsi="Arial" w:cs="Arial"/>
                <w:color w:val="000000"/>
                <w:sz w:val="18"/>
                <w:szCs w:val="18"/>
              </w:rPr>
              <w:t>.971</w:t>
            </w:r>
            <w:r w:rsidRPr="00067D41">
              <w:rPr>
                <w:rFonts w:ascii="BookAntiqua" w:hAnsi="BookAntiqua" w:cs="BookAntiqua"/>
                <w:sz w:val="20"/>
                <w:szCs w:val="20"/>
                <w:vertAlign w:val="superscript"/>
              </w:rPr>
              <w:t>***</w:t>
            </w:r>
          </w:p>
        </w:tc>
        <w:tc>
          <w:tcPr>
            <w:tcW w:w="3330" w:type="dxa"/>
          </w:tcPr>
          <w:p w14:paraId="3748E5C0" w14:textId="77777777" w:rsidR="006118CD" w:rsidRPr="00067D41" w:rsidRDefault="006118CD" w:rsidP="00476D66">
            <w:pPr>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 xml:space="preserve">  </w:t>
            </w:r>
            <w:r w:rsidRPr="00067D41">
              <w:rPr>
                <w:rFonts w:ascii="BookAntiqua" w:hAnsi="BookAntiqua" w:cs="BookAntiqua"/>
                <w:sz w:val="20"/>
                <w:szCs w:val="20"/>
              </w:rPr>
              <w:t>2.64</w:t>
            </w:r>
            <w:r w:rsidRPr="00067D41">
              <w:rPr>
                <w:rFonts w:ascii="BookAntiqua" w:hAnsi="BookAntiqua" w:cs="BookAntiqua"/>
                <w:sz w:val="20"/>
                <w:szCs w:val="20"/>
                <w:vertAlign w:val="superscript"/>
              </w:rPr>
              <w:t>***</w:t>
            </w:r>
          </w:p>
        </w:tc>
      </w:tr>
      <w:tr w:rsidR="005D336C" w14:paraId="1466A629" w14:textId="77777777" w:rsidTr="516AA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39F8503D" w14:textId="77777777" w:rsidR="006118CD" w:rsidRDefault="006118CD" w:rsidP="00476D66">
            <w:pPr>
              <w:jc w:val="both"/>
              <w:rPr>
                <w:rFonts w:ascii="BookAntiqua" w:hAnsi="BookAntiqua" w:cs="BookAntiqua"/>
                <w:sz w:val="20"/>
                <w:szCs w:val="20"/>
              </w:rPr>
            </w:pPr>
            <w:r>
              <w:rPr>
                <w:rFonts w:ascii="BookAntiqua" w:hAnsi="BookAntiqua" w:cs="BookAntiqua"/>
                <w:sz w:val="20"/>
                <w:szCs w:val="20"/>
              </w:rPr>
              <w:t>Islamic</w:t>
            </w:r>
          </w:p>
        </w:tc>
        <w:tc>
          <w:tcPr>
            <w:tcW w:w="2700" w:type="dxa"/>
            <w:vAlign w:val="center"/>
          </w:tcPr>
          <w:p w14:paraId="062AF607" w14:textId="77777777" w:rsidR="006118CD" w:rsidRPr="00067D41" w:rsidRDefault="006118CD" w:rsidP="00476D66">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67D41">
              <w:rPr>
                <w:rFonts w:ascii="Arial" w:hAnsi="Arial" w:cs="Arial"/>
                <w:color w:val="000000"/>
                <w:sz w:val="18"/>
                <w:szCs w:val="18"/>
              </w:rPr>
              <w:t>-.039</w:t>
            </w:r>
          </w:p>
        </w:tc>
        <w:tc>
          <w:tcPr>
            <w:tcW w:w="3330" w:type="dxa"/>
          </w:tcPr>
          <w:p w14:paraId="392D280F" w14:textId="77777777" w:rsidR="006118CD" w:rsidRPr="00067D41" w:rsidRDefault="006118CD" w:rsidP="00476D66">
            <w:pPr>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sidRPr="00067D41">
              <w:rPr>
                <w:rFonts w:ascii="BookAntiqua" w:hAnsi="BookAntiqua" w:cs="BookAntiqua"/>
                <w:sz w:val="20"/>
                <w:szCs w:val="20"/>
              </w:rPr>
              <w:t>0.962</w:t>
            </w:r>
          </w:p>
        </w:tc>
      </w:tr>
      <w:tr w:rsidR="00EA47C2" w14:paraId="0019711A" w14:textId="77777777" w:rsidTr="516AAD3A">
        <w:tc>
          <w:tcPr>
            <w:cnfStyle w:val="001000000000" w:firstRow="0" w:lastRow="0" w:firstColumn="1" w:lastColumn="0" w:oddVBand="0" w:evenVBand="0" w:oddHBand="0" w:evenHBand="0" w:firstRowFirstColumn="0" w:firstRowLastColumn="0" w:lastRowFirstColumn="0" w:lastRowLastColumn="0"/>
            <w:tcW w:w="3330" w:type="dxa"/>
          </w:tcPr>
          <w:p w14:paraId="41013D26" w14:textId="3D2BF472" w:rsidR="006118CD" w:rsidRDefault="006118CD" w:rsidP="00476D66">
            <w:pPr>
              <w:jc w:val="both"/>
              <w:rPr>
                <w:rFonts w:ascii="BookAntiqua" w:hAnsi="BookAntiqua" w:cs="BookAntiqua"/>
                <w:sz w:val="20"/>
                <w:szCs w:val="20"/>
              </w:rPr>
            </w:pPr>
            <w:r>
              <w:rPr>
                <w:rFonts w:ascii="BookAntiqua" w:hAnsi="BookAntiqua" w:cs="BookAntiqua"/>
                <w:sz w:val="20"/>
                <w:szCs w:val="20"/>
              </w:rPr>
              <w:t>Don’t prefer to deal with banks</w:t>
            </w:r>
            <w:r w:rsidR="2C53A192" w:rsidRPr="238253AB">
              <w:rPr>
                <w:rFonts w:ascii="BookAntiqua" w:hAnsi="BookAntiqua" w:cs="BookAntiqua"/>
                <w:sz w:val="20"/>
                <w:szCs w:val="20"/>
              </w:rPr>
              <w:t xml:space="preserve"> (</w:t>
            </w:r>
            <w:r>
              <w:rPr>
                <w:rFonts w:ascii="BookAntiqua" w:hAnsi="BookAntiqua" w:cs="BookAntiqua"/>
                <w:sz w:val="20"/>
                <w:szCs w:val="20"/>
              </w:rPr>
              <w:t>Ref)</w:t>
            </w:r>
          </w:p>
        </w:tc>
        <w:tc>
          <w:tcPr>
            <w:tcW w:w="2700" w:type="dxa"/>
          </w:tcPr>
          <w:p w14:paraId="6793B4DE" w14:textId="77777777" w:rsidR="006118CD" w:rsidRDefault="006118CD" w:rsidP="00476D66">
            <w:pPr>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w:t>
            </w:r>
          </w:p>
        </w:tc>
        <w:tc>
          <w:tcPr>
            <w:tcW w:w="3330" w:type="dxa"/>
          </w:tcPr>
          <w:p w14:paraId="288E8F3A" w14:textId="77777777" w:rsidR="006118CD" w:rsidRDefault="006118CD" w:rsidP="00476D66">
            <w:pPr>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w:t>
            </w:r>
          </w:p>
        </w:tc>
      </w:tr>
      <w:tr w:rsidR="005D336C" w14:paraId="109BB284" w14:textId="77777777" w:rsidTr="516AA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shd w:val="clear" w:color="auto" w:fill="A6A6A6" w:themeFill="background1" w:themeFillShade="A6"/>
          </w:tcPr>
          <w:p w14:paraId="6B149B6E" w14:textId="77777777" w:rsidR="006118CD" w:rsidRDefault="006118CD" w:rsidP="00476D66">
            <w:pPr>
              <w:jc w:val="left"/>
              <w:rPr>
                <w:rFonts w:ascii="BookAntiqua" w:hAnsi="BookAntiqua" w:cs="BookAntiqua"/>
                <w:sz w:val="20"/>
                <w:szCs w:val="20"/>
              </w:rPr>
            </w:pPr>
            <w:r w:rsidRPr="00B53877">
              <w:rPr>
                <w:rFonts w:ascii="BookAntiqua" w:hAnsi="BookAntiqua" w:cs="BookAntiqua"/>
                <w:b/>
                <w:bCs/>
                <w:i w:val="0"/>
                <w:iCs w:val="0"/>
                <w:sz w:val="20"/>
                <w:szCs w:val="20"/>
              </w:rPr>
              <w:t>X</w:t>
            </w:r>
            <w:r>
              <w:rPr>
                <w:rFonts w:ascii="BookAntiqua" w:hAnsi="BookAntiqua" w:cs="BookAntiqua" w:hint="cs"/>
                <w:b/>
                <w:bCs/>
                <w:i w:val="0"/>
                <w:iCs w:val="0"/>
                <w:sz w:val="20"/>
                <w:szCs w:val="20"/>
                <w:vertAlign w:val="subscript"/>
                <w:rtl/>
              </w:rPr>
              <w:t>8</w:t>
            </w:r>
            <w:r>
              <w:rPr>
                <w:rFonts w:ascii="BookAntiqua" w:hAnsi="BookAntiqua" w:cs="BookAntiqua"/>
                <w:b/>
                <w:bCs/>
                <w:i w:val="0"/>
                <w:iCs w:val="0"/>
                <w:sz w:val="20"/>
                <w:szCs w:val="20"/>
                <w:vertAlign w:val="subscript"/>
              </w:rPr>
              <w:t xml:space="preserve"> </w:t>
            </w:r>
            <w:r>
              <w:rPr>
                <w:rFonts w:ascii="BookAntiqua" w:hAnsi="BookAntiqua" w:cs="BookAntiqua"/>
                <w:b/>
                <w:bCs/>
                <w:i w:val="0"/>
                <w:iCs w:val="0"/>
                <w:sz w:val="20"/>
                <w:szCs w:val="20"/>
              </w:rPr>
              <w:t>(I will be able to buy any time soon)</w:t>
            </w:r>
          </w:p>
        </w:tc>
      </w:tr>
      <w:tr w:rsidR="00D369EB" w14:paraId="22A7EEE6" w14:textId="77777777" w:rsidTr="516AAD3A">
        <w:tc>
          <w:tcPr>
            <w:cnfStyle w:val="001000000000" w:firstRow="0" w:lastRow="0" w:firstColumn="1" w:lastColumn="0" w:oddVBand="0" w:evenVBand="0" w:oddHBand="0" w:evenHBand="0" w:firstRowFirstColumn="0" w:firstRowLastColumn="0" w:lastRowFirstColumn="0" w:lastRowLastColumn="0"/>
            <w:tcW w:w="3330" w:type="dxa"/>
          </w:tcPr>
          <w:p w14:paraId="401C3444" w14:textId="77777777" w:rsidR="006118CD" w:rsidRDefault="006118CD" w:rsidP="00476D66">
            <w:pPr>
              <w:jc w:val="both"/>
              <w:rPr>
                <w:rFonts w:ascii="BookAntiqua" w:hAnsi="BookAntiqua" w:cs="BookAntiqua"/>
                <w:sz w:val="20"/>
                <w:szCs w:val="20"/>
              </w:rPr>
            </w:pPr>
            <w:r>
              <w:rPr>
                <w:rFonts w:ascii="BookAntiqua" w:hAnsi="BookAntiqua" w:cs="BookAntiqua"/>
                <w:sz w:val="20"/>
                <w:szCs w:val="20"/>
              </w:rPr>
              <w:t>Agree</w:t>
            </w:r>
          </w:p>
        </w:tc>
        <w:tc>
          <w:tcPr>
            <w:tcW w:w="2700" w:type="dxa"/>
            <w:vAlign w:val="center"/>
          </w:tcPr>
          <w:p w14:paraId="150DE507" w14:textId="77777777" w:rsidR="006118CD" w:rsidRPr="009A6A2D" w:rsidRDefault="006118CD" w:rsidP="00476D66">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sidRPr="009A6A2D">
              <w:rPr>
                <w:rFonts w:ascii="BookAntiqua" w:hAnsi="BookAntiqua" w:cs="BookAntiqua"/>
                <w:sz w:val="20"/>
                <w:szCs w:val="20"/>
              </w:rPr>
              <w:t>-</w:t>
            </w:r>
            <w:r>
              <w:rPr>
                <w:rFonts w:ascii="BookAntiqua" w:hAnsi="BookAntiqua" w:cs="BookAntiqua"/>
                <w:sz w:val="20"/>
                <w:szCs w:val="20"/>
              </w:rPr>
              <w:t>0</w:t>
            </w:r>
            <w:r w:rsidRPr="009A6A2D">
              <w:rPr>
                <w:rFonts w:ascii="BookAntiqua" w:hAnsi="BookAntiqua" w:cs="BookAntiqua"/>
                <w:sz w:val="20"/>
                <w:szCs w:val="20"/>
              </w:rPr>
              <w:t>.139</w:t>
            </w:r>
          </w:p>
        </w:tc>
        <w:tc>
          <w:tcPr>
            <w:tcW w:w="3330" w:type="dxa"/>
          </w:tcPr>
          <w:p w14:paraId="51180C97" w14:textId="77777777" w:rsidR="006118CD" w:rsidRDefault="006118CD" w:rsidP="00476D66">
            <w:pPr>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0.870</w:t>
            </w:r>
          </w:p>
        </w:tc>
      </w:tr>
      <w:tr w:rsidR="005D336C" w14:paraId="2EEBF035" w14:textId="77777777" w:rsidTr="516AA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1F84B291" w14:textId="77777777" w:rsidR="006118CD" w:rsidRDefault="006118CD" w:rsidP="00476D66">
            <w:pPr>
              <w:jc w:val="both"/>
              <w:rPr>
                <w:rFonts w:ascii="BookAntiqua" w:hAnsi="BookAntiqua" w:cs="BookAntiqua"/>
                <w:sz w:val="20"/>
                <w:szCs w:val="20"/>
              </w:rPr>
            </w:pPr>
            <w:r>
              <w:rPr>
                <w:rFonts w:ascii="BookAntiqua" w:hAnsi="BookAntiqua" w:cs="BookAntiqua"/>
                <w:sz w:val="20"/>
                <w:szCs w:val="20"/>
              </w:rPr>
              <w:t>I don’t know</w:t>
            </w:r>
          </w:p>
        </w:tc>
        <w:tc>
          <w:tcPr>
            <w:tcW w:w="2700" w:type="dxa"/>
            <w:vAlign w:val="center"/>
          </w:tcPr>
          <w:p w14:paraId="40C32351" w14:textId="77777777" w:rsidR="006118CD" w:rsidRPr="009A6A2D" w:rsidRDefault="006118CD" w:rsidP="00476D66">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sidRPr="009A6A2D">
              <w:rPr>
                <w:rFonts w:ascii="BookAntiqua" w:hAnsi="BookAntiqua" w:cs="BookAntiqua"/>
                <w:sz w:val="20"/>
                <w:szCs w:val="20"/>
              </w:rPr>
              <w:t>-</w:t>
            </w:r>
            <w:r>
              <w:rPr>
                <w:rFonts w:ascii="BookAntiqua" w:hAnsi="BookAntiqua" w:cs="BookAntiqua"/>
                <w:sz w:val="20"/>
                <w:szCs w:val="20"/>
              </w:rPr>
              <w:t>0</w:t>
            </w:r>
            <w:r w:rsidRPr="009A6A2D">
              <w:rPr>
                <w:rFonts w:ascii="BookAntiqua" w:hAnsi="BookAntiqua" w:cs="BookAntiqua"/>
                <w:sz w:val="20"/>
                <w:szCs w:val="20"/>
              </w:rPr>
              <w:t>.563</w:t>
            </w:r>
          </w:p>
        </w:tc>
        <w:tc>
          <w:tcPr>
            <w:tcW w:w="3330" w:type="dxa"/>
          </w:tcPr>
          <w:p w14:paraId="192EAE93" w14:textId="77777777" w:rsidR="006118CD" w:rsidRDefault="006118CD" w:rsidP="00476D66">
            <w:pPr>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0.569</w:t>
            </w:r>
          </w:p>
        </w:tc>
      </w:tr>
      <w:tr w:rsidR="00EA47C2" w14:paraId="45D6EB11" w14:textId="77777777" w:rsidTr="516AAD3A">
        <w:tc>
          <w:tcPr>
            <w:cnfStyle w:val="001000000000" w:firstRow="0" w:lastRow="0" w:firstColumn="1" w:lastColumn="0" w:oddVBand="0" w:evenVBand="0" w:oddHBand="0" w:evenHBand="0" w:firstRowFirstColumn="0" w:firstRowLastColumn="0" w:lastRowFirstColumn="0" w:lastRowLastColumn="0"/>
            <w:tcW w:w="3330" w:type="dxa"/>
          </w:tcPr>
          <w:p w14:paraId="2C6ADA93" w14:textId="7CEBB66B" w:rsidR="006118CD" w:rsidRDefault="006118CD" w:rsidP="00476D66">
            <w:pPr>
              <w:jc w:val="both"/>
              <w:rPr>
                <w:rFonts w:ascii="BookAntiqua" w:hAnsi="BookAntiqua" w:cs="BookAntiqua"/>
                <w:sz w:val="20"/>
                <w:szCs w:val="20"/>
              </w:rPr>
            </w:pPr>
            <w:r>
              <w:rPr>
                <w:rFonts w:ascii="BookAntiqua" w:hAnsi="BookAntiqua" w:cs="BookAntiqua"/>
                <w:sz w:val="20"/>
                <w:szCs w:val="20"/>
              </w:rPr>
              <w:t>Not Agree (Ref)</w:t>
            </w:r>
          </w:p>
        </w:tc>
        <w:tc>
          <w:tcPr>
            <w:tcW w:w="2700" w:type="dxa"/>
          </w:tcPr>
          <w:p w14:paraId="1A501185" w14:textId="77777777" w:rsidR="006118CD" w:rsidRDefault="006118CD" w:rsidP="00476D66">
            <w:pPr>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w:t>
            </w:r>
          </w:p>
        </w:tc>
        <w:tc>
          <w:tcPr>
            <w:tcW w:w="3330" w:type="dxa"/>
          </w:tcPr>
          <w:p w14:paraId="0CBCE62C" w14:textId="77777777" w:rsidR="006118CD" w:rsidRDefault="006118CD" w:rsidP="00476D66">
            <w:pPr>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w:t>
            </w:r>
          </w:p>
        </w:tc>
      </w:tr>
      <w:tr w:rsidR="005D336C" w14:paraId="11BE9CD5" w14:textId="77777777" w:rsidTr="516AA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shd w:val="clear" w:color="auto" w:fill="A6A6A6" w:themeFill="background1" w:themeFillShade="A6"/>
          </w:tcPr>
          <w:p w14:paraId="6104D725" w14:textId="77777777" w:rsidR="006118CD" w:rsidRDefault="006118CD" w:rsidP="00476D66">
            <w:pPr>
              <w:jc w:val="left"/>
              <w:rPr>
                <w:rFonts w:ascii="BookAntiqua" w:hAnsi="BookAntiqua" w:cs="BookAntiqua"/>
                <w:sz w:val="20"/>
                <w:szCs w:val="20"/>
              </w:rPr>
            </w:pPr>
            <w:r w:rsidRPr="00B53877">
              <w:rPr>
                <w:rFonts w:ascii="BookAntiqua" w:hAnsi="BookAntiqua" w:cs="BookAntiqua"/>
                <w:b/>
                <w:bCs/>
                <w:i w:val="0"/>
                <w:iCs w:val="0"/>
                <w:sz w:val="20"/>
                <w:szCs w:val="20"/>
              </w:rPr>
              <w:t>X</w:t>
            </w:r>
            <w:r>
              <w:rPr>
                <w:rFonts w:ascii="BookAntiqua" w:hAnsi="BookAntiqua" w:cs="BookAntiqua" w:hint="cs"/>
                <w:b/>
                <w:bCs/>
                <w:i w:val="0"/>
                <w:iCs w:val="0"/>
                <w:sz w:val="20"/>
                <w:szCs w:val="20"/>
                <w:vertAlign w:val="subscript"/>
                <w:rtl/>
              </w:rPr>
              <w:t>9</w:t>
            </w:r>
            <w:r>
              <w:rPr>
                <w:rFonts w:ascii="BookAntiqua" w:hAnsi="BookAntiqua" w:cs="BookAntiqua"/>
                <w:b/>
                <w:bCs/>
                <w:i w:val="0"/>
                <w:iCs w:val="0"/>
                <w:sz w:val="20"/>
                <w:szCs w:val="20"/>
                <w:vertAlign w:val="subscript"/>
              </w:rPr>
              <w:t xml:space="preserve"> </w:t>
            </w:r>
            <w:r>
              <w:rPr>
                <w:rFonts w:ascii="BookAntiqua" w:hAnsi="BookAntiqua" w:cs="BookAntiqua"/>
                <w:b/>
                <w:bCs/>
                <w:i w:val="0"/>
                <w:iCs w:val="0"/>
                <w:sz w:val="20"/>
                <w:szCs w:val="20"/>
              </w:rPr>
              <w:t>(Cash better than housing investment)</w:t>
            </w:r>
          </w:p>
        </w:tc>
      </w:tr>
      <w:tr w:rsidR="00D369EB" w14:paraId="0CD88912" w14:textId="77777777" w:rsidTr="516AAD3A">
        <w:tc>
          <w:tcPr>
            <w:cnfStyle w:val="001000000000" w:firstRow="0" w:lastRow="0" w:firstColumn="1" w:lastColumn="0" w:oddVBand="0" w:evenVBand="0" w:oddHBand="0" w:evenHBand="0" w:firstRowFirstColumn="0" w:firstRowLastColumn="0" w:lastRowFirstColumn="0" w:lastRowLastColumn="0"/>
            <w:tcW w:w="3330" w:type="dxa"/>
          </w:tcPr>
          <w:p w14:paraId="58934A8E" w14:textId="77777777" w:rsidR="006118CD" w:rsidRDefault="006118CD" w:rsidP="00476D66">
            <w:pPr>
              <w:jc w:val="both"/>
              <w:rPr>
                <w:rFonts w:ascii="BookAntiqua" w:hAnsi="BookAntiqua" w:cs="BookAntiqua"/>
                <w:sz w:val="20"/>
                <w:szCs w:val="20"/>
              </w:rPr>
            </w:pPr>
            <w:r>
              <w:rPr>
                <w:rFonts w:ascii="BookAntiqua" w:hAnsi="BookAntiqua" w:cs="BookAntiqua"/>
                <w:sz w:val="20"/>
                <w:szCs w:val="20"/>
              </w:rPr>
              <w:t>Agree</w:t>
            </w:r>
          </w:p>
        </w:tc>
        <w:tc>
          <w:tcPr>
            <w:tcW w:w="2700" w:type="dxa"/>
            <w:vAlign w:val="center"/>
          </w:tcPr>
          <w:p w14:paraId="25A005C0" w14:textId="77777777" w:rsidR="006118CD" w:rsidRPr="009A6A2D" w:rsidRDefault="006118CD" w:rsidP="00476D66">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sidRPr="009A6A2D">
              <w:rPr>
                <w:rFonts w:ascii="BookAntiqua" w:hAnsi="BookAntiqua" w:cs="BookAntiqua"/>
                <w:sz w:val="20"/>
                <w:szCs w:val="20"/>
              </w:rPr>
              <w:t>-</w:t>
            </w:r>
            <w:r>
              <w:rPr>
                <w:rFonts w:ascii="BookAntiqua" w:hAnsi="BookAntiqua" w:cs="BookAntiqua"/>
                <w:sz w:val="20"/>
                <w:szCs w:val="20"/>
              </w:rPr>
              <w:t>0</w:t>
            </w:r>
            <w:r w:rsidRPr="009A6A2D">
              <w:rPr>
                <w:rFonts w:ascii="BookAntiqua" w:hAnsi="BookAntiqua" w:cs="BookAntiqua"/>
                <w:sz w:val="20"/>
                <w:szCs w:val="20"/>
              </w:rPr>
              <w:t>.013</w:t>
            </w:r>
          </w:p>
        </w:tc>
        <w:tc>
          <w:tcPr>
            <w:tcW w:w="3330" w:type="dxa"/>
          </w:tcPr>
          <w:p w14:paraId="07095A44" w14:textId="77777777" w:rsidR="006118CD" w:rsidRDefault="006118CD" w:rsidP="00476D66">
            <w:pPr>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0.987</w:t>
            </w:r>
          </w:p>
        </w:tc>
      </w:tr>
      <w:tr w:rsidR="005D336C" w14:paraId="666032AD" w14:textId="77777777" w:rsidTr="516AA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6A0F2B03" w14:textId="77777777" w:rsidR="006118CD" w:rsidRDefault="006118CD" w:rsidP="00476D66">
            <w:pPr>
              <w:jc w:val="both"/>
              <w:rPr>
                <w:rFonts w:ascii="BookAntiqua" w:hAnsi="BookAntiqua" w:cs="BookAntiqua"/>
                <w:sz w:val="20"/>
                <w:szCs w:val="20"/>
              </w:rPr>
            </w:pPr>
            <w:r>
              <w:rPr>
                <w:rFonts w:ascii="BookAntiqua" w:hAnsi="BookAntiqua" w:cs="BookAntiqua"/>
                <w:sz w:val="20"/>
                <w:szCs w:val="20"/>
              </w:rPr>
              <w:t>I don’t know</w:t>
            </w:r>
          </w:p>
        </w:tc>
        <w:tc>
          <w:tcPr>
            <w:tcW w:w="2700" w:type="dxa"/>
            <w:vAlign w:val="center"/>
          </w:tcPr>
          <w:p w14:paraId="62F20A20" w14:textId="77777777" w:rsidR="006118CD" w:rsidRPr="009A6A2D" w:rsidRDefault="006118CD" w:rsidP="00476D66">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0</w:t>
            </w:r>
            <w:r w:rsidRPr="009A6A2D">
              <w:rPr>
                <w:rFonts w:ascii="BookAntiqua" w:hAnsi="BookAntiqua" w:cs="BookAntiqua"/>
                <w:sz w:val="20"/>
                <w:szCs w:val="20"/>
              </w:rPr>
              <w:t>.358</w:t>
            </w:r>
          </w:p>
        </w:tc>
        <w:tc>
          <w:tcPr>
            <w:tcW w:w="3330" w:type="dxa"/>
          </w:tcPr>
          <w:p w14:paraId="7A7B4703" w14:textId="77777777" w:rsidR="006118CD" w:rsidRDefault="006118CD" w:rsidP="00476D66">
            <w:pPr>
              <w:jc w:val="center"/>
              <w:cnfStyle w:val="000000100000" w:firstRow="0" w:lastRow="0" w:firstColumn="0" w:lastColumn="0" w:oddVBand="0" w:evenVBand="0" w:oddHBand="1"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1.43</w:t>
            </w:r>
          </w:p>
        </w:tc>
      </w:tr>
      <w:tr w:rsidR="00EA47C2" w14:paraId="6174F0CF" w14:textId="77777777" w:rsidTr="516AAD3A">
        <w:tc>
          <w:tcPr>
            <w:cnfStyle w:val="001000000000" w:firstRow="0" w:lastRow="0" w:firstColumn="1" w:lastColumn="0" w:oddVBand="0" w:evenVBand="0" w:oddHBand="0" w:evenHBand="0" w:firstRowFirstColumn="0" w:firstRowLastColumn="0" w:lastRowFirstColumn="0" w:lastRowLastColumn="0"/>
            <w:tcW w:w="3330" w:type="dxa"/>
          </w:tcPr>
          <w:p w14:paraId="138508F7" w14:textId="5D1F3FBB" w:rsidR="006118CD" w:rsidRDefault="006118CD" w:rsidP="00476D66">
            <w:pPr>
              <w:jc w:val="both"/>
              <w:rPr>
                <w:rFonts w:ascii="BookAntiqua" w:hAnsi="BookAntiqua" w:cs="BookAntiqua"/>
                <w:sz w:val="20"/>
                <w:szCs w:val="20"/>
              </w:rPr>
            </w:pPr>
            <w:r>
              <w:rPr>
                <w:rFonts w:ascii="BookAntiqua" w:hAnsi="BookAntiqua" w:cs="BookAntiqua"/>
                <w:sz w:val="20"/>
                <w:szCs w:val="20"/>
              </w:rPr>
              <w:t>Not Agree (Ref)</w:t>
            </w:r>
          </w:p>
        </w:tc>
        <w:tc>
          <w:tcPr>
            <w:tcW w:w="2700" w:type="dxa"/>
          </w:tcPr>
          <w:p w14:paraId="71B5B7B4" w14:textId="77777777" w:rsidR="006118CD" w:rsidRDefault="006118CD" w:rsidP="00476D66">
            <w:pPr>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w:t>
            </w:r>
          </w:p>
        </w:tc>
        <w:tc>
          <w:tcPr>
            <w:tcW w:w="3330" w:type="dxa"/>
          </w:tcPr>
          <w:p w14:paraId="63557BA2" w14:textId="77777777" w:rsidR="006118CD" w:rsidRDefault="006118CD" w:rsidP="00476D66">
            <w:pPr>
              <w:jc w:val="center"/>
              <w:cnfStyle w:val="000000000000" w:firstRow="0" w:lastRow="0" w:firstColumn="0" w:lastColumn="0" w:oddVBand="0" w:evenVBand="0" w:oddHBand="0" w:evenHBand="0" w:firstRowFirstColumn="0" w:firstRowLastColumn="0" w:lastRowFirstColumn="0" w:lastRowLastColumn="0"/>
              <w:rPr>
                <w:rFonts w:ascii="BookAntiqua" w:hAnsi="BookAntiqua" w:cs="BookAntiqua"/>
                <w:sz w:val="20"/>
                <w:szCs w:val="20"/>
              </w:rPr>
            </w:pPr>
            <w:r>
              <w:rPr>
                <w:rFonts w:ascii="BookAntiqua" w:hAnsi="BookAntiqua" w:cs="BookAntiqua"/>
                <w:sz w:val="20"/>
                <w:szCs w:val="20"/>
              </w:rPr>
              <w:t>-</w:t>
            </w:r>
          </w:p>
        </w:tc>
      </w:tr>
      <w:tr w:rsidR="001D2299" w14:paraId="2C5D0BAE" w14:textId="77777777" w:rsidTr="516AA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Borders>
              <w:top w:val="single" w:sz="24" w:space="0" w:color="auto"/>
            </w:tcBorders>
          </w:tcPr>
          <w:p w14:paraId="5E4711CF" w14:textId="77777777" w:rsidR="006118CD" w:rsidRPr="00934066" w:rsidRDefault="006118CD" w:rsidP="00476D66">
            <w:pPr>
              <w:jc w:val="both"/>
              <w:rPr>
                <w:rFonts w:ascii="BookAntiqua" w:hAnsi="BookAntiqua" w:cs="BookAntiqua"/>
                <w:sz w:val="20"/>
                <w:szCs w:val="20"/>
                <w:vertAlign w:val="superscript"/>
              </w:rPr>
            </w:pPr>
            <w:r>
              <w:rPr>
                <w:rFonts w:ascii="BookAntiqua" w:hAnsi="BookAntiqua" w:cs="BookAntiqua"/>
                <w:sz w:val="20"/>
                <w:szCs w:val="20"/>
              </w:rPr>
              <w:t xml:space="preserve"> </w:t>
            </w:r>
            <w:r w:rsidRPr="00727107">
              <w:rPr>
                <w:rFonts w:ascii="BookAntiqua" w:hAnsi="BookAntiqua" w:cs="BookAntiqua"/>
                <w:sz w:val="20"/>
                <w:szCs w:val="20"/>
              </w:rPr>
              <w:t xml:space="preserve"> Psedudo R</w:t>
            </w:r>
            <w:r w:rsidRPr="00727107">
              <w:rPr>
                <w:rFonts w:ascii="BookAntiqua" w:hAnsi="BookAntiqua" w:cs="BookAntiqua"/>
                <w:sz w:val="20"/>
                <w:szCs w:val="20"/>
                <w:vertAlign w:val="superscript"/>
              </w:rPr>
              <w:t>2</w:t>
            </w:r>
            <w:r>
              <w:rPr>
                <w:rFonts w:ascii="BookAntiqua" w:hAnsi="BookAntiqua" w:cs="BookAntiqua"/>
                <w:sz w:val="20"/>
                <w:szCs w:val="20"/>
              </w:rPr>
              <w:t xml:space="preserve"> (</w:t>
            </w:r>
            <w:r w:rsidRPr="00407709">
              <w:rPr>
                <w:rFonts w:ascii="BookAntiqua" w:hAnsi="BookAntiqua" w:cs="BookAntiqua"/>
                <w:sz w:val="20"/>
                <w:szCs w:val="20"/>
              </w:rPr>
              <w:t>Nagelkerke</w:t>
            </w:r>
            <w:r>
              <w:rPr>
                <w:rFonts w:ascii="BookAntiqua" w:hAnsi="BookAntiqua" w:cs="BookAntiqua"/>
                <w:sz w:val="20"/>
                <w:szCs w:val="20"/>
              </w:rPr>
              <w:t>)</w:t>
            </w:r>
          </w:p>
        </w:tc>
        <w:tc>
          <w:tcPr>
            <w:tcW w:w="6030" w:type="dxa"/>
            <w:gridSpan w:val="2"/>
            <w:tcBorders>
              <w:top w:val="single" w:sz="24" w:space="0" w:color="auto"/>
            </w:tcBorders>
          </w:tcPr>
          <w:p w14:paraId="67831F84" w14:textId="77777777" w:rsidR="006118CD" w:rsidRDefault="006118CD" w:rsidP="00476D66">
            <w:pPr>
              <w:jc w:val="center"/>
              <w:cnfStyle w:val="000000100000" w:firstRow="0" w:lastRow="0" w:firstColumn="0" w:lastColumn="0" w:oddVBand="0" w:evenVBand="0" w:oddHBand="1" w:evenHBand="0" w:firstRowFirstColumn="0" w:firstRowLastColumn="0" w:lastRowFirstColumn="0" w:lastRowLastColumn="0"/>
            </w:pPr>
            <w:r>
              <w:rPr>
                <w:rFonts w:ascii="BookAntiqua" w:hAnsi="BookAntiqua" w:cs="BookAntiqua"/>
                <w:sz w:val="20"/>
                <w:szCs w:val="20"/>
              </w:rPr>
              <w:t>0.154</w:t>
            </w:r>
          </w:p>
        </w:tc>
      </w:tr>
    </w:tbl>
    <w:p w14:paraId="61C878CD" w14:textId="77777777" w:rsidR="00EF48AB" w:rsidRPr="004F060E" w:rsidRDefault="00EF48AB" w:rsidP="00EF48AB">
      <w:pPr>
        <w:autoSpaceDE w:val="0"/>
        <w:autoSpaceDN w:val="0"/>
        <w:adjustRightInd w:val="0"/>
        <w:spacing w:after="0" w:line="240" w:lineRule="auto"/>
        <w:rPr>
          <w:rFonts w:cstheme="majorBidi"/>
          <w:color w:val="000000"/>
          <w:sz w:val="18"/>
          <w:szCs w:val="18"/>
        </w:rPr>
      </w:pPr>
      <w:r w:rsidRPr="004F060E">
        <w:rPr>
          <w:rFonts w:cstheme="majorBidi"/>
          <w:i/>
          <w:iCs/>
          <w:sz w:val="20"/>
          <w:szCs w:val="20"/>
        </w:rPr>
        <w:t>Source</w:t>
      </w:r>
      <w:r w:rsidRPr="004F060E">
        <w:rPr>
          <w:rFonts w:cstheme="majorBidi"/>
          <w:sz w:val="20"/>
          <w:szCs w:val="20"/>
        </w:rPr>
        <w:t xml:space="preserve">: own study, </w:t>
      </w:r>
      <w:r w:rsidRPr="004F060E">
        <w:rPr>
          <w:rFonts w:cstheme="majorBidi"/>
          <w:color w:val="000000"/>
          <w:sz w:val="18"/>
          <w:szCs w:val="18"/>
          <w:vertAlign w:val="superscript"/>
        </w:rPr>
        <w:t xml:space="preserve">* </w:t>
      </w:r>
      <w:r w:rsidRPr="004F060E">
        <w:rPr>
          <w:rFonts w:cstheme="majorBidi"/>
          <w:color w:val="000000"/>
          <w:sz w:val="18"/>
          <w:szCs w:val="18"/>
        </w:rPr>
        <w:t xml:space="preserve">significant at 0.1; </w:t>
      </w:r>
      <w:r w:rsidRPr="004F060E">
        <w:rPr>
          <w:rFonts w:cstheme="majorBidi"/>
          <w:color w:val="000000"/>
          <w:sz w:val="18"/>
          <w:szCs w:val="18"/>
          <w:vertAlign w:val="superscript"/>
        </w:rPr>
        <w:t xml:space="preserve">** </w:t>
      </w:r>
      <w:r w:rsidRPr="004F060E">
        <w:rPr>
          <w:rFonts w:cstheme="majorBidi"/>
          <w:color w:val="000000"/>
          <w:sz w:val="18"/>
          <w:szCs w:val="18"/>
        </w:rPr>
        <w:t>significant at 0.05;</w:t>
      </w:r>
      <w:r w:rsidRPr="004F060E">
        <w:rPr>
          <w:rFonts w:cstheme="majorBidi"/>
          <w:color w:val="000000"/>
          <w:sz w:val="18"/>
          <w:szCs w:val="18"/>
          <w:vertAlign w:val="superscript"/>
        </w:rPr>
        <w:t xml:space="preserve"> *** </w:t>
      </w:r>
      <w:r w:rsidRPr="004F060E">
        <w:rPr>
          <w:rFonts w:cstheme="majorBidi"/>
          <w:color w:val="000000"/>
          <w:sz w:val="18"/>
          <w:szCs w:val="18"/>
        </w:rPr>
        <w:t>significant at 0.01</w:t>
      </w:r>
    </w:p>
    <w:p w14:paraId="62CF4C2D" w14:textId="77777777" w:rsidR="00EF48AB" w:rsidRPr="004F060E" w:rsidRDefault="00EF48AB" w:rsidP="00EF48AB">
      <w:pPr>
        <w:autoSpaceDE w:val="0"/>
        <w:autoSpaceDN w:val="0"/>
        <w:adjustRightInd w:val="0"/>
        <w:spacing w:after="0" w:line="240" w:lineRule="auto"/>
        <w:rPr>
          <w:rFonts w:cstheme="majorBidi"/>
          <w:sz w:val="20"/>
          <w:szCs w:val="20"/>
          <w:rtl/>
          <w:lang w:bidi="ar-EG"/>
        </w:rPr>
      </w:pPr>
      <w:r w:rsidRPr="004F060E">
        <w:rPr>
          <w:rFonts w:cstheme="majorBidi"/>
          <w:color w:val="000000"/>
          <w:sz w:val="18"/>
          <w:szCs w:val="18"/>
        </w:rPr>
        <w:t xml:space="preserve">-2loglikelihood= </w:t>
      </w:r>
      <w:r>
        <w:rPr>
          <w:rFonts w:cstheme="majorBidi"/>
          <w:color w:val="000000"/>
          <w:sz w:val="18"/>
          <w:szCs w:val="18"/>
        </w:rPr>
        <w:t>515.612</w:t>
      </w:r>
      <w:r w:rsidRPr="004F060E">
        <w:rPr>
          <w:rFonts w:cstheme="majorBidi"/>
          <w:color w:val="000000"/>
          <w:sz w:val="18"/>
          <w:szCs w:val="18"/>
        </w:rPr>
        <w:t>,</w:t>
      </w:r>
      <m:oMath>
        <m:r>
          <w:rPr>
            <w:rFonts w:ascii="Cambria Math" w:hAnsi="Cambria Math" w:cstheme="majorBidi"/>
            <w:color w:val="000000"/>
            <w:sz w:val="18"/>
            <w:szCs w:val="18"/>
          </w:rPr>
          <m:t xml:space="preserve"> </m:t>
        </m:r>
        <m:sSub>
          <m:sSubPr>
            <m:ctrlPr>
              <w:rPr>
                <w:rFonts w:ascii="Cambria Math" w:hAnsi="Cambria Math" w:cstheme="majorBidi"/>
                <w:i/>
                <w:color w:val="000000"/>
                <w:sz w:val="18"/>
                <w:szCs w:val="18"/>
              </w:rPr>
            </m:ctrlPr>
          </m:sSubPr>
          <m:e>
            <m:r>
              <m:rPr>
                <m:sty m:val="p"/>
              </m:rPr>
              <w:rPr>
                <w:rFonts w:ascii="Cambria Math" w:hAnsi="Cambria Math" w:cs="Segoe UI Semilight"/>
                <w:color w:val="262626"/>
                <w:sz w:val="21"/>
                <w:szCs w:val="21"/>
              </w:rPr>
              <m:t>χ²</m:t>
            </m:r>
          </m:e>
          <m:sub>
            <m:r>
              <w:rPr>
                <w:rFonts w:ascii="Cambria Math" w:hAnsi="Cambria Math" w:cstheme="majorBidi"/>
                <w:color w:val="000000"/>
                <w:sz w:val="18"/>
                <w:szCs w:val="18"/>
              </w:rPr>
              <m:t>(19)</m:t>
            </m:r>
          </m:sub>
        </m:sSub>
        <m:r>
          <w:rPr>
            <w:rFonts w:ascii="Cambria Math" w:hAnsi="Cambria Math" w:cstheme="majorBidi"/>
            <w:color w:val="000000"/>
            <w:sz w:val="18"/>
            <w:szCs w:val="18"/>
          </w:rPr>
          <m:t>=</m:t>
        </m:r>
      </m:oMath>
      <w:r>
        <w:rPr>
          <w:rFonts w:eastAsiaTheme="minorEastAsia" w:cstheme="majorBidi"/>
          <w:color w:val="000000"/>
          <w:sz w:val="18"/>
          <w:szCs w:val="18"/>
        </w:rPr>
        <w:t>47</w:t>
      </w:r>
      <w:r w:rsidRPr="004F060E">
        <w:rPr>
          <w:rFonts w:eastAsiaTheme="minorEastAsia" w:cstheme="majorBidi"/>
          <w:color w:val="000000"/>
          <w:sz w:val="18"/>
          <w:szCs w:val="18"/>
        </w:rPr>
        <w:t>.</w:t>
      </w:r>
      <w:r>
        <w:rPr>
          <w:rFonts w:eastAsiaTheme="minorEastAsia" w:cstheme="majorBidi"/>
          <w:color w:val="000000"/>
          <w:sz w:val="18"/>
          <w:szCs w:val="18"/>
        </w:rPr>
        <w:t>312</w:t>
      </w:r>
      <w:r w:rsidRPr="004F060E">
        <w:rPr>
          <w:rFonts w:eastAsiaTheme="minorEastAsia" w:cstheme="majorBidi"/>
          <w:color w:val="000000"/>
          <w:sz w:val="18"/>
          <w:szCs w:val="18"/>
        </w:rPr>
        <w:t>, p-value= 0.00</w:t>
      </w:r>
      <w:r>
        <w:rPr>
          <w:rFonts w:eastAsiaTheme="minorEastAsia" w:cstheme="majorBidi"/>
          <w:color w:val="000000"/>
          <w:sz w:val="18"/>
          <w:szCs w:val="18"/>
        </w:rPr>
        <w:t>0</w:t>
      </w:r>
    </w:p>
    <w:p w14:paraId="6E136C11" w14:textId="77777777" w:rsidR="00212F71" w:rsidRPr="00212F71" w:rsidRDefault="00212F71" w:rsidP="00423112">
      <w:pPr>
        <w:spacing w:line="276" w:lineRule="auto"/>
        <w:jc w:val="both"/>
        <w:rPr>
          <w:rFonts w:cstheme="majorBidi"/>
          <w:sz w:val="12"/>
          <w:szCs w:val="12"/>
        </w:rPr>
      </w:pPr>
    </w:p>
    <w:p w14:paraId="0CE8A2FA" w14:textId="24230214" w:rsidR="00EF48AB" w:rsidRPr="00212F71" w:rsidRDefault="001956EF" w:rsidP="00423112">
      <w:pPr>
        <w:spacing w:line="276" w:lineRule="auto"/>
        <w:jc w:val="both"/>
        <w:rPr>
          <w:rFonts w:cstheme="majorBidi"/>
        </w:rPr>
      </w:pPr>
      <w:r w:rsidRPr="00212F71">
        <w:rPr>
          <w:rFonts w:cstheme="majorBidi"/>
        </w:rPr>
        <w:t>Primarily, t</w:t>
      </w:r>
      <w:r w:rsidR="00EF48AB" w:rsidRPr="00212F71">
        <w:rPr>
          <w:rFonts w:cstheme="majorBidi"/>
        </w:rPr>
        <w:t>he two intercept</w:t>
      </w:r>
      <w:r w:rsidR="006C3D87" w:rsidRPr="00212F71">
        <w:rPr>
          <w:rFonts w:cstheme="majorBidi"/>
        </w:rPr>
        <w:t>s</w:t>
      </w:r>
      <w:r w:rsidR="00EF48AB" w:rsidRPr="00212F71">
        <w:rPr>
          <w:rFonts w:cstheme="majorBidi"/>
        </w:rPr>
        <w:t xml:space="preserve"> are used to differentiate the category of price index for comparison. These are also called the cut points of comparison -0.534 is used for comparison of lowest to Moderate and highest, 1.121 is used to compare category lowest, moderate to highest.</w:t>
      </w:r>
      <w:r w:rsidRPr="00212F71">
        <w:rPr>
          <w:rFonts w:cstheme="majorBidi"/>
        </w:rPr>
        <w:t xml:space="preserve"> </w:t>
      </w:r>
    </w:p>
    <w:p w14:paraId="7D45250D" w14:textId="011C31DF" w:rsidR="008A6B7F" w:rsidRPr="00212F71" w:rsidRDefault="008A6B7F" w:rsidP="00423112">
      <w:pPr>
        <w:autoSpaceDE w:val="0"/>
        <w:autoSpaceDN w:val="0"/>
        <w:adjustRightInd w:val="0"/>
        <w:spacing w:before="120" w:after="0" w:line="276" w:lineRule="auto"/>
        <w:jc w:val="both"/>
        <w:rPr>
          <w:rFonts w:cstheme="majorBidi"/>
        </w:rPr>
      </w:pPr>
      <w:r w:rsidRPr="00212F71">
        <w:rPr>
          <w:rFonts w:cstheme="majorBidi"/>
          <w:i/>
          <w:iCs/>
        </w:rPr>
        <w:t>Cost of Land, Construction and Licensing</w:t>
      </w:r>
      <w:r w:rsidRPr="00212F71">
        <w:rPr>
          <w:rFonts w:cstheme="majorBidi"/>
        </w:rPr>
        <w:t xml:space="preserve">. </w:t>
      </w:r>
      <w:r w:rsidR="00321585" w:rsidRPr="00212F71">
        <w:rPr>
          <w:rFonts w:cstheme="majorBidi"/>
        </w:rPr>
        <w:t xml:space="preserve">Regarding the </w:t>
      </w:r>
      <w:r w:rsidR="001436B9" w:rsidRPr="00212F71">
        <w:rPr>
          <w:rFonts w:cstheme="majorBidi"/>
        </w:rPr>
        <w:t>Developers and Brokers model</w:t>
      </w:r>
      <w:r w:rsidR="00EF48AB" w:rsidRPr="00212F71">
        <w:rPr>
          <w:rFonts w:cstheme="majorBidi"/>
        </w:rPr>
        <w:t>, the</w:t>
      </w:r>
      <w:r w:rsidR="00920810" w:rsidRPr="00212F71">
        <w:rPr>
          <w:rFonts w:cstheme="majorBidi"/>
        </w:rPr>
        <w:t xml:space="preserve"> small exponential ß</w:t>
      </w:r>
      <w:r w:rsidR="00303436" w:rsidRPr="00212F71">
        <w:rPr>
          <w:rFonts w:cstheme="majorBidi"/>
        </w:rPr>
        <w:t xml:space="preserve"> of the</w:t>
      </w:r>
      <w:r w:rsidR="00EF48AB" w:rsidRPr="00212F71">
        <w:rPr>
          <w:rFonts w:cstheme="majorBidi"/>
        </w:rPr>
        <w:t xml:space="preserve"> </w:t>
      </w:r>
      <w:r w:rsidR="00303436" w:rsidRPr="00212F71">
        <w:rPr>
          <w:rFonts w:cstheme="majorBidi"/>
        </w:rPr>
        <w:t>Cost of land, Construction and Licenses (0.273</w:t>
      </w:r>
      <w:r w:rsidR="003F35D5" w:rsidRPr="00212F71">
        <w:rPr>
          <w:rFonts w:cstheme="majorBidi"/>
        </w:rPr>
        <w:t>) indicate</w:t>
      </w:r>
      <w:r w:rsidR="00303436" w:rsidRPr="00212F71">
        <w:rPr>
          <w:rFonts w:cstheme="majorBidi"/>
        </w:rPr>
        <w:t xml:space="preserve"> th</w:t>
      </w:r>
      <w:r w:rsidR="00C62424" w:rsidRPr="00212F71">
        <w:rPr>
          <w:rFonts w:cstheme="majorBidi"/>
        </w:rPr>
        <w:t>at this variable is significantly perceived as important</w:t>
      </w:r>
      <w:r w:rsidR="003F35D5" w:rsidRPr="00212F71">
        <w:rPr>
          <w:rFonts w:cstheme="majorBidi"/>
        </w:rPr>
        <w:t>. This means that the odds ratio for being not important is less likely to be in the highest quintile compared with the reference category ‘important’.</w:t>
      </w:r>
      <w:r w:rsidR="00240E83" w:rsidRPr="00212F71">
        <w:rPr>
          <w:rFonts w:cstheme="majorBidi"/>
        </w:rPr>
        <w:t xml:space="preserve"> </w:t>
      </w:r>
      <w:r w:rsidR="00D85223" w:rsidRPr="00212F71">
        <w:rPr>
          <w:rFonts w:cstheme="majorBidi"/>
        </w:rPr>
        <w:t>Cost of land</w:t>
      </w:r>
      <w:r w:rsidR="00EF48AB" w:rsidRPr="00212F71">
        <w:rPr>
          <w:rFonts w:cstheme="majorBidi"/>
        </w:rPr>
        <w:t xml:space="preserve"> </w:t>
      </w:r>
      <w:r w:rsidR="00FE043A" w:rsidRPr="00212F71">
        <w:rPr>
          <w:rFonts w:cstheme="majorBidi"/>
        </w:rPr>
        <w:t>‘</w:t>
      </w:r>
      <w:r w:rsidR="00EF48AB" w:rsidRPr="00212F71">
        <w:rPr>
          <w:rFonts w:cstheme="majorBidi"/>
        </w:rPr>
        <w:t>neutral</w:t>
      </w:r>
      <w:r w:rsidR="00FE043A" w:rsidRPr="00212F71">
        <w:rPr>
          <w:rFonts w:cstheme="majorBidi"/>
        </w:rPr>
        <w:t xml:space="preserve">’ </w:t>
      </w:r>
      <w:r w:rsidR="004630D1" w:rsidRPr="00212F71">
        <w:rPr>
          <w:rFonts w:cstheme="majorBidi"/>
        </w:rPr>
        <w:t>is</w:t>
      </w:r>
      <w:r w:rsidR="00EF48AB" w:rsidRPr="00212F71">
        <w:rPr>
          <w:rFonts w:cstheme="majorBidi"/>
        </w:rPr>
        <w:t xml:space="preserve"> 0.771 time less odd of being in the highest category of price index quantile compared to land cost being </w:t>
      </w:r>
      <w:r w:rsidR="004630D1" w:rsidRPr="00212F71">
        <w:rPr>
          <w:rFonts w:cstheme="majorBidi"/>
        </w:rPr>
        <w:t>‘</w:t>
      </w:r>
      <w:r w:rsidR="00EF48AB" w:rsidRPr="00212F71">
        <w:rPr>
          <w:rFonts w:cstheme="majorBidi"/>
        </w:rPr>
        <w:t>important</w:t>
      </w:r>
      <w:r w:rsidR="004630D1" w:rsidRPr="00212F71">
        <w:rPr>
          <w:rFonts w:cstheme="majorBidi"/>
        </w:rPr>
        <w:t>’</w:t>
      </w:r>
      <w:r w:rsidR="00EF48AB" w:rsidRPr="00212F71">
        <w:rPr>
          <w:rFonts w:cstheme="majorBidi"/>
        </w:rPr>
        <w:t xml:space="preserve">. </w:t>
      </w:r>
      <w:r w:rsidR="00D85223" w:rsidRPr="00212F71">
        <w:rPr>
          <w:rFonts w:cstheme="majorBidi"/>
        </w:rPr>
        <w:t>This result is reinforced by the results of t</w:t>
      </w:r>
      <w:r w:rsidR="00BF62EB" w:rsidRPr="00212F71">
        <w:rPr>
          <w:rFonts w:cstheme="majorBidi"/>
        </w:rPr>
        <w:t>he Household model (table 20)</w:t>
      </w:r>
      <w:r w:rsidR="00F728AF" w:rsidRPr="00212F71">
        <w:rPr>
          <w:rFonts w:cstheme="majorBidi"/>
        </w:rPr>
        <w:t>. T</w:t>
      </w:r>
      <w:r w:rsidR="00EF48AB" w:rsidRPr="00212F71">
        <w:rPr>
          <w:rFonts w:cstheme="majorBidi"/>
        </w:rPr>
        <w:t>he odds</w:t>
      </w:r>
      <w:r w:rsidR="00F728AF" w:rsidRPr="00212F71">
        <w:rPr>
          <w:rFonts w:cstheme="majorBidi"/>
        </w:rPr>
        <w:t xml:space="preserve"> ratio</w:t>
      </w:r>
      <w:r w:rsidR="00EF48AB" w:rsidRPr="00212F71">
        <w:rPr>
          <w:rFonts w:cstheme="majorBidi"/>
        </w:rPr>
        <w:t xml:space="preserve"> for </w:t>
      </w:r>
      <w:r w:rsidR="00BF62EB" w:rsidRPr="00212F71">
        <w:rPr>
          <w:rFonts w:cstheme="majorBidi"/>
        </w:rPr>
        <w:t>C</w:t>
      </w:r>
      <w:r w:rsidR="00EF48AB" w:rsidRPr="00212F71">
        <w:rPr>
          <w:rFonts w:cstheme="majorBidi"/>
        </w:rPr>
        <w:t xml:space="preserve">ost of land, </w:t>
      </w:r>
      <w:r w:rsidR="009C5775" w:rsidRPr="00212F71">
        <w:rPr>
          <w:rFonts w:cstheme="majorBidi"/>
        </w:rPr>
        <w:t>C</w:t>
      </w:r>
      <w:r w:rsidR="00EF48AB" w:rsidRPr="00212F71">
        <w:rPr>
          <w:rFonts w:cstheme="majorBidi"/>
        </w:rPr>
        <w:t>onstructions and licenses for being not effective is 0.195 time less likely to be in the highest category of price index quintile as compared to cost of land is effective.</w:t>
      </w:r>
      <w:r w:rsidR="00A156C0" w:rsidRPr="00212F71">
        <w:rPr>
          <w:rFonts w:cstheme="majorBidi"/>
        </w:rPr>
        <w:t xml:space="preserve"> </w:t>
      </w:r>
    </w:p>
    <w:p w14:paraId="0BAD2E76" w14:textId="7066CEB8" w:rsidR="002F06D4" w:rsidRDefault="49FED644" w:rsidP="002F06D4">
      <w:pPr>
        <w:autoSpaceDE w:val="0"/>
        <w:autoSpaceDN w:val="0"/>
        <w:adjustRightInd w:val="0"/>
        <w:spacing w:before="120" w:after="0" w:line="276" w:lineRule="auto"/>
        <w:jc w:val="both"/>
        <w:rPr>
          <w:rFonts w:cstheme="majorBidi"/>
        </w:rPr>
      </w:pPr>
      <w:r w:rsidRPr="00212F71">
        <w:rPr>
          <w:rFonts w:cstheme="majorBidi"/>
          <w:i/>
          <w:iCs/>
        </w:rPr>
        <w:t>Government</w:t>
      </w:r>
      <w:r w:rsidR="008A6B7F" w:rsidRPr="00212F71">
        <w:rPr>
          <w:rFonts w:cstheme="majorBidi"/>
          <w:i/>
          <w:iCs/>
        </w:rPr>
        <w:t xml:space="preserve"> </w:t>
      </w:r>
      <w:r w:rsidR="00EF48AB" w:rsidRPr="00212F71">
        <w:rPr>
          <w:rFonts w:cstheme="majorBidi"/>
          <w:i/>
          <w:iCs/>
        </w:rPr>
        <w:t>housing policies</w:t>
      </w:r>
      <w:r w:rsidR="00EF48AB" w:rsidRPr="00212F71">
        <w:rPr>
          <w:rFonts w:cstheme="majorBidi"/>
        </w:rPr>
        <w:t xml:space="preserve"> </w:t>
      </w:r>
      <w:r w:rsidR="75CD5B29" w:rsidRPr="00212F71">
        <w:rPr>
          <w:rFonts w:cstheme="majorBidi"/>
        </w:rPr>
        <w:t>are</w:t>
      </w:r>
      <w:r w:rsidR="00EF48AB" w:rsidRPr="00212F71">
        <w:rPr>
          <w:rFonts w:cstheme="majorBidi"/>
        </w:rPr>
        <w:t xml:space="preserve"> considered through two variables </w:t>
      </w:r>
      <w:r w:rsidR="371D11DC" w:rsidRPr="00212F71">
        <w:rPr>
          <w:rFonts w:cstheme="majorBidi"/>
        </w:rPr>
        <w:t xml:space="preserve">1) </w:t>
      </w:r>
      <w:r w:rsidR="00EF48AB" w:rsidRPr="00212F71">
        <w:rPr>
          <w:rFonts w:cstheme="majorBidi"/>
          <w:i/>
          <w:iCs/>
        </w:rPr>
        <w:t xml:space="preserve">state projects and new cities </w:t>
      </w:r>
      <w:r w:rsidR="25F607AE" w:rsidRPr="00212F71">
        <w:rPr>
          <w:rFonts w:cstheme="majorBidi"/>
          <w:i/>
          <w:iCs/>
        </w:rPr>
        <w:t>2)</w:t>
      </w:r>
      <w:r w:rsidR="00EF48AB" w:rsidRPr="00212F71">
        <w:rPr>
          <w:rFonts w:cstheme="majorBidi"/>
          <w:i/>
          <w:iCs/>
        </w:rPr>
        <w:t xml:space="preserve"> s</w:t>
      </w:r>
      <w:r w:rsidR="2C90E4F3" w:rsidRPr="00212F71">
        <w:rPr>
          <w:rFonts w:cstheme="majorBidi"/>
          <w:i/>
          <w:iCs/>
        </w:rPr>
        <w:t>uspending</w:t>
      </w:r>
      <w:r w:rsidR="00EF48AB" w:rsidRPr="00212F71">
        <w:rPr>
          <w:rFonts w:cstheme="majorBidi"/>
          <w:i/>
          <w:iCs/>
        </w:rPr>
        <w:t xml:space="preserve"> housing permits</w:t>
      </w:r>
      <w:r w:rsidR="00EF48AB" w:rsidRPr="00212F71">
        <w:rPr>
          <w:rFonts w:cstheme="majorBidi"/>
        </w:rPr>
        <w:t xml:space="preserve">. The </w:t>
      </w:r>
      <w:r w:rsidR="20B0A21A" w:rsidRPr="00212F71">
        <w:rPr>
          <w:rFonts w:cstheme="majorBidi"/>
        </w:rPr>
        <w:t>results show</w:t>
      </w:r>
      <w:r w:rsidR="00EF48AB" w:rsidRPr="00212F71">
        <w:rPr>
          <w:rFonts w:cstheme="majorBidi"/>
        </w:rPr>
        <w:t xml:space="preserve"> that </w:t>
      </w:r>
      <w:r w:rsidR="00EF48AB" w:rsidRPr="00212F71">
        <w:rPr>
          <w:rFonts w:cstheme="majorBidi"/>
          <w:i/>
          <w:iCs/>
        </w:rPr>
        <w:t>state projects and new cities</w:t>
      </w:r>
      <w:r w:rsidR="00EF48AB" w:rsidRPr="00212F71">
        <w:rPr>
          <w:rFonts w:cstheme="majorBidi"/>
        </w:rPr>
        <w:t xml:space="preserve"> </w:t>
      </w:r>
      <w:r w:rsidR="248DF26A" w:rsidRPr="00212F71">
        <w:rPr>
          <w:rFonts w:cstheme="majorBidi"/>
        </w:rPr>
        <w:t>don’t</w:t>
      </w:r>
      <w:r w:rsidR="00EF48AB" w:rsidRPr="00212F71">
        <w:rPr>
          <w:rFonts w:cstheme="majorBidi"/>
        </w:rPr>
        <w:t xml:space="preserve"> have a significant effect on </w:t>
      </w:r>
      <w:r w:rsidR="00D55DE5" w:rsidRPr="00212F71">
        <w:rPr>
          <w:rFonts w:cstheme="majorBidi"/>
        </w:rPr>
        <w:t xml:space="preserve">housing </w:t>
      </w:r>
      <w:r w:rsidR="00EF48AB" w:rsidRPr="00212F71">
        <w:rPr>
          <w:rFonts w:cstheme="majorBidi"/>
        </w:rPr>
        <w:t>prices</w:t>
      </w:r>
      <w:r w:rsidR="00D55DE5" w:rsidRPr="00212F71">
        <w:rPr>
          <w:rFonts w:cstheme="majorBidi"/>
        </w:rPr>
        <w:t xml:space="preserve">, whereas </w:t>
      </w:r>
      <w:r w:rsidR="0BF6CD36" w:rsidRPr="00212F71">
        <w:rPr>
          <w:rFonts w:cstheme="majorBidi"/>
          <w:i/>
          <w:iCs/>
        </w:rPr>
        <w:t>suspending of housing</w:t>
      </w:r>
      <w:r w:rsidR="00EF48AB" w:rsidRPr="00212F71">
        <w:rPr>
          <w:rFonts w:cstheme="majorBidi"/>
          <w:i/>
          <w:iCs/>
        </w:rPr>
        <w:t xml:space="preserve"> permits policies</w:t>
      </w:r>
      <w:r w:rsidR="00EF48AB" w:rsidRPr="00212F71">
        <w:rPr>
          <w:rFonts w:cstheme="majorBidi"/>
        </w:rPr>
        <w:t xml:space="preserve"> ha</w:t>
      </w:r>
      <w:r w:rsidR="00D55DE5" w:rsidRPr="00212F71">
        <w:rPr>
          <w:rFonts w:cstheme="majorBidi"/>
        </w:rPr>
        <w:t>d</w:t>
      </w:r>
      <w:r w:rsidR="00EF48AB" w:rsidRPr="00212F71">
        <w:rPr>
          <w:rFonts w:cstheme="majorBidi"/>
        </w:rPr>
        <w:t xml:space="preserve"> a significant effect on </w:t>
      </w:r>
      <w:r w:rsidR="3706DED7" w:rsidRPr="00212F71">
        <w:rPr>
          <w:rFonts w:cstheme="majorBidi"/>
        </w:rPr>
        <w:t xml:space="preserve">the </w:t>
      </w:r>
      <w:r w:rsidR="00D55DE5" w:rsidRPr="00212F71">
        <w:rPr>
          <w:rFonts w:cstheme="majorBidi"/>
        </w:rPr>
        <w:t xml:space="preserve">housing </w:t>
      </w:r>
      <w:r w:rsidR="00EF48AB" w:rsidRPr="00212F71">
        <w:rPr>
          <w:rFonts w:cstheme="majorBidi"/>
        </w:rPr>
        <w:t xml:space="preserve">price index. Parameter estimate for </w:t>
      </w:r>
      <w:r w:rsidR="625BE767" w:rsidRPr="00212F71">
        <w:rPr>
          <w:rFonts w:cstheme="majorBidi"/>
        </w:rPr>
        <w:t>s</w:t>
      </w:r>
      <w:r w:rsidR="67E643EA" w:rsidRPr="00212F71">
        <w:rPr>
          <w:rFonts w:cstheme="majorBidi"/>
        </w:rPr>
        <w:t>uspending</w:t>
      </w:r>
      <w:r w:rsidR="00EF48AB" w:rsidRPr="00212F71">
        <w:rPr>
          <w:rFonts w:cstheme="majorBidi"/>
        </w:rPr>
        <w:t xml:space="preserve"> housing permits policies having positive effect </w:t>
      </w:r>
      <w:r w:rsidR="7938E9D9" w:rsidRPr="00212F71">
        <w:rPr>
          <w:rFonts w:cstheme="majorBidi"/>
        </w:rPr>
        <w:t>of</w:t>
      </w:r>
      <w:r w:rsidR="00EF48AB" w:rsidRPr="00212F71">
        <w:rPr>
          <w:rFonts w:cstheme="majorBidi"/>
        </w:rPr>
        <w:t xml:space="preserve"> 1.925 time</w:t>
      </w:r>
      <w:r w:rsidR="6DCA68A0" w:rsidRPr="00212F71">
        <w:rPr>
          <w:rFonts w:cstheme="majorBidi"/>
        </w:rPr>
        <w:t>s</w:t>
      </w:r>
      <w:r w:rsidR="00EF48AB" w:rsidRPr="00212F71">
        <w:rPr>
          <w:rFonts w:cstheme="majorBidi"/>
        </w:rPr>
        <w:t xml:space="preserve"> more odds of being in the highest category of price index as compared to negative effect.  </w:t>
      </w:r>
    </w:p>
    <w:p w14:paraId="63761FBA" w14:textId="7066CEB8" w:rsidR="002F06D4" w:rsidRPr="002F06D4" w:rsidRDefault="002F06D4" w:rsidP="002F06D4">
      <w:pPr>
        <w:autoSpaceDE w:val="0"/>
        <w:autoSpaceDN w:val="0"/>
        <w:adjustRightInd w:val="0"/>
        <w:spacing w:before="120" w:after="0" w:line="276" w:lineRule="auto"/>
        <w:jc w:val="both"/>
        <w:rPr>
          <w:rFonts w:cstheme="majorBidi"/>
          <w:sz w:val="2"/>
          <w:szCs w:val="2"/>
        </w:rPr>
      </w:pPr>
    </w:p>
    <w:p w14:paraId="1AF059FA" w14:textId="7066CEB8" w:rsidR="00EF48AB" w:rsidRPr="00212F71" w:rsidRDefault="1D87B2FD" w:rsidP="00423112">
      <w:pPr>
        <w:spacing w:line="276" w:lineRule="auto"/>
        <w:jc w:val="both"/>
        <w:rPr>
          <w:rFonts w:cstheme="majorBidi"/>
        </w:rPr>
      </w:pPr>
      <w:r w:rsidRPr="00212F71">
        <w:rPr>
          <w:rFonts w:cstheme="majorBidi"/>
          <w:i/>
          <w:iCs/>
        </w:rPr>
        <w:t>C</w:t>
      </w:r>
      <w:r w:rsidR="00EF48AB" w:rsidRPr="00212F71">
        <w:rPr>
          <w:rFonts w:cstheme="majorBidi"/>
          <w:i/>
          <w:iCs/>
        </w:rPr>
        <w:t>ultural &amp; Religious beliefs</w:t>
      </w:r>
      <w:r w:rsidR="005254AF" w:rsidRPr="00212F71">
        <w:rPr>
          <w:rFonts w:cstheme="majorBidi"/>
        </w:rPr>
        <w:t xml:space="preserve">. Results </w:t>
      </w:r>
      <w:r w:rsidR="00EF48AB" w:rsidRPr="00212F71">
        <w:rPr>
          <w:rFonts w:cstheme="majorBidi"/>
        </w:rPr>
        <w:t>of</w:t>
      </w:r>
      <w:r w:rsidR="005254AF" w:rsidRPr="00212F71">
        <w:rPr>
          <w:rFonts w:cstheme="majorBidi"/>
        </w:rPr>
        <w:t xml:space="preserve"> the</w:t>
      </w:r>
      <w:r w:rsidR="00EF48AB" w:rsidRPr="00212F71">
        <w:rPr>
          <w:rFonts w:cstheme="majorBidi"/>
        </w:rPr>
        <w:t xml:space="preserve"> </w:t>
      </w:r>
      <w:r w:rsidR="00E00239" w:rsidRPr="00212F71">
        <w:rPr>
          <w:rFonts w:cstheme="majorBidi"/>
        </w:rPr>
        <w:t>Developers and Brokers</w:t>
      </w:r>
      <w:r w:rsidR="00EF48AB" w:rsidRPr="00212F71">
        <w:rPr>
          <w:rFonts w:cstheme="majorBidi"/>
        </w:rPr>
        <w:t xml:space="preserve"> model</w:t>
      </w:r>
      <w:r w:rsidR="001C2D40" w:rsidRPr="00212F71">
        <w:rPr>
          <w:rFonts w:cstheme="majorBidi"/>
        </w:rPr>
        <w:t xml:space="preserve"> show that </w:t>
      </w:r>
      <w:r w:rsidR="00EF48AB" w:rsidRPr="00212F71">
        <w:rPr>
          <w:rFonts w:cstheme="majorBidi"/>
        </w:rPr>
        <w:t>the odds</w:t>
      </w:r>
      <w:r w:rsidR="00B646E0" w:rsidRPr="00212F71">
        <w:rPr>
          <w:rFonts w:cstheme="majorBidi"/>
        </w:rPr>
        <w:t xml:space="preserve"> ratio</w:t>
      </w:r>
      <w:r w:rsidR="00EF48AB" w:rsidRPr="00212F71">
        <w:rPr>
          <w:rFonts w:cstheme="majorBidi"/>
        </w:rPr>
        <w:t xml:space="preserve"> for </w:t>
      </w:r>
      <w:r w:rsidR="00B646E0" w:rsidRPr="00212F71">
        <w:rPr>
          <w:rFonts w:cstheme="majorBidi"/>
        </w:rPr>
        <w:t>A</w:t>
      </w:r>
      <w:r w:rsidR="00EF48AB" w:rsidRPr="00212F71">
        <w:rPr>
          <w:rFonts w:cstheme="majorBidi"/>
        </w:rPr>
        <w:t xml:space="preserve">dministrative and </w:t>
      </w:r>
      <w:r w:rsidR="00B646E0" w:rsidRPr="00212F71">
        <w:rPr>
          <w:rFonts w:cstheme="majorBidi"/>
        </w:rPr>
        <w:t>F</w:t>
      </w:r>
      <w:r w:rsidR="00EF48AB" w:rsidRPr="00212F71">
        <w:rPr>
          <w:rFonts w:cstheme="majorBidi"/>
        </w:rPr>
        <w:t xml:space="preserve">inancial </w:t>
      </w:r>
      <w:r w:rsidR="00B646E0" w:rsidRPr="00212F71">
        <w:rPr>
          <w:rFonts w:cstheme="majorBidi"/>
        </w:rPr>
        <w:t>R</w:t>
      </w:r>
      <w:r w:rsidR="00EF48AB" w:rsidRPr="00212F71">
        <w:rPr>
          <w:rFonts w:cstheme="majorBidi"/>
        </w:rPr>
        <w:t>easons are 1.423 time</w:t>
      </w:r>
      <w:r w:rsidR="00B646E0" w:rsidRPr="00212F71">
        <w:rPr>
          <w:rFonts w:cstheme="majorBidi"/>
        </w:rPr>
        <w:t>s</w:t>
      </w:r>
      <w:r w:rsidR="00EF48AB" w:rsidRPr="00212F71">
        <w:rPr>
          <w:rFonts w:cstheme="majorBidi"/>
        </w:rPr>
        <w:t xml:space="preserve"> more likely to be in the highest category of </w:t>
      </w:r>
      <w:r w:rsidR="001C2D40" w:rsidRPr="00212F71">
        <w:rPr>
          <w:rFonts w:cstheme="majorBidi"/>
        </w:rPr>
        <w:t xml:space="preserve">the </w:t>
      </w:r>
      <w:r w:rsidR="00EF48AB" w:rsidRPr="00212F71">
        <w:rPr>
          <w:rFonts w:cstheme="majorBidi"/>
        </w:rPr>
        <w:t xml:space="preserve">price index as </w:t>
      </w:r>
      <w:r w:rsidR="336E977B" w:rsidRPr="00212F71">
        <w:rPr>
          <w:rFonts w:cstheme="majorBidi"/>
        </w:rPr>
        <w:t>compared</w:t>
      </w:r>
      <w:r w:rsidR="00EF48AB" w:rsidRPr="00212F71">
        <w:rPr>
          <w:rFonts w:cstheme="majorBidi"/>
        </w:rPr>
        <w:t xml:space="preserve"> to </w:t>
      </w:r>
      <w:r w:rsidR="00B646E0" w:rsidRPr="00212F71">
        <w:rPr>
          <w:rFonts w:cstheme="majorBidi"/>
        </w:rPr>
        <w:t>C</w:t>
      </w:r>
      <w:r w:rsidR="00EF48AB" w:rsidRPr="00212F71">
        <w:rPr>
          <w:rFonts w:cstheme="majorBidi"/>
        </w:rPr>
        <w:t>ultural &amp; Religious reasons.</w:t>
      </w:r>
      <w:r w:rsidR="284B471D" w:rsidRPr="00212F71">
        <w:rPr>
          <w:rFonts w:cstheme="majorBidi"/>
        </w:rPr>
        <w:t xml:space="preserve"> Th</w:t>
      </w:r>
      <w:r w:rsidR="00E00239" w:rsidRPr="00212F71">
        <w:rPr>
          <w:rFonts w:cstheme="majorBidi"/>
        </w:rPr>
        <w:t xml:space="preserve">is implies </w:t>
      </w:r>
      <w:r w:rsidR="284B471D" w:rsidRPr="00212F71">
        <w:rPr>
          <w:rFonts w:cstheme="majorBidi"/>
        </w:rPr>
        <w:t xml:space="preserve">that the </w:t>
      </w:r>
      <w:r w:rsidR="3AA2A2DC" w:rsidRPr="00212F71">
        <w:rPr>
          <w:rFonts w:cstheme="majorBidi"/>
        </w:rPr>
        <w:t>Administrative</w:t>
      </w:r>
      <w:r w:rsidR="284B471D" w:rsidRPr="00212F71">
        <w:rPr>
          <w:rFonts w:cstheme="majorBidi"/>
        </w:rPr>
        <w:t xml:space="preserve"> and Financial Reasons are more significant in affecting the housing </w:t>
      </w:r>
      <w:r w:rsidR="0AA4628C" w:rsidRPr="00212F71">
        <w:rPr>
          <w:rFonts w:cstheme="majorBidi"/>
        </w:rPr>
        <w:t>prices</w:t>
      </w:r>
      <w:r w:rsidR="284B471D" w:rsidRPr="00212F71">
        <w:rPr>
          <w:rFonts w:cstheme="majorBidi"/>
        </w:rPr>
        <w:t xml:space="preserve"> as compared </w:t>
      </w:r>
      <w:r w:rsidR="2B642B24" w:rsidRPr="00212F71">
        <w:rPr>
          <w:rFonts w:cstheme="majorBidi"/>
        </w:rPr>
        <w:t>t</w:t>
      </w:r>
      <w:r w:rsidR="284B471D" w:rsidRPr="00212F71">
        <w:rPr>
          <w:rFonts w:cstheme="majorBidi"/>
        </w:rPr>
        <w:t xml:space="preserve">o </w:t>
      </w:r>
      <w:r w:rsidR="002E2782" w:rsidRPr="00212F71">
        <w:rPr>
          <w:rFonts w:cstheme="majorBidi"/>
        </w:rPr>
        <w:t>the reference ‘C</w:t>
      </w:r>
      <w:r w:rsidR="284B471D" w:rsidRPr="00212F71">
        <w:rPr>
          <w:rFonts w:cstheme="majorBidi"/>
        </w:rPr>
        <w:t xml:space="preserve">ultural and </w:t>
      </w:r>
      <w:r w:rsidR="002E2782" w:rsidRPr="00212F71">
        <w:rPr>
          <w:rFonts w:cstheme="majorBidi"/>
        </w:rPr>
        <w:t>R</w:t>
      </w:r>
      <w:r w:rsidR="10F8BDBF" w:rsidRPr="00212F71">
        <w:rPr>
          <w:rFonts w:cstheme="majorBidi"/>
        </w:rPr>
        <w:t>eligious</w:t>
      </w:r>
      <w:r w:rsidR="284B471D" w:rsidRPr="00212F71">
        <w:rPr>
          <w:rFonts w:cstheme="majorBidi"/>
        </w:rPr>
        <w:t xml:space="preserve"> </w:t>
      </w:r>
      <w:r w:rsidR="002E2782" w:rsidRPr="00212F71">
        <w:rPr>
          <w:rFonts w:cstheme="majorBidi"/>
        </w:rPr>
        <w:t>R</w:t>
      </w:r>
      <w:r w:rsidR="284B471D" w:rsidRPr="00212F71">
        <w:rPr>
          <w:rFonts w:cstheme="majorBidi"/>
        </w:rPr>
        <w:t>easons</w:t>
      </w:r>
      <w:r w:rsidR="002E2782" w:rsidRPr="00212F71">
        <w:rPr>
          <w:rFonts w:cstheme="majorBidi"/>
        </w:rPr>
        <w:t>’</w:t>
      </w:r>
      <w:r w:rsidR="284B471D" w:rsidRPr="00212F71">
        <w:rPr>
          <w:rFonts w:cstheme="majorBidi"/>
        </w:rPr>
        <w:t xml:space="preserve"> when to come</w:t>
      </w:r>
      <w:r w:rsidR="00E8410C" w:rsidRPr="00212F71">
        <w:rPr>
          <w:rFonts w:cstheme="majorBidi"/>
        </w:rPr>
        <w:t>s</w:t>
      </w:r>
      <w:r w:rsidR="284B471D" w:rsidRPr="00212F71">
        <w:rPr>
          <w:rFonts w:cstheme="majorBidi"/>
        </w:rPr>
        <w:t xml:space="preserve"> to access to finance.</w:t>
      </w:r>
    </w:p>
    <w:p w14:paraId="38295F39" w14:textId="18A54860" w:rsidR="00EF48AB" w:rsidRPr="00212F71" w:rsidRDefault="00496DCA" w:rsidP="00423112">
      <w:pPr>
        <w:spacing w:line="276" w:lineRule="auto"/>
        <w:jc w:val="both"/>
        <w:rPr>
          <w:rFonts w:cstheme="majorBidi"/>
        </w:rPr>
      </w:pPr>
      <w:r w:rsidRPr="00212F71">
        <w:rPr>
          <w:rFonts w:cstheme="majorBidi"/>
          <w:i/>
          <w:iCs/>
        </w:rPr>
        <w:t>Banking Preferences</w:t>
      </w:r>
      <w:r w:rsidRPr="00212F71">
        <w:rPr>
          <w:rFonts w:cstheme="majorBidi"/>
        </w:rPr>
        <w:t xml:space="preserve">. The Household model results revealed that </w:t>
      </w:r>
      <w:r w:rsidR="00EF48AB" w:rsidRPr="00212F71">
        <w:rPr>
          <w:rFonts w:cstheme="majorBidi"/>
        </w:rPr>
        <w:t xml:space="preserve">the odds </w:t>
      </w:r>
      <w:r w:rsidR="00447291" w:rsidRPr="00212F71">
        <w:rPr>
          <w:rFonts w:cstheme="majorBidi"/>
        </w:rPr>
        <w:t xml:space="preserve">ratio </w:t>
      </w:r>
      <w:r w:rsidR="002E2782" w:rsidRPr="00212F71">
        <w:rPr>
          <w:rFonts w:cstheme="majorBidi"/>
        </w:rPr>
        <w:t>for preferring</w:t>
      </w:r>
      <w:r w:rsidRPr="00212F71">
        <w:rPr>
          <w:rFonts w:cstheme="majorBidi"/>
        </w:rPr>
        <w:t xml:space="preserve"> C</w:t>
      </w:r>
      <w:r w:rsidR="00EF48AB" w:rsidRPr="00212F71">
        <w:rPr>
          <w:rFonts w:cstheme="majorBidi"/>
        </w:rPr>
        <w:t xml:space="preserve">ommercial </w:t>
      </w:r>
      <w:r w:rsidRPr="00212F71">
        <w:rPr>
          <w:rFonts w:cstheme="majorBidi"/>
        </w:rPr>
        <w:t>B</w:t>
      </w:r>
      <w:r w:rsidR="00EF48AB" w:rsidRPr="00212F71">
        <w:rPr>
          <w:rFonts w:cstheme="majorBidi"/>
        </w:rPr>
        <w:t>anks</w:t>
      </w:r>
      <w:r w:rsidRPr="00212F71">
        <w:rPr>
          <w:rFonts w:cstheme="majorBidi"/>
        </w:rPr>
        <w:t>’</w:t>
      </w:r>
      <w:r w:rsidR="00EF48AB" w:rsidRPr="00212F71">
        <w:rPr>
          <w:rFonts w:cstheme="majorBidi"/>
        </w:rPr>
        <w:t xml:space="preserve"> is 2.64 time</w:t>
      </w:r>
      <w:r w:rsidR="00603E17" w:rsidRPr="00212F71">
        <w:rPr>
          <w:rFonts w:cstheme="majorBidi"/>
        </w:rPr>
        <w:t>s</w:t>
      </w:r>
      <w:r w:rsidR="00EF48AB" w:rsidRPr="00212F71">
        <w:rPr>
          <w:rFonts w:cstheme="majorBidi"/>
        </w:rPr>
        <w:t xml:space="preserve"> more likely to be in the highest category of price index as compare</w:t>
      </w:r>
      <w:r w:rsidR="003E387A" w:rsidRPr="00212F71">
        <w:rPr>
          <w:rFonts w:cstheme="majorBidi"/>
        </w:rPr>
        <w:t xml:space="preserve">d </w:t>
      </w:r>
      <w:r w:rsidR="00EF48AB" w:rsidRPr="00212F71">
        <w:rPr>
          <w:rFonts w:cstheme="majorBidi"/>
        </w:rPr>
        <w:t>to</w:t>
      </w:r>
      <w:r w:rsidR="003E387A" w:rsidRPr="00212F71">
        <w:rPr>
          <w:rFonts w:cstheme="majorBidi"/>
        </w:rPr>
        <w:t xml:space="preserve"> the</w:t>
      </w:r>
      <w:r w:rsidR="00AA4FC6" w:rsidRPr="00212F71">
        <w:rPr>
          <w:rFonts w:cstheme="majorBidi"/>
        </w:rPr>
        <w:t xml:space="preserve"> reference of</w:t>
      </w:r>
      <w:r w:rsidR="003E387A" w:rsidRPr="00212F71">
        <w:rPr>
          <w:rFonts w:cstheme="majorBidi"/>
        </w:rPr>
        <w:t xml:space="preserve"> ‘</w:t>
      </w:r>
      <w:r w:rsidR="00AA4FC6" w:rsidRPr="00212F71">
        <w:rPr>
          <w:rFonts w:cstheme="majorBidi"/>
        </w:rPr>
        <w:t xml:space="preserve">Don’t prefer to deal with </w:t>
      </w:r>
      <w:r w:rsidR="61B4E4DC" w:rsidRPr="00212F71">
        <w:rPr>
          <w:rFonts w:cstheme="majorBidi"/>
        </w:rPr>
        <w:t>banks</w:t>
      </w:r>
      <w:r w:rsidR="521DD2AA" w:rsidRPr="00212F71">
        <w:rPr>
          <w:rFonts w:cstheme="majorBidi"/>
        </w:rPr>
        <w:t>.</w:t>
      </w:r>
      <w:r w:rsidR="00447291" w:rsidRPr="00212F71">
        <w:rPr>
          <w:rFonts w:cstheme="majorBidi"/>
        </w:rPr>
        <w:t xml:space="preserve"> Th</w:t>
      </w:r>
      <w:r w:rsidR="00807780" w:rsidRPr="00212F71">
        <w:rPr>
          <w:rFonts w:cstheme="majorBidi"/>
        </w:rPr>
        <w:t xml:space="preserve">e result </w:t>
      </w:r>
      <w:r w:rsidR="43AB6B77" w:rsidRPr="00212F71">
        <w:rPr>
          <w:rFonts w:cstheme="majorBidi"/>
        </w:rPr>
        <w:t>indicates</w:t>
      </w:r>
      <w:r w:rsidR="00807780" w:rsidRPr="00212F71">
        <w:rPr>
          <w:rFonts w:cstheme="majorBidi"/>
        </w:rPr>
        <w:t xml:space="preserve"> </w:t>
      </w:r>
      <w:r w:rsidR="00447291" w:rsidRPr="00212F71">
        <w:rPr>
          <w:rFonts w:cstheme="majorBidi"/>
        </w:rPr>
        <w:t>that</w:t>
      </w:r>
      <w:r w:rsidR="00A82EE7" w:rsidRPr="00212F71">
        <w:rPr>
          <w:rFonts w:cstheme="majorBidi"/>
        </w:rPr>
        <w:t>,</w:t>
      </w:r>
      <w:r w:rsidR="00447291" w:rsidRPr="00212F71">
        <w:rPr>
          <w:rFonts w:cstheme="majorBidi"/>
        </w:rPr>
        <w:t xml:space="preserve"> </w:t>
      </w:r>
      <w:r w:rsidR="003F1C42" w:rsidRPr="00212F71">
        <w:rPr>
          <w:rFonts w:cstheme="majorBidi"/>
        </w:rPr>
        <w:t xml:space="preserve">amongst the </w:t>
      </w:r>
      <w:r w:rsidR="00A82EE7" w:rsidRPr="00212F71">
        <w:rPr>
          <w:rFonts w:cstheme="majorBidi"/>
        </w:rPr>
        <w:t>respondents</w:t>
      </w:r>
      <w:r w:rsidR="003F1C42" w:rsidRPr="00212F71">
        <w:rPr>
          <w:rFonts w:cstheme="majorBidi"/>
        </w:rPr>
        <w:t xml:space="preserve"> </w:t>
      </w:r>
      <w:r w:rsidR="00B3267E" w:rsidRPr="00212F71">
        <w:rPr>
          <w:rFonts w:cstheme="majorBidi"/>
        </w:rPr>
        <w:t xml:space="preserve">that generally preferred dealing with banks, </w:t>
      </w:r>
      <w:r w:rsidR="003A14AA" w:rsidRPr="00212F71">
        <w:rPr>
          <w:rFonts w:cstheme="majorBidi"/>
        </w:rPr>
        <w:t xml:space="preserve">commercial banks were generally </w:t>
      </w:r>
      <w:r w:rsidR="008731E6" w:rsidRPr="00212F71">
        <w:rPr>
          <w:rFonts w:cstheme="majorBidi"/>
        </w:rPr>
        <w:t xml:space="preserve">preferred </w:t>
      </w:r>
      <w:r w:rsidR="00ED746D" w:rsidRPr="00212F71">
        <w:rPr>
          <w:rFonts w:cstheme="majorBidi"/>
        </w:rPr>
        <w:t xml:space="preserve">compared to the </w:t>
      </w:r>
      <w:r w:rsidR="00807780" w:rsidRPr="00212F71">
        <w:rPr>
          <w:rFonts w:cstheme="majorBidi"/>
        </w:rPr>
        <w:t xml:space="preserve">governmental banks. </w:t>
      </w:r>
    </w:p>
    <w:p w14:paraId="232719FE" w14:textId="04B09F30" w:rsidR="00EF48AB" w:rsidRPr="00212F71" w:rsidRDefault="0048448B" w:rsidP="00423112">
      <w:pPr>
        <w:spacing w:line="276" w:lineRule="auto"/>
        <w:jc w:val="both"/>
        <w:rPr>
          <w:rFonts w:cstheme="majorBidi"/>
        </w:rPr>
      </w:pPr>
      <w:r w:rsidRPr="00212F71">
        <w:rPr>
          <w:rFonts w:cstheme="majorBidi"/>
          <w:i/>
          <w:iCs/>
        </w:rPr>
        <w:t>Uncertainty and Shocks</w:t>
      </w:r>
      <w:r w:rsidRPr="00212F71">
        <w:rPr>
          <w:rFonts w:cstheme="majorBidi"/>
        </w:rPr>
        <w:t>. The p</w:t>
      </w:r>
      <w:r w:rsidR="00EF48AB" w:rsidRPr="00212F71">
        <w:rPr>
          <w:rFonts w:cstheme="majorBidi"/>
        </w:rPr>
        <w:t xml:space="preserve">arameter </w:t>
      </w:r>
      <w:r w:rsidR="4C6E1102" w:rsidRPr="00212F71">
        <w:rPr>
          <w:rFonts w:cstheme="majorBidi"/>
        </w:rPr>
        <w:t>estimates</w:t>
      </w:r>
      <w:r w:rsidR="00EF48AB" w:rsidRPr="00212F71">
        <w:rPr>
          <w:rFonts w:cstheme="majorBidi"/>
        </w:rPr>
        <w:t xml:space="preserve"> for </w:t>
      </w:r>
      <w:r w:rsidRPr="00212F71">
        <w:rPr>
          <w:rFonts w:cstheme="majorBidi"/>
        </w:rPr>
        <w:t>‘</w:t>
      </w:r>
      <w:r w:rsidR="00EF48AB" w:rsidRPr="00212F71">
        <w:rPr>
          <w:rFonts w:cstheme="majorBidi"/>
        </w:rPr>
        <w:t>COVID-19</w:t>
      </w:r>
      <w:r w:rsidR="0021315A" w:rsidRPr="00212F71">
        <w:rPr>
          <w:rFonts w:cstheme="majorBidi"/>
        </w:rPr>
        <w:t xml:space="preserve"> P</w:t>
      </w:r>
      <w:r w:rsidR="00EF48AB" w:rsidRPr="00212F71">
        <w:rPr>
          <w:rFonts w:cstheme="majorBidi"/>
        </w:rPr>
        <w:t xml:space="preserve">ositive </w:t>
      </w:r>
      <w:r w:rsidR="0021315A" w:rsidRPr="00212F71">
        <w:rPr>
          <w:rFonts w:cstheme="majorBidi"/>
        </w:rPr>
        <w:t>E</w:t>
      </w:r>
      <w:r w:rsidR="00EF48AB" w:rsidRPr="00212F71">
        <w:rPr>
          <w:rFonts w:cstheme="majorBidi"/>
        </w:rPr>
        <w:t>ffect</w:t>
      </w:r>
      <w:r w:rsidR="0021315A" w:rsidRPr="00212F71">
        <w:rPr>
          <w:rFonts w:cstheme="majorBidi"/>
        </w:rPr>
        <w:t>’</w:t>
      </w:r>
      <w:r w:rsidR="00EF48AB" w:rsidRPr="00212F71">
        <w:rPr>
          <w:rFonts w:cstheme="majorBidi"/>
        </w:rPr>
        <w:t xml:space="preserve"> ha</w:t>
      </w:r>
      <w:r w:rsidR="0060509C" w:rsidRPr="00212F71">
        <w:rPr>
          <w:rFonts w:cstheme="majorBidi"/>
        </w:rPr>
        <w:t>s</w:t>
      </w:r>
      <w:r w:rsidR="00EF48AB" w:rsidRPr="00212F71">
        <w:rPr>
          <w:rFonts w:cstheme="majorBidi"/>
        </w:rPr>
        <w:t xml:space="preserve"> 0.605 time</w:t>
      </w:r>
      <w:r w:rsidR="00294AB9" w:rsidRPr="00212F71">
        <w:rPr>
          <w:rFonts w:cstheme="majorBidi"/>
        </w:rPr>
        <w:t xml:space="preserve">s </w:t>
      </w:r>
      <w:r w:rsidR="00EF48AB" w:rsidRPr="00212F71">
        <w:rPr>
          <w:rFonts w:cstheme="majorBidi"/>
        </w:rPr>
        <w:t>less likely of being in the highest category of price index as compared to</w:t>
      </w:r>
      <w:r w:rsidR="00715495" w:rsidRPr="00212F71">
        <w:rPr>
          <w:rFonts w:cstheme="majorBidi"/>
        </w:rPr>
        <w:t xml:space="preserve"> reference category ‘N</w:t>
      </w:r>
      <w:r w:rsidR="00EF48AB" w:rsidRPr="00212F71">
        <w:rPr>
          <w:rFonts w:cstheme="majorBidi"/>
        </w:rPr>
        <w:t xml:space="preserve">egative </w:t>
      </w:r>
      <w:r w:rsidR="00715495" w:rsidRPr="00212F71">
        <w:rPr>
          <w:rFonts w:cstheme="majorBidi"/>
        </w:rPr>
        <w:t>E</w:t>
      </w:r>
      <w:r w:rsidR="00EF48AB" w:rsidRPr="00212F71">
        <w:rPr>
          <w:rFonts w:cstheme="majorBidi"/>
        </w:rPr>
        <w:t>ffect</w:t>
      </w:r>
      <w:r w:rsidR="00715495" w:rsidRPr="00212F71">
        <w:rPr>
          <w:rFonts w:cstheme="majorBidi"/>
        </w:rPr>
        <w:t>’</w:t>
      </w:r>
      <w:r w:rsidR="00EF48AB" w:rsidRPr="00212F71">
        <w:rPr>
          <w:rFonts w:cstheme="majorBidi"/>
        </w:rPr>
        <w:t xml:space="preserve">.  </w:t>
      </w:r>
      <w:r w:rsidR="001144CB" w:rsidRPr="00212F71">
        <w:rPr>
          <w:rFonts w:cstheme="majorBidi"/>
        </w:rPr>
        <w:t xml:space="preserve">This implies that </w:t>
      </w:r>
      <w:r w:rsidR="00715495" w:rsidRPr="00212F71">
        <w:rPr>
          <w:rFonts w:cstheme="majorBidi"/>
        </w:rPr>
        <w:t>the shock is believed to have a significant negative effect on the housing prices in Egypt</w:t>
      </w:r>
    </w:p>
    <w:p w14:paraId="751B7E42" w14:textId="59BADE84" w:rsidR="00976B77" w:rsidRPr="00FA1301" w:rsidRDefault="002E1C93" w:rsidP="00FA1301">
      <w:pPr>
        <w:pStyle w:val="Heading2"/>
        <w:numPr>
          <w:ilvl w:val="0"/>
          <w:numId w:val="43"/>
        </w:numPr>
        <w:rPr>
          <w:rFonts w:ascii="Times New Roman" w:hAnsi="Times New Roman" w:cs="Times New Roman"/>
        </w:rPr>
      </w:pPr>
      <w:bookmarkStart w:id="60" w:name="_Toc91438056"/>
      <w:r w:rsidRPr="1C0285D2">
        <w:rPr>
          <w:rFonts w:ascii="Times New Roman" w:hAnsi="Times New Roman" w:cs="Times New Roman"/>
        </w:rPr>
        <w:t>Statistical Checks</w:t>
      </w:r>
      <w:bookmarkEnd w:id="60"/>
    </w:p>
    <w:p w14:paraId="7AD2DA20" w14:textId="1987D07F" w:rsidR="00976B77" w:rsidRPr="00976B77" w:rsidRDefault="00976B77" w:rsidP="00FA1301">
      <w:pPr>
        <w:spacing w:line="276" w:lineRule="auto"/>
        <w:jc w:val="lowKashida"/>
      </w:pPr>
      <w:r>
        <w:t xml:space="preserve">Model </w:t>
      </w:r>
      <w:r w:rsidRPr="00976B77">
        <w:t>Fitting Information, Goodness-of-Fit, Pseudo R-Square, Parameter Estimates and Test of parallel lines are checked. Tables (19) and (20) illustrate the results of the Developers and Brokers and the Household models respectively. Results in table (21) suggest that the two models fit very well (p&gt;0.05) which indicates that we fail to reject the null hypothesis depending on the observed data with adequate fitness. Pseudo-R- Square show that approximately 17.1% and 15% of the variation in the EHPI can be attributed to the independent variables included in the model (1) and model (2) respectively.</w:t>
      </w:r>
    </w:p>
    <w:p w14:paraId="3625140F" w14:textId="33C849DC" w:rsidR="0084431C" w:rsidRPr="00626B1B" w:rsidRDefault="0084431C" w:rsidP="0084431C">
      <w:pPr>
        <w:jc w:val="both"/>
        <w:rPr>
          <w:rFonts w:ascii="Times New Roman" w:hAnsi="Times New Roman" w:cs="Times New Roman"/>
          <w:b/>
          <w:bCs/>
          <w:sz w:val="24"/>
          <w:szCs w:val="24"/>
        </w:rPr>
      </w:pPr>
      <w:r w:rsidRPr="7A1BF342">
        <w:rPr>
          <w:rFonts w:cstheme="majorBidi"/>
          <w:i/>
          <w:iCs/>
          <w:color w:val="000000" w:themeColor="text1"/>
          <w:sz w:val="24"/>
          <w:szCs w:val="24"/>
        </w:rPr>
        <w:t xml:space="preserve"> </w:t>
      </w:r>
      <w:r w:rsidRPr="00626B1B">
        <w:rPr>
          <w:rFonts w:cstheme="majorBidi"/>
          <w:b/>
          <w:bCs/>
          <w:color w:val="000000" w:themeColor="text1"/>
          <w:sz w:val="24"/>
          <w:szCs w:val="24"/>
        </w:rPr>
        <w:t xml:space="preserve">Table 21: Goodness of fit for </w:t>
      </w:r>
      <w:r>
        <w:rPr>
          <w:rFonts w:cstheme="majorBidi"/>
          <w:b/>
          <w:bCs/>
          <w:color w:val="000000" w:themeColor="text1"/>
          <w:sz w:val="24"/>
          <w:szCs w:val="24"/>
        </w:rPr>
        <w:t>M</w:t>
      </w:r>
      <w:r w:rsidRPr="00626B1B">
        <w:rPr>
          <w:rFonts w:cstheme="majorBidi"/>
          <w:b/>
          <w:bCs/>
          <w:color w:val="000000" w:themeColor="text1"/>
          <w:sz w:val="24"/>
          <w:szCs w:val="24"/>
        </w:rPr>
        <w:t>odel</w:t>
      </w:r>
      <w:r>
        <w:rPr>
          <w:rFonts w:cstheme="majorBidi"/>
          <w:b/>
          <w:bCs/>
          <w:color w:val="000000" w:themeColor="text1"/>
          <w:sz w:val="24"/>
          <w:szCs w:val="24"/>
        </w:rPr>
        <w:t xml:space="preserve"> (1) and Model (2)</w:t>
      </w:r>
    </w:p>
    <w:tbl>
      <w:tblPr>
        <w:tblW w:w="8280" w:type="dxa"/>
        <w:jc w:val="center"/>
        <w:tblLook w:val="04A0" w:firstRow="1" w:lastRow="0" w:firstColumn="1" w:lastColumn="0" w:noHBand="0" w:noVBand="1"/>
      </w:tblPr>
      <w:tblGrid>
        <w:gridCol w:w="2216"/>
        <w:gridCol w:w="1844"/>
        <w:gridCol w:w="1610"/>
        <w:gridCol w:w="1440"/>
        <w:gridCol w:w="1170"/>
      </w:tblGrid>
      <w:tr w:rsidR="0084431C" w14:paraId="58DC8B6A" w14:textId="77777777" w:rsidTr="004C4582">
        <w:trPr>
          <w:jc w:val="center"/>
        </w:trPr>
        <w:tc>
          <w:tcPr>
            <w:tcW w:w="2216" w:type="dxa"/>
            <w:tcBorders>
              <w:top w:val="single" w:sz="18" w:space="0" w:color="auto"/>
              <w:left w:val="single" w:sz="18" w:space="0" w:color="auto"/>
              <w:bottom w:val="single" w:sz="4" w:space="0" w:color="auto"/>
            </w:tcBorders>
            <w:shd w:val="clear" w:color="auto" w:fill="BFBFBF" w:themeFill="background1" w:themeFillShade="BF"/>
          </w:tcPr>
          <w:p w14:paraId="477F43BD" w14:textId="77777777" w:rsidR="0084431C" w:rsidRPr="00E944BC" w:rsidRDefault="0084431C" w:rsidP="004C4582">
            <w:pPr>
              <w:autoSpaceDE w:val="0"/>
              <w:autoSpaceDN w:val="0"/>
              <w:adjustRightInd w:val="0"/>
              <w:spacing w:line="320" w:lineRule="atLeast"/>
              <w:ind w:left="60" w:right="60"/>
              <w:rPr>
                <w:rFonts w:cstheme="majorBidi"/>
                <w:color w:val="000000"/>
              </w:rPr>
            </w:pPr>
          </w:p>
        </w:tc>
        <w:tc>
          <w:tcPr>
            <w:tcW w:w="1844" w:type="dxa"/>
            <w:tcBorders>
              <w:top w:val="single" w:sz="18" w:space="0" w:color="auto"/>
            </w:tcBorders>
            <w:shd w:val="clear" w:color="auto" w:fill="BFBFBF" w:themeFill="background1" w:themeFillShade="BF"/>
            <w:vAlign w:val="bottom"/>
          </w:tcPr>
          <w:p w14:paraId="78567DA7" w14:textId="77777777" w:rsidR="0084431C" w:rsidRPr="00E944BC" w:rsidRDefault="0084431C" w:rsidP="004C4582">
            <w:pPr>
              <w:autoSpaceDE w:val="0"/>
              <w:autoSpaceDN w:val="0"/>
              <w:adjustRightInd w:val="0"/>
              <w:spacing w:line="320" w:lineRule="atLeast"/>
              <w:ind w:left="60" w:right="60"/>
              <w:rPr>
                <w:rFonts w:cstheme="majorBidi"/>
                <w:color w:val="000000"/>
              </w:rPr>
            </w:pPr>
            <w:r w:rsidRPr="00E944BC">
              <w:rPr>
                <w:rFonts w:cstheme="majorBidi"/>
                <w:color w:val="000000"/>
              </w:rPr>
              <w:t>Model</w:t>
            </w:r>
          </w:p>
        </w:tc>
        <w:tc>
          <w:tcPr>
            <w:tcW w:w="1610" w:type="dxa"/>
            <w:tcBorders>
              <w:top w:val="single" w:sz="18" w:space="0" w:color="auto"/>
            </w:tcBorders>
            <w:shd w:val="clear" w:color="auto" w:fill="BFBFBF" w:themeFill="background1" w:themeFillShade="BF"/>
            <w:vAlign w:val="bottom"/>
          </w:tcPr>
          <w:p w14:paraId="291F6143" w14:textId="77777777" w:rsidR="0084431C" w:rsidRPr="00E944BC" w:rsidRDefault="0084431C" w:rsidP="004C4582">
            <w:pPr>
              <w:autoSpaceDE w:val="0"/>
              <w:autoSpaceDN w:val="0"/>
              <w:adjustRightInd w:val="0"/>
              <w:spacing w:line="320" w:lineRule="atLeast"/>
              <w:ind w:left="60" w:right="60"/>
              <w:jc w:val="center"/>
              <w:rPr>
                <w:rFonts w:cstheme="majorBidi"/>
                <w:color w:val="000000"/>
              </w:rPr>
            </w:pPr>
            <w:r w:rsidRPr="00E944BC">
              <w:rPr>
                <w:rFonts w:cstheme="majorBidi"/>
                <w:color w:val="000000"/>
              </w:rPr>
              <w:t>-2 Log Likelihood</w:t>
            </w:r>
          </w:p>
        </w:tc>
        <w:tc>
          <w:tcPr>
            <w:tcW w:w="1440" w:type="dxa"/>
            <w:tcBorders>
              <w:top w:val="single" w:sz="18" w:space="0" w:color="auto"/>
              <w:bottom w:val="single" w:sz="4" w:space="0" w:color="auto"/>
            </w:tcBorders>
            <w:shd w:val="clear" w:color="auto" w:fill="BFBFBF" w:themeFill="background1" w:themeFillShade="BF"/>
            <w:vAlign w:val="bottom"/>
          </w:tcPr>
          <w:p w14:paraId="33E308E7" w14:textId="77777777" w:rsidR="0084431C" w:rsidRPr="00E944BC" w:rsidRDefault="0084431C" w:rsidP="004C4582">
            <w:pPr>
              <w:autoSpaceDE w:val="0"/>
              <w:autoSpaceDN w:val="0"/>
              <w:adjustRightInd w:val="0"/>
              <w:spacing w:line="320" w:lineRule="atLeast"/>
              <w:ind w:left="60" w:right="60"/>
              <w:jc w:val="center"/>
              <w:rPr>
                <w:rFonts w:cstheme="majorBidi"/>
                <w:color w:val="000000"/>
              </w:rPr>
            </w:pPr>
            <w:r>
              <w:rPr>
                <w:rFonts w:cstheme="majorBidi"/>
                <w:color w:val="000000"/>
              </w:rPr>
              <w:t>df</w:t>
            </w:r>
          </w:p>
        </w:tc>
        <w:tc>
          <w:tcPr>
            <w:tcW w:w="1170" w:type="dxa"/>
            <w:tcBorders>
              <w:top w:val="single" w:sz="18" w:space="0" w:color="auto"/>
              <w:bottom w:val="single" w:sz="4" w:space="0" w:color="auto"/>
              <w:right w:val="single" w:sz="18" w:space="0" w:color="auto"/>
            </w:tcBorders>
            <w:shd w:val="clear" w:color="auto" w:fill="BFBFBF" w:themeFill="background1" w:themeFillShade="BF"/>
            <w:vAlign w:val="bottom"/>
          </w:tcPr>
          <w:p w14:paraId="27D95D49" w14:textId="77777777" w:rsidR="0084431C" w:rsidRPr="00E944BC" w:rsidRDefault="0084431C" w:rsidP="004C4582">
            <w:pPr>
              <w:autoSpaceDE w:val="0"/>
              <w:autoSpaceDN w:val="0"/>
              <w:adjustRightInd w:val="0"/>
              <w:spacing w:line="320" w:lineRule="atLeast"/>
              <w:ind w:left="60" w:right="60"/>
              <w:jc w:val="center"/>
              <w:rPr>
                <w:rFonts w:cstheme="majorBidi"/>
                <w:color w:val="000000"/>
              </w:rPr>
            </w:pPr>
            <w:r>
              <w:rPr>
                <w:rFonts w:cstheme="majorBidi"/>
                <w:color w:val="000000"/>
              </w:rPr>
              <w:t>Sig.</w:t>
            </w:r>
          </w:p>
        </w:tc>
      </w:tr>
      <w:tr w:rsidR="0084431C" w14:paraId="794C9BDB" w14:textId="77777777" w:rsidTr="004C4582">
        <w:trPr>
          <w:trHeight w:val="320"/>
          <w:jc w:val="center"/>
        </w:trPr>
        <w:tc>
          <w:tcPr>
            <w:tcW w:w="2216" w:type="dxa"/>
            <w:vMerge w:val="restart"/>
            <w:tcBorders>
              <w:left w:val="single" w:sz="18" w:space="0" w:color="auto"/>
              <w:bottom w:val="single" w:sz="18" w:space="0" w:color="auto"/>
            </w:tcBorders>
          </w:tcPr>
          <w:p w14:paraId="1FDD4FCE" w14:textId="77777777" w:rsidR="0084431C" w:rsidRPr="00553B43" w:rsidRDefault="0084431C" w:rsidP="004C4582">
            <w:pPr>
              <w:autoSpaceDE w:val="0"/>
              <w:autoSpaceDN w:val="0"/>
              <w:adjustRightInd w:val="0"/>
              <w:spacing w:line="320" w:lineRule="atLeast"/>
              <w:ind w:right="60"/>
              <w:rPr>
                <w:rFonts w:cstheme="majorBidi"/>
                <w:color w:val="000000"/>
              </w:rPr>
            </w:pPr>
            <w:r w:rsidRPr="00553B43">
              <w:rPr>
                <w:rFonts w:cstheme="majorBidi"/>
                <w:color w:val="000000"/>
              </w:rPr>
              <w:t xml:space="preserve">Developer Model </w:t>
            </w:r>
          </w:p>
        </w:tc>
        <w:tc>
          <w:tcPr>
            <w:tcW w:w="1844" w:type="dxa"/>
            <w:tcBorders>
              <w:bottom w:val="single" w:sz="4" w:space="0" w:color="auto"/>
            </w:tcBorders>
          </w:tcPr>
          <w:p w14:paraId="084B53B4" w14:textId="77777777" w:rsidR="0084431C" w:rsidRPr="00553B43" w:rsidRDefault="0084431C" w:rsidP="004C4582">
            <w:pPr>
              <w:autoSpaceDE w:val="0"/>
              <w:autoSpaceDN w:val="0"/>
              <w:adjustRightInd w:val="0"/>
              <w:spacing w:line="320" w:lineRule="atLeast"/>
              <w:ind w:left="60" w:right="60"/>
              <w:rPr>
                <w:rFonts w:cstheme="majorBidi"/>
                <w:color w:val="000000"/>
                <w:sz w:val="18"/>
                <w:szCs w:val="18"/>
              </w:rPr>
            </w:pPr>
            <w:r w:rsidRPr="00553B43">
              <w:rPr>
                <w:rFonts w:cstheme="majorBidi"/>
                <w:color w:val="000000"/>
                <w:sz w:val="18"/>
                <w:szCs w:val="18"/>
              </w:rPr>
              <w:t>Pearson</w:t>
            </w:r>
          </w:p>
        </w:tc>
        <w:tc>
          <w:tcPr>
            <w:tcW w:w="1610" w:type="dxa"/>
            <w:tcBorders>
              <w:bottom w:val="single" w:sz="4" w:space="0" w:color="auto"/>
            </w:tcBorders>
            <w:vAlign w:val="center"/>
          </w:tcPr>
          <w:p w14:paraId="4CD6C6E7" w14:textId="77777777" w:rsidR="0084431C" w:rsidRPr="00553B43" w:rsidRDefault="0084431C" w:rsidP="004C4582">
            <w:pPr>
              <w:autoSpaceDE w:val="0"/>
              <w:autoSpaceDN w:val="0"/>
              <w:adjustRightInd w:val="0"/>
              <w:spacing w:line="320" w:lineRule="atLeast"/>
              <w:ind w:left="60" w:right="60"/>
              <w:jc w:val="center"/>
              <w:rPr>
                <w:rFonts w:cstheme="majorBidi"/>
                <w:color w:val="000000"/>
                <w:sz w:val="18"/>
                <w:szCs w:val="18"/>
              </w:rPr>
            </w:pPr>
            <w:r w:rsidRPr="00553B43">
              <w:rPr>
                <w:rFonts w:cstheme="majorBidi"/>
                <w:color w:val="000000"/>
                <w:sz w:val="18"/>
                <w:szCs w:val="18"/>
              </w:rPr>
              <w:t>266.595</w:t>
            </w:r>
          </w:p>
        </w:tc>
        <w:tc>
          <w:tcPr>
            <w:tcW w:w="1440" w:type="dxa"/>
            <w:tcBorders>
              <w:bottom w:val="single" w:sz="4" w:space="0" w:color="auto"/>
            </w:tcBorders>
            <w:vAlign w:val="center"/>
          </w:tcPr>
          <w:p w14:paraId="669973B1" w14:textId="77777777" w:rsidR="0084431C" w:rsidRPr="00553B43" w:rsidRDefault="0084431C" w:rsidP="004C4582">
            <w:pPr>
              <w:autoSpaceDE w:val="0"/>
              <w:autoSpaceDN w:val="0"/>
              <w:adjustRightInd w:val="0"/>
              <w:spacing w:line="320" w:lineRule="atLeast"/>
              <w:ind w:left="60" w:right="60"/>
              <w:jc w:val="center"/>
              <w:rPr>
                <w:rFonts w:cstheme="majorBidi"/>
                <w:color w:val="000000"/>
                <w:sz w:val="18"/>
                <w:szCs w:val="18"/>
              </w:rPr>
            </w:pPr>
            <w:r w:rsidRPr="00553B43">
              <w:rPr>
                <w:rFonts w:cstheme="majorBidi"/>
                <w:color w:val="000000"/>
                <w:sz w:val="18"/>
                <w:szCs w:val="18"/>
              </w:rPr>
              <w:t>261</w:t>
            </w:r>
          </w:p>
        </w:tc>
        <w:tc>
          <w:tcPr>
            <w:tcW w:w="1170" w:type="dxa"/>
            <w:tcBorders>
              <w:bottom w:val="single" w:sz="4" w:space="0" w:color="auto"/>
              <w:right w:val="single" w:sz="18" w:space="0" w:color="auto"/>
            </w:tcBorders>
            <w:vAlign w:val="center"/>
          </w:tcPr>
          <w:p w14:paraId="27F83D18" w14:textId="77777777" w:rsidR="0084431C" w:rsidRPr="00553B43" w:rsidRDefault="0084431C" w:rsidP="004C4582">
            <w:pPr>
              <w:autoSpaceDE w:val="0"/>
              <w:autoSpaceDN w:val="0"/>
              <w:adjustRightInd w:val="0"/>
              <w:spacing w:line="320" w:lineRule="atLeast"/>
              <w:ind w:left="60" w:right="60"/>
              <w:jc w:val="center"/>
              <w:rPr>
                <w:rFonts w:cstheme="majorBidi"/>
                <w:color w:val="000000"/>
                <w:sz w:val="18"/>
                <w:szCs w:val="18"/>
              </w:rPr>
            </w:pPr>
            <w:r w:rsidRPr="00553B43">
              <w:rPr>
                <w:rFonts w:cstheme="majorBidi"/>
                <w:color w:val="000000"/>
                <w:sz w:val="18"/>
                <w:szCs w:val="18"/>
              </w:rPr>
              <w:t>.393</w:t>
            </w:r>
          </w:p>
        </w:tc>
      </w:tr>
      <w:tr w:rsidR="0084431C" w14:paraId="01921892" w14:textId="77777777" w:rsidTr="004C4582">
        <w:trPr>
          <w:trHeight w:val="320"/>
          <w:jc w:val="center"/>
        </w:trPr>
        <w:tc>
          <w:tcPr>
            <w:tcW w:w="2216" w:type="dxa"/>
            <w:vMerge/>
            <w:tcBorders>
              <w:left w:val="single" w:sz="18" w:space="0" w:color="auto"/>
              <w:bottom w:val="single" w:sz="18" w:space="0" w:color="auto"/>
            </w:tcBorders>
          </w:tcPr>
          <w:p w14:paraId="0B040E1B" w14:textId="77777777" w:rsidR="0084431C" w:rsidRPr="00553B43" w:rsidRDefault="0084431C" w:rsidP="004C4582">
            <w:pPr>
              <w:autoSpaceDE w:val="0"/>
              <w:autoSpaceDN w:val="0"/>
              <w:adjustRightInd w:val="0"/>
              <w:spacing w:line="320" w:lineRule="atLeast"/>
              <w:ind w:left="60" w:right="60"/>
              <w:rPr>
                <w:rFonts w:cstheme="majorBidi"/>
                <w:color w:val="000000"/>
              </w:rPr>
            </w:pPr>
          </w:p>
        </w:tc>
        <w:tc>
          <w:tcPr>
            <w:tcW w:w="1844" w:type="dxa"/>
            <w:tcBorders>
              <w:bottom w:val="single" w:sz="18" w:space="0" w:color="auto"/>
            </w:tcBorders>
          </w:tcPr>
          <w:p w14:paraId="359DEADD" w14:textId="77777777" w:rsidR="0084431C" w:rsidRPr="00553B43" w:rsidRDefault="0084431C" w:rsidP="004C4582">
            <w:pPr>
              <w:autoSpaceDE w:val="0"/>
              <w:autoSpaceDN w:val="0"/>
              <w:adjustRightInd w:val="0"/>
              <w:spacing w:line="320" w:lineRule="atLeast"/>
              <w:ind w:left="60" w:right="60"/>
              <w:rPr>
                <w:rFonts w:cstheme="majorBidi"/>
                <w:color w:val="000000"/>
                <w:sz w:val="18"/>
                <w:szCs w:val="18"/>
              </w:rPr>
            </w:pPr>
            <w:r w:rsidRPr="00553B43">
              <w:rPr>
                <w:rFonts w:cstheme="majorBidi"/>
                <w:color w:val="000000"/>
                <w:sz w:val="18"/>
                <w:szCs w:val="18"/>
              </w:rPr>
              <w:t>Deviance</w:t>
            </w:r>
          </w:p>
        </w:tc>
        <w:tc>
          <w:tcPr>
            <w:tcW w:w="1610" w:type="dxa"/>
            <w:tcBorders>
              <w:bottom w:val="single" w:sz="18" w:space="0" w:color="auto"/>
            </w:tcBorders>
            <w:vAlign w:val="center"/>
          </w:tcPr>
          <w:p w14:paraId="0647FDF3" w14:textId="77777777" w:rsidR="0084431C" w:rsidRPr="00553B43" w:rsidRDefault="0084431C" w:rsidP="004C4582">
            <w:pPr>
              <w:autoSpaceDE w:val="0"/>
              <w:autoSpaceDN w:val="0"/>
              <w:adjustRightInd w:val="0"/>
              <w:spacing w:line="320" w:lineRule="atLeast"/>
              <w:ind w:left="60" w:right="60"/>
              <w:jc w:val="center"/>
              <w:rPr>
                <w:rFonts w:cstheme="majorBidi"/>
                <w:color w:val="000000"/>
                <w:sz w:val="18"/>
                <w:szCs w:val="18"/>
              </w:rPr>
            </w:pPr>
            <w:r w:rsidRPr="00553B43">
              <w:rPr>
                <w:rFonts w:cstheme="majorBidi"/>
                <w:color w:val="000000"/>
                <w:sz w:val="18"/>
                <w:szCs w:val="18"/>
              </w:rPr>
              <w:t>293.540</w:t>
            </w:r>
          </w:p>
        </w:tc>
        <w:tc>
          <w:tcPr>
            <w:tcW w:w="1440" w:type="dxa"/>
            <w:tcBorders>
              <w:top w:val="single" w:sz="4" w:space="0" w:color="auto"/>
              <w:bottom w:val="single" w:sz="18" w:space="0" w:color="auto"/>
            </w:tcBorders>
            <w:vAlign w:val="center"/>
          </w:tcPr>
          <w:p w14:paraId="12E608B4" w14:textId="77777777" w:rsidR="0084431C" w:rsidRPr="00553B43" w:rsidRDefault="0084431C" w:rsidP="004C4582">
            <w:pPr>
              <w:autoSpaceDE w:val="0"/>
              <w:autoSpaceDN w:val="0"/>
              <w:adjustRightInd w:val="0"/>
              <w:spacing w:line="320" w:lineRule="atLeast"/>
              <w:ind w:left="60" w:right="60"/>
              <w:jc w:val="center"/>
              <w:rPr>
                <w:rFonts w:cstheme="majorBidi"/>
                <w:color w:val="000000"/>
                <w:sz w:val="18"/>
                <w:szCs w:val="18"/>
              </w:rPr>
            </w:pPr>
            <w:r w:rsidRPr="00553B43">
              <w:rPr>
                <w:rFonts w:cstheme="majorBidi"/>
                <w:color w:val="000000"/>
                <w:sz w:val="18"/>
                <w:szCs w:val="18"/>
              </w:rPr>
              <w:t>261</w:t>
            </w:r>
          </w:p>
        </w:tc>
        <w:tc>
          <w:tcPr>
            <w:tcW w:w="1170" w:type="dxa"/>
            <w:tcBorders>
              <w:top w:val="single" w:sz="4" w:space="0" w:color="auto"/>
              <w:bottom w:val="single" w:sz="18" w:space="0" w:color="auto"/>
              <w:right w:val="single" w:sz="18" w:space="0" w:color="auto"/>
            </w:tcBorders>
            <w:vAlign w:val="center"/>
          </w:tcPr>
          <w:p w14:paraId="1DE8A86D" w14:textId="77777777" w:rsidR="0084431C" w:rsidRPr="00553B43" w:rsidRDefault="0084431C" w:rsidP="004C4582">
            <w:pPr>
              <w:autoSpaceDE w:val="0"/>
              <w:autoSpaceDN w:val="0"/>
              <w:adjustRightInd w:val="0"/>
              <w:spacing w:line="320" w:lineRule="atLeast"/>
              <w:ind w:left="60" w:right="60"/>
              <w:jc w:val="center"/>
              <w:rPr>
                <w:rFonts w:cstheme="majorBidi"/>
                <w:color w:val="000000"/>
                <w:sz w:val="18"/>
                <w:szCs w:val="18"/>
              </w:rPr>
            </w:pPr>
            <w:r w:rsidRPr="00553B43">
              <w:rPr>
                <w:rFonts w:cstheme="majorBidi"/>
                <w:color w:val="000000"/>
                <w:sz w:val="18"/>
                <w:szCs w:val="18"/>
              </w:rPr>
              <w:t>.181</w:t>
            </w:r>
          </w:p>
        </w:tc>
      </w:tr>
      <w:tr w:rsidR="0084431C" w14:paraId="108C2193" w14:textId="77777777" w:rsidTr="004C4582">
        <w:trPr>
          <w:jc w:val="center"/>
        </w:trPr>
        <w:tc>
          <w:tcPr>
            <w:tcW w:w="2216" w:type="dxa"/>
            <w:vMerge w:val="restart"/>
            <w:tcBorders>
              <w:top w:val="single" w:sz="18" w:space="0" w:color="auto"/>
              <w:left w:val="single" w:sz="18" w:space="0" w:color="auto"/>
            </w:tcBorders>
          </w:tcPr>
          <w:p w14:paraId="5CC54AA4" w14:textId="77777777" w:rsidR="0084431C" w:rsidRPr="00553B43" w:rsidRDefault="0084431C" w:rsidP="004C4582">
            <w:pPr>
              <w:jc w:val="both"/>
              <w:rPr>
                <w:rFonts w:cstheme="majorBidi"/>
                <w:sz w:val="24"/>
                <w:szCs w:val="24"/>
              </w:rPr>
            </w:pPr>
            <w:r w:rsidRPr="00553B43">
              <w:rPr>
                <w:rFonts w:cstheme="majorBidi"/>
                <w:color w:val="000000"/>
              </w:rPr>
              <w:t>Buyer Model</w:t>
            </w:r>
          </w:p>
        </w:tc>
        <w:tc>
          <w:tcPr>
            <w:tcW w:w="1844" w:type="dxa"/>
            <w:tcBorders>
              <w:top w:val="single" w:sz="18" w:space="0" w:color="auto"/>
            </w:tcBorders>
          </w:tcPr>
          <w:p w14:paraId="17CD58DD" w14:textId="77777777" w:rsidR="0084431C" w:rsidRPr="00553B43" w:rsidRDefault="0084431C" w:rsidP="004C4582">
            <w:pPr>
              <w:autoSpaceDE w:val="0"/>
              <w:autoSpaceDN w:val="0"/>
              <w:adjustRightInd w:val="0"/>
              <w:spacing w:line="320" w:lineRule="atLeast"/>
              <w:ind w:left="60" w:right="60"/>
              <w:rPr>
                <w:rFonts w:cstheme="majorBidi"/>
                <w:color w:val="000000"/>
                <w:sz w:val="18"/>
                <w:szCs w:val="18"/>
              </w:rPr>
            </w:pPr>
            <w:r w:rsidRPr="00553B43">
              <w:rPr>
                <w:rFonts w:cstheme="majorBidi"/>
                <w:color w:val="000000"/>
                <w:sz w:val="18"/>
                <w:szCs w:val="18"/>
              </w:rPr>
              <w:t>Pearson</w:t>
            </w:r>
          </w:p>
        </w:tc>
        <w:tc>
          <w:tcPr>
            <w:tcW w:w="1610" w:type="dxa"/>
            <w:tcBorders>
              <w:top w:val="single" w:sz="18" w:space="0" w:color="auto"/>
              <w:bottom w:val="single" w:sz="4" w:space="0" w:color="auto"/>
            </w:tcBorders>
            <w:vAlign w:val="center"/>
          </w:tcPr>
          <w:p w14:paraId="3BD6C8B6" w14:textId="77777777" w:rsidR="0084431C" w:rsidRPr="00553B43" w:rsidRDefault="0084431C" w:rsidP="004C4582">
            <w:pPr>
              <w:autoSpaceDE w:val="0"/>
              <w:autoSpaceDN w:val="0"/>
              <w:adjustRightInd w:val="0"/>
              <w:spacing w:line="320" w:lineRule="atLeast"/>
              <w:ind w:left="60" w:right="60"/>
              <w:jc w:val="center"/>
              <w:rPr>
                <w:rFonts w:cstheme="majorBidi"/>
                <w:color w:val="000000"/>
                <w:sz w:val="18"/>
                <w:szCs w:val="18"/>
              </w:rPr>
            </w:pPr>
            <w:r w:rsidRPr="00553B43">
              <w:rPr>
                <w:rFonts w:cstheme="majorBidi"/>
                <w:color w:val="000000"/>
                <w:sz w:val="18"/>
                <w:szCs w:val="18"/>
              </w:rPr>
              <w:t>420.860</w:t>
            </w:r>
          </w:p>
        </w:tc>
        <w:tc>
          <w:tcPr>
            <w:tcW w:w="1440" w:type="dxa"/>
            <w:tcBorders>
              <w:top w:val="single" w:sz="18" w:space="0" w:color="auto"/>
              <w:bottom w:val="single" w:sz="4" w:space="0" w:color="auto"/>
            </w:tcBorders>
            <w:vAlign w:val="center"/>
          </w:tcPr>
          <w:p w14:paraId="39DED153" w14:textId="77777777" w:rsidR="0084431C" w:rsidRPr="00553B43" w:rsidRDefault="0084431C" w:rsidP="004C4582">
            <w:pPr>
              <w:autoSpaceDE w:val="0"/>
              <w:autoSpaceDN w:val="0"/>
              <w:adjustRightInd w:val="0"/>
              <w:spacing w:line="320" w:lineRule="atLeast"/>
              <w:ind w:left="60" w:right="60"/>
              <w:jc w:val="center"/>
              <w:rPr>
                <w:rFonts w:cstheme="majorBidi"/>
                <w:color w:val="000000"/>
                <w:sz w:val="18"/>
                <w:szCs w:val="18"/>
              </w:rPr>
            </w:pPr>
            <w:r w:rsidRPr="00553B43">
              <w:rPr>
                <w:rFonts w:cstheme="majorBidi"/>
                <w:color w:val="000000"/>
                <w:sz w:val="18"/>
                <w:szCs w:val="18"/>
              </w:rPr>
              <w:t>401</w:t>
            </w:r>
          </w:p>
        </w:tc>
        <w:tc>
          <w:tcPr>
            <w:tcW w:w="1170" w:type="dxa"/>
            <w:tcBorders>
              <w:top w:val="single" w:sz="18" w:space="0" w:color="auto"/>
              <w:bottom w:val="single" w:sz="4" w:space="0" w:color="auto"/>
              <w:right w:val="single" w:sz="18" w:space="0" w:color="auto"/>
            </w:tcBorders>
            <w:vAlign w:val="center"/>
          </w:tcPr>
          <w:p w14:paraId="34112383" w14:textId="77777777" w:rsidR="0084431C" w:rsidRPr="00553B43" w:rsidRDefault="0084431C" w:rsidP="004C4582">
            <w:pPr>
              <w:autoSpaceDE w:val="0"/>
              <w:autoSpaceDN w:val="0"/>
              <w:adjustRightInd w:val="0"/>
              <w:spacing w:line="320" w:lineRule="atLeast"/>
              <w:ind w:left="60" w:right="60"/>
              <w:jc w:val="center"/>
              <w:rPr>
                <w:rFonts w:cstheme="majorBidi"/>
                <w:color w:val="000000"/>
                <w:sz w:val="18"/>
                <w:szCs w:val="18"/>
              </w:rPr>
            </w:pPr>
            <w:r w:rsidRPr="00553B43">
              <w:rPr>
                <w:rFonts w:cstheme="majorBidi"/>
                <w:color w:val="000000"/>
                <w:sz w:val="18"/>
                <w:szCs w:val="18"/>
              </w:rPr>
              <w:t>.238</w:t>
            </w:r>
          </w:p>
        </w:tc>
      </w:tr>
      <w:tr w:rsidR="0084431C" w14:paraId="6066893A" w14:textId="77777777" w:rsidTr="004C4582">
        <w:trPr>
          <w:jc w:val="center"/>
        </w:trPr>
        <w:tc>
          <w:tcPr>
            <w:tcW w:w="2216" w:type="dxa"/>
            <w:vMerge/>
            <w:tcBorders>
              <w:left w:val="single" w:sz="18" w:space="0" w:color="auto"/>
              <w:bottom w:val="single" w:sz="18" w:space="0" w:color="auto"/>
            </w:tcBorders>
          </w:tcPr>
          <w:p w14:paraId="6AF0B4BB" w14:textId="77777777" w:rsidR="0084431C" w:rsidRPr="00553B43" w:rsidRDefault="0084431C" w:rsidP="004C4582">
            <w:pPr>
              <w:jc w:val="both"/>
              <w:rPr>
                <w:rFonts w:cstheme="majorBidi"/>
                <w:sz w:val="24"/>
                <w:szCs w:val="24"/>
              </w:rPr>
            </w:pPr>
          </w:p>
        </w:tc>
        <w:tc>
          <w:tcPr>
            <w:tcW w:w="1844" w:type="dxa"/>
            <w:tcBorders>
              <w:bottom w:val="single" w:sz="18" w:space="0" w:color="auto"/>
            </w:tcBorders>
          </w:tcPr>
          <w:p w14:paraId="2F5249D8" w14:textId="77777777" w:rsidR="0084431C" w:rsidRPr="00553B43" w:rsidRDefault="0084431C" w:rsidP="004C4582">
            <w:pPr>
              <w:autoSpaceDE w:val="0"/>
              <w:autoSpaceDN w:val="0"/>
              <w:adjustRightInd w:val="0"/>
              <w:spacing w:line="320" w:lineRule="atLeast"/>
              <w:ind w:left="60" w:right="60"/>
              <w:rPr>
                <w:rFonts w:cstheme="majorBidi"/>
                <w:color w:val="000000"/>
                <w:sz w:val="18"/>
                <w:szCs w:val="18"/>
              </w:rPr>
            </w:pPr>
            <w:r w:rsidRPr="00553B43">
              <w:rPr>
                <w:rFonts w:cstheme="majorBidi"/>
                <w:color w:val="000000"/>
                <w:sz w:val="18"/>
                <w:szCs w:val="18"/>
              </w:rPr>
              <w:t>Deviance</w:t>
            </w:r>
          </w:p>
        </w:tc>
        <w:tc>
          <w:tcPr>
            <w:tcW w:w="1610" w:type="dxa"/>
            <w:tcBorders>
              <w:top w:val="single" w:sz="4" w:space="0" w:color="auto"/>
              <w:bottom w:val="single" w:sz="18" w:space="0" w:color="auto"/>
            </w:tcBorders>
            <w:vAlign w:val="center"/>
          </w:tcPr>
          <w:p w14:paraId="02E7AA21" w14:textId="77777777" w:rsidR="0084431C" w:rsidRPr="00553B43" w:rsidRDefault="0084431C" w:rsidP="004C4582">
            <w:pPr>
              <w:autoSpaceDE w:val="0"/>
              <w:autoSpaceDN w:val="0"/>
              <w:adjustRightInd w:val="0"/>
              <w:spacing w:line="320" w:lineRule="atLeast"/>
              <w:ind w:left="60" w:right="60"/>
              <w:jc w:val="center"/>
              <w:rPr>
                <w:rFonts w:cstheme="majorBidi"/>
                <w:color w:val="000000"/>
                <w:sz w:val="18"/>
                <w:szCs w:val="18"/>
              </w:rPr>
            </w:pPr>
            <w:r w:rsidRPr="00553B43">
              <w:rPr>
                <w:rFonts w:cstheme="majorBidi"/>
                <w:color w:val="000000"/>
                <w:sz w:val="18"/>
                <w:szCs w:val="18"/>
              </w:rPr>
              <w:t>447.929</w:t>
            </w:r>
          </w:p>
        </w:tc>
        <w:tc>
          <w:tcPr>
            <w:tcW w:w="1440" w:type="dxa"/>
            <w:tcBorders>
              <w:top w:val="single" w:sz="4" w:space="0" w:color="auto"/>
              <w:bottom w:val="single" w:sz="18" w:space="0" w:color="auto"/>
            </w:tcBorders>
            <w:vAlign w:val="center"/>
          </w:tcPr>
          <w:p w14:paraId="0C76727B" w14:textId="77777777" w:rsidR="0084431C" w:rsidRPr="00553B43" w:rsidRDefault="0084431C" w:rsidP="004C4582">
            <w:pPr>
              <w:autoSpaceDE w:val="0"/>
              <w:autoSpaceDN w:val="0"/>
              <w:adjustRightInd w:val="0"/>
              <w:spacing w:line="320" w:lineRule="atLeast"/>
              <w:ind w:left="60" w:right="60"/>
              <w:jc w:val="center"/>
              <w:rPr>
                <w:rFonts w:cstheme="majorBidi"/>
                <w:color w:val="000000"/>
                <w:sz w:val="18"/>
                <w:szCs w:val="18"/>
              </w:rPr>
            </w:pPr>
            <w:r w:rsidRPr="00553B43">
              <w:rPr>
                <w:rFonts w:cstheme="majorBidi"/>
                <w:color w:val="000000"/>
                <w:sz w:val="18"/>
                <w:szCs w:val="18"/>
              </w:rPr>
              <w:t>401</w:t>
            </w:r>
          </w:p>
        </w:tc>
        <w:tc>
          <w:tcPr>
            <w:tcW w:w="1170" w:type="dxa"/>
            <w:tcBorders>
              <w:top w:val="single" w:sz="4" w:space="0" w:color="auto"/>
              <w:bottom w:val="single" w:sz="18" w:space="0" w:color="auto"/>
              <w:right w:val="single" w:sz="18" w:space="0" w:color="auto"/>
            </w:tcBorders>
            <w:vAlign w:val="center"/>
          </w:tcPr>
          <w:p w14:paraId="37129EE5" w14:textId="77777777" w:rsidR="0084431C" w:rsidRPr="00553B43" w:rsidRDefault="0084431C" w:rsidP="004C4582">
            <w:pPr>
              <w:autoSpaceDE w:val="0"/>
              <w:autoSpaceDN w:val="0"/>
              <w:adjustRightInd w:val="0"/>
              <w:spacing w:line="320" w:lineRule="atLeast"/>
              <w:ind w:left="60" w:right="60"/>
              <w:jc w:val="center"/>
              <w:rPr>
                <w:rFonts w:cstheme="majorBidi"/>
                <w:color w:val="000000"/>
                <w:sz w:val="18"/>
                <w:szCs w:val="18"/>
              </w:rPr>
            </w:pPr>
            <w:r w:rsidRPr="00553B43">
              <w:rPr>
                <w:rFonts w:cstheme="majorBidi"/>
                <w:color w:val="000000"/>
                <w:sz w:val="18"/>
                <w:szCs w:val="18"/>
              </w:rPr>
              <w:t>.153</w:t>
            </w:r>
          </w:p>
        </w:tc>
      </w:tr>
    </w:tbl>
    <w:p w14:paraId="58AB6304" w14:textId="77777777" w:rsidR="000A2F60" w:rsidRDefault="000A2F60" w:rsidP="00EF48AB">
      <w:pPr>
        <w:autoSpaceDE w:val="0"/>
        <w:autoSpaceDN w:val="0"/>
        <w:adjustRightInd w:val="0"/>
        <w:spacing w:after="0" w:line="240" w:lineRule="auto"/>
        <w:jc w:val="both"/>
        <w:rPr>
          <w:rFonts w:cstheme="majorBidi"/>
          <w:sz w:val="24"/>
          <w:szCs w:val="24"/>
        </w:rPr>
      </w:pPr>
    </w:p>
    <w:p w14:paraId="500BB4CE" w14:textId="6B5F420A" w:rsidR="00EF48AB" w:rsidRDefault="000A2F60" w:rsidP="00EF48AB">
      <w:pPr>
        <w:autoSpaceDE w:val="0"/>
        <w:autoSpaceDN w:val="0"/>
        <w:adjustRightInd w:val="0"/>
        <w:spacing w:after="0" w:line="240" w:lineRule="auto"/>
        <w:jc w:val="both"/>
        <w:rPr>
          <w:rFonts w:ascii="Times New Roman" w:hAnsi="Times New Roman" w:cs="Times New Roman"/>
        </w:rPr>
      </w:pPr>
      <w:r w:rsidRPr="00212F71">
        <w:rPr>
          <w:rFonts w:ascii="Times New Roman" w:hAnsi="Times New Roman" w:cs="Times New Roman"/>
        </w:rPr>
        <w:t>M</w:t>
      </w:r>
      <w:r w:rsidR="00EF48AB" w:rsidRPr="00212F71">
        <w:rPr>
          <w:rFonts w:ascii="Times New Roman" w:hAnsi="Times New Roman" w:cs="Times New Roman"/>
        </w:rPr>
        <w:t>odel fitting information fo</w:t>
      </w:r>
      <w:r w:rsidRPr="00212F71">
        <w:rPr>
          <w:rFonts w:ascii="Times New Roman" w:hAnsi="Times New Roman" w:cs="Times New Roman"/>
        </w:rPr>
        <w:t>r M</w:t>
      </w:r>
      <w:r w:rsidR="00EF48AB" w:rsidRPr="00212F71">
        <w:rPr>
          <w:rFonts w:ascii="Times New Roman" w:hAnsi="Times New Roman" w:cs="Times New Roman"/>
        </w:rPr>
        <w:t>odel</w:t>
      </w:r>
      <w:r w:rsidRPr="00212F71">
        <w:rPr>
          <w:rFonts w:ascii="Times New Roman" w:hAnsi="Times New Roman" w:cs="Times New Roman"/>
        </w:rPr>
        <w:t xml:space="preserve"> (1)</w:t>
      </w:r>
      <w:r w:rsidR="00EF48AB" w:rsidRPr="00212F71">
        <w:rPr>
          <w:rFonts w:ascii="Times New Roman" w:hAnsi="Times New Roman" w:cs="Times New Roman"/>
        </w:rPr>
        <w:t xml:space="preserve">, -2loglikelihood for the estimated model is 439.969 and the value for </w:t>
      </w:r>
      <w:r w:rsidRPr="00212F71">
        <w:rPr>
          <w:rFonts w:ascii="Times New Roman" w:hAnsi="Times New Roman" w:cs="Times New Roman"/>
        </w:rPr>
        <w:t>C</w:t>
      </w:r>
      <w:r w:rsidR="00EF48AB" w:rsidRPr="00212F71">
        <w:rPr>
          <w:rFonts w:ascii="Times New Roman" w:hAnsi="Times New Roman" w:cs="Times New Roman"/>
        </w:rPr>
        <w:t>hi-square</w:t>
      </w:r>
      <w:r w:rsidR="00EF48AB" w:rsidRPr="00212F71">
        <w:rPr>
          <w:rFonts w:ascii="Times New Roman" w:hAnsi="Times New Roman" w:cs="Times New Roman" w:hint="cs"/>
          <w:rtl/>
        </w:rPr>
        <w:t xml:space="preserve"> </w:t>
      </w:r>
      <w:r w:rsidR="00EF48AB" w:rsidRPr="00212F71">
        <w:rPr>
          <w:rFonts w:ascii="Times New Roman" w:hAnsi="Times New Roman" w:cs="Times New Roman"/>
        </w:rPr>
        <w:t>(26.934, df = 11, p-value</w:t>
      </w:r>
      <w:r w:rsidR="00EF48AB" w:rsidRPr="00212F71">
        <w:rPr>
          <w:rFonts w:ascii="Times New Roman" w:hAnsi="Times New Roman" w:cs="Times New Roman" w:hint="cs"/>
          <w:rtl/>
        </w:rPr>
        <w:t>&gt;</w:t>
      </w:r>
      <w:r w:rsidR="00EF48AB" w:rsidRPr="00212F71">
        <w:rPr>
          <w:rFonts w:ascii="Times New Roman" w:hAnsi="Times New Roman" w:cs="Times New Roman"/>
        </w:rPr>
        <w:t xml:space="preserve"> 0.05</w:t>
      </w:r>
      <w:r w:rsidR="00EF48AB" w:rsidRPr="00212F71">
        <w:rPr>
          <w:rFonts w:ascii="Times New Roman" w:hAnsi="Times New Roman" w:cs="Times New Roman" w:hint="cs"/>
          <w:rtl/>
        </w:rPr>
        <w:t>(</w:t>
      </w:r>
      <w:r w:rsidR="00EF48AB" w:rsidRPr="00212F71">
        <w:rPr>
          <w:rFonts w:ascii="Times New Roman" w:hAnsi="Times New Roman" w:cs="Times New Roman"/>
        </w:rPr>
        <w:t xml:space="preserve">. The statistically significant </w:t>
      </w:r>
      <w:r w:rsidRPr="00212F71">
        <w:rPr>
          <w:rFonts w:ascii="Times New Roman" w:hAnsi="Times New Roman" w:cs="Times New Roman"/>
        </w:rPr>
        <w:t>C</w:t>
      </w:r>
      <w:r w:rsidR="00EF48AB" w:rsidRPr="00212F71">
        <w:rPr>
          <w:rFonts w:ascii="Times New Roman" w:hAnsi="Times New Roman" w:cs="Times New Roman"/>
        </w:rPr>
        <w:t>hi-square statistic (p&lt;0.05) indicates the statistically significance of the model.</w:t>
      </w:r>
      <w:r w:rsidR="00EF48AB" w:rsidRPr="00212F71">
        <w:rPr>
          <w:rFonts w:ascii="Times New Roman" w:hAnsi="Times New Roman" w:cs="Times New Roman" w:hint="cs"/>
          <w:rtl/>
        </w:rPr>
        <w:t xml:space="preserve"> </w:t>
      </w:r>
      <w:r w:rsidR="00EF48AB" w:rsidRPr="00212F71">
        <w:rPr>
          <w:rFonts w:ascii="Times New Roman" w:hAnsi="Times New Roman" w:cs="Times New Roman"/>
        </w:rPr>
        <w:t xml:space="preserve">The </w:t>
      </w:r>
      <w:r w:rsidRPr="00212F71">
        <w:rPr>
          <w:rFonts w:ascii="Times New Roman" w:hAnsi="Times New Roman" w:cs="Times New Roman"/>
        </w:rPr>
        <w:t>is for</w:t>
      </w:r>
      <w:r w:rsidR="00EF48AB" w:rsidRPr="00212F71">
        <w:rPr>
          <w:rFonts w:ascii="Times New Roman" w:hAnsi="Times New Roman" w:cs="Times New Roman"/>
        </w:rPr>
        <w:t xml:space="preserve"> Model</w:t>
      </w:r>
      <w:r w:rsidRPr="00212F71">
        <w:rPr>
          <w:rFonts w:ascii="Times New Roman" w:hAnsi="Times New Roman" w:cs="Times New Roman"/>
        </w:rPr>
        <w:t xml:space="preserve"> (2) where the P</w:t>
      </w:r>
      <w:r w:rsidR="00EF48AB" w:rsidRPr="00212F71">
        <w:rPr>
          <w:rFonts w:ascii="Times New Roman" w:hAnsi="Times New Roman" w:cs="Times New Roman"/>
        </w:rPr>
        <w:t>-value is less than 0.05, which indicates that the model is significant.</w:t>
      </w:r>
    </w:p>
    <w:p w14:paraId="5EC7138C" w14:textId="77777777" w:rsidR="00976B77" w:rsidRDefault="00976B77" w:rsidP="00EF48AB">
      <w:pPr>
        <w:autoSpaceDE w:val="0"/>
        <w:autoSpaceDN w:val="0"/>
        <w:adjustRightInd w:val="0"/>
        <w:spacing w:after="0" w:line="240" w:lineRule="auto"/>
        <w:jc w:val="both"/>
        <w:rPr>
          <w:rFonts w:eastAsiaTheme="minorEastAsia" w:cstheme="majorBidi"/>
          <w:color w:val="000000"/>
        </w:rPr>
      </w:pPr>
    </w:p>
    <w:p w14:paraId="17E7279F" w14:textId="77777777" w:rsidR="00502269" w:rsidRPr="00212F71" w:rsidRDefault="00502269" w:rsidP="00EF48AB">
      <w:pPr>
        <w:autoSpaceDE w:val="0"/>
        <w:autoSpaceDN w:val="0"/>
        <w:adjustRightInd w:val="0"/>
        <w:spacing w:after="0" w:line="240" w:lineRule="auto"/>
        <w:jc w:val="both"/>
        <w:rPr>
          <w:rFonts w:eastAsiaTheme="minorEastAsia" w:cstheme="majorBidi"/>
          <w:color w:val="000000"/>
          <w:rtl/>
        </w:rPr>
      </w:pPr>
    </w:p>
    <w:p w14:paraId="6C2417EB" w14:textId="77777777" w:rsidR="00EF48AB" w:rsidRDefault="00EF48AB" w:rsidP="00EF48AB">
      <w:pPr>
        <w:autoSpaceDE w:val="0"/>
        <w:autoSpaceDN w:val="0"/>
        <w:adjustRightInd w:val="0"/>
        <w:spacing w:after="0" w:line="240" w:lineRule="auto"/>
        <w:rPr>
          <w:rFonts w:ascii="BookAntiqua" w:hAnsi="BookAntiqua" w:cs="BookAntiqua"/>
          <w:sz w:val="20"/>
          <w:szCs w:val="20"/>
        </w:rPr>
      </w:pPr>
    </w:p>
    <w:p w14:paraId="3FB679B3" w14:textId="51903673" w:rsidR="00EF48AB" w:rsidRPr="00FA120C" w:rsidRDefault="00EF48AB" w:rsidP="00EF48AB">
      <w:pPr>
        <w:jc w:val="both"/>
        <w:rPr>
          <w:rFonts w:ascii="Times New Roman" w:hAnsi="Times New Roman" w:cs="Times New Roman"/>
          <w:b/>
          <w:bCs/>
          <w:sz w:val="24"/>
          <w:szCs w:val="24"/>
        </w:rPr>
      </w:pPr>
      <w:r w:rsidRPr="00FA120C">
        <w:rPr>
          <w:rFonts w:cstheme="majorBidi"/>
          <w:b/>
          <w:bCs/>
          <w:color w:val="000000"/>
          <w:sz w:val="24"/>
          <w:szCs w:val="24"/>
        </w:rPr>
        <w:t>Table</w:t>
      </w:r>
      <w:r w:rsidR="00170489" w:rsidRPr="00FA120C">
        <w:rPr>
          <w:rFonts w:cstheme="majorBidi"/>
          <w:b/>
          <w:bCs/>
          <w:color w:val="000000"/>
          <w:sz w:val="24"/>
          <w:szCs w:val="24"/>
        </w:rPr>
        <w:t xml:space="preserve"> 22:</w:t>
      </w:r>
      <w:r w:rsidRPr="00FA120C">
        <w:rPr>
          <w:rFonts w:cstheme="majorBidi"/>
          <w:b/>
          <w:bCs/>
          <w:color w:val="000000"/>
          <w:sz w:val="24"/>
          <w:szCs w:val="24"/>
        </w:rPr>
        <w:t xml:space="preserve"> Test of Parallel Lines for both models</w:t>
      </w:r>
    </w:p>
    <w:tbl>
      <w:tblPr>
        <w:tblW w:w="9810" w:type="dxa"/>
        <w:jc w:val="center"/>
        <w:tblLook w:val="04A0" w:firstRow="1" w:lastRow="0" w:firstColumn="1" w:lastColumn="0" w:noHBand="0" w:noVBand="1"/>
      </w:tblPr>
      <w:tblGrid>
        <w:gridCol w:w="2216"/>
        <w:gridCol w:w="1844"/>
        <w:gridCol w:w="1610"/>
        <w:gridCol w:w="1440"/>
        <w:gridCol w:w="1170"/>
        <w:gridCol w:w="1530"/>
      </w:tblGrid>
      <w:tr w:rsidR="00EF48AB" w14:paraId="62660E26" w14:textId="77777777" w:rsidTr="00744B25">
        <w:trPr>
          <w:jc w:val="center"/>
        </w:trPr>
        <w:tc>
          <w:tcPr>
            <w:tcW w:w="2216" w:type="dxa"/>
            <w:shd w:val="clear" w:color="auto" w:fill="BFBFBF" w:themeFill="background1" w:themeFillShade="BF"/>
          </w:tcPr>
          <w:p w14:paraId="56678E16" w14:textId="77777777" w:rsidR="00EF48AB" w:rsidRPr="00E944BC" w:rsidRDefault="00EF48AB" w:rsidP="00744B25">
            <w:pPr>
              <w:autoSpaceDE w:val="0"/>
              <w:autoSpaceDN w:val="0"/>
              <w:adjustRightInd w:val="0"/>
              <w:spacing w:line="320" w:lineRule="atLeast"/>
              <w:ind w:left="60" w:right="60"/>
              <w:rPr>
                <w:rFonts w:cstheme="majorBidi"/>
                <w:color w:val="000000"/>
              </w:rPr>
            </w:pPr>
          </w:p>
        </w:tc>
        <w:tc>
          <w:tcPr>
            <w:tcW w:w="1844" w:type="dxa"/>
            <w:shd w:val="clear" w:color="auto" w:fill="BFBFBF" w:themeFill="background1" w:themeFillShade="BF"/>
            <w:vAlign w:val="bottom"/>
          </w:tcPr>
          <w:p w14:paraId="5DC2B576" w14:textId="77777777" w:rsidR="00EF48AB" w:rsidRPr="00E944BC" w:rsidRDefault="00EF48AB" w:rsidP="00744B25">
            <w:pPr>
              <w:autoSpaceDE w:val="0"/>
              <w:autoSpaceDN w:val="0"/>
              <w:adjustRightInd w:val="0"/>
              <w:spacing w:line="320" w:lineRule="atLeast"/>
              <w:ind w:left="60" w:right="60"/>
              <w:rPr>
                <w:rFonts w:cstheme="majorBidi"/>
                <w:color w:val="000000"/>
              </w:rPr>
            </w:pPr>
            <w:r w:rsidRPr="00E944BC">
              <w:rPr>
                <w:rFonts w:cstheme="majorBidi"/>
                <w:color w:val="000000"/>
              </w:rPr>
              <w:t>Model</w:t>
            </w:r>
          </w:p>
        </w:tc>
        <w:tc>
          <w:tcPr>
            <w:tcW w:w="1610" w:type="dxa"/>
            <w:shd w:val="clear" w:color="auto" w:fill="BFBFBF" w:themeFill="background1" w:themeFillShade="BF"/>
            <w:vAlign w:val="bottom"/>
          </w:tcPr>
          <w:p w14:paraId="11B8570C" w14:textId="77777777" w:rsidR="00EF48AB" w:rsidRPr="00E944BC" w:rsidRDefault="00EF48AB" w:rsidP="00744B25">
            <w:pPr>
              <w:autoSpaceDE w:val="0"/>
              <w:autoSpaceDN w:val="0"/>
              <w:adjustRightInd w:val="0"/>
              <w:spacing w:line="320" w:lineRule="atLeast"/>
              <w:ind w:left="60" w:right="60"/>
              <w:jc w:val="center"/>
              <w:rPr>
                <w:rFonts w:cstheme="majorBidi"/>
                <w:color w:val="000000"/>
              </w:rPr>
            </w:pPr>
            <w:r w:rsidRPr="00E944BC">
              <w:rPr>
                <w:rFonts w:cstheme="majorBidi"/>
                <w:color w:val="000000"/>
              </w:rPr>
              <w:t>-2 Log Likelihood</w:t>
            </w:r>
          </w:p>
        </w:tc>
        <w:tc>
          <w:tcPr>
            <w:tcW w:w="1440" w:type="dxa"/>
            <w:tcBorders>
              <w:bottom w:val="single" w:sz="4" w:space="0" w:color="auto"/>
            </w:tcBorders>
            <w:shd w:val="clear" w:color="auto" w:fill="BFBFBF" w:themeFill="background1" w:themeFillShade="BF"/>
            <w:vAlign w:val="bottom"/>
          </w:tcPr>
          <w:p w14:paraId="67F01F67" w14:textId="77777777" w:rsidR="00EF48AB" w:rsidRPr="00E944BC" w:rsidRDefault="00EF48AB" w:rsidP="00744B25">
            <w:pPr>
              <w:autoSpaceDE w:val="0"/>
              <w:autoSpaceDN w:val="0"/>
              <w:adjustRightInd w:val="0"/>
              <w:spacing w:line="320" w:lineRule="atLeast"/>
              <w:ind w:left="60" w:right="60"/>
              <w:jc w:val="center"/>
              <w:rPr>
                <w:rFonts w:cstheme="majorBidi"/>
                <w:color w:val="000000"/>
              </w:rPr>
            </w:pPr>
            <w:r w:rsidRPr="00E944BC">
              <w:rPr>
                <w:rFonts w:cstheme="majorBidi"/>
                <w:color w:val="000000"/>
              </w:rPr>
              <w:t>Chi-Square</w:t>
            </w:r>
          </w:p>
        </w:tc>
        <w:tc>
          <w:tcPr>
            <w:tcW w:w="1170" w:type="dxa"/>
            <w:tcBorders>
              <w:bottom w:val="single" w:sz="4" w:space="0" w:color="auto"/>
            </w:tcBorders>
            <w:shd w:val="clear" w:color="auto" w:fill="BFBFBF" w:themeFill="background1" w:themeFillShade="BF"/>
            <w:vAlign w:val="bottom"/>
          </w:tcPr>
          <w:p w14:paraId="01F1AD87" w14:textId="77777777" w:rsidR="00EF48AB" w:rsidRPr="00E944BC" w:rsidRDefault="00EF48AB" w:rsidP="00744B25">
            <w:pPr>
              <w:autoSpaceDE w:val="0"/>
              <w:autoSpaceDN w:val="0"/>
              <w:adjustRightInd w:val="0"/>
              <w:spacing w:line="320" w:lineRule="atLeast"/>
              <w:ind w:left="60" w:right="60"/>
              <w:jc w:val="center"/>
              <w:rPr>
                <w:rFonts w:cstheme="majorBidi"/>
                <w:color w:val="000000"/>
              </w:rPr>
            </w:pPr>
            <w:r w:rsidRPr="00E944BC">
              <w:rPr>
                <w:rFonts w:cstheme="majorBidi"/>
                <w:color w:val="000000"/>
              </w:rPr>
              <w:t>df</w:t>
            </w:r>
          </w:p>
        </w:tc>
        <w:tc>
          <w:tcPr>
            <w:tcW w:w="1530" w:type="dxa"/>
            <w:tcBorders>
              <w:bottom w:val="single" w:sz="4" w:space="0" w:color="auto"/>
            </w:tcBorders>
            <w:shd w:val="clear" w:color="auto" w:fill="BFBFBF" w:themeFill="background1" w:themeFillShade="BF"/>
            <w:vAlign w:val="bottom"/>
          </w:tcPr>
          <w:p w14:paraId="2F9AD83B" w14:textId="77777777" w:rsidR="00EF48AB" w:rsidRPr="00E944BC" w:rsidRDefault="00EF48AB" w:rsidP="00744B25">
            <w:pPr>
              <w:autoSpaceDE w:val="0"/>
              <w:autoSpaceDN w:val="0"/>
              <w:adjustRightInd w:val="0"/>
              <w:spacing w:line="320" w:lineRule="atLeast"/>
              <w:ind w:left="60" w:right="60"/>
              <w:jc w:val="center"/>
              <w:rPr>
                <w:rFonts w:cstheme="majorBidi"/>
                <w:color w:val="000000"/>
              </w:rPr>
            </w:pPr>
            <w:r w:rsidRPr="00E944BC">
              <w:rPr>
                <w:rFonts w:cstheme="majorBidi"/>
                <w:color w:val="000000"/>
              </w:rPr>
              <w:t>Sig.</w:t>
            </w:r>
          </w:p>
        </w:tc>
      </w:tr>
      <w:tr w:rsidR="00EF48AB" w14:paraId="613C893C" w14:textId="77777777" w:rsidTr="00744B25">
        <w:trPr>
          <w:trHeight w:val="320"/>
          <w:jc w:val="center"/>
        </w:trPr>
        <w:tc>
          <w:tcPr>
            <w:tcW w:w="2216" w:type="dxa"/>
            <w:vMerge w:val="restart"/>
          </w:tcPr>
          <w:p w14:paraId="0039B9ED" w14:textId="77777777" w:rsidR="00EF48AB" w:rsidRPr="00E944BC" w:rsidRDefault="00EF48AB" w:rsidP="00744B25">
            <w:pPr>
              <w:autoSpaceDE w:val="0"/>
              <w:autoSpaceDN w:val="0"/>
              <w:adjustRightInd w:val="0"/>
              <w:spacing w:line="320" w:lineRule="atLeast"/>
              <w:ind w:right="60"/>
              <w:rPr>
                <w:rFonts w:cstheme="majorBidi"/>
                <w:color w:val="000000"/>
              </w:rPr>
            </w:pPr>
            <w:r w:rsidRPr="00E944BC">
              <w:rPr>
                <w:rFonts w:cstheme="majorBidi"/>
                <w:color w:val="000000"/>
              </w:rPr>
              <w:t xml:space="preserve">Developer Model </w:t>
            </w:r>
          </w:p>
        </w:tc>
        <w:tc>
          <w:tcPr>
            <w:tcW w:w="1844" w:type="dxa"/>
          </w:tcPr>
          <w:p w14:paraId="419E5EB6" w14:textId="77777777" w:rsidR="00EF48AB" w:rsidRPr="00E944BC" w:rsidRDefault="00EF48AB" w:rsidP="00744B25">
            <w:pPr>
              <w:autoSpaceDE w:val="0"/>
              <w:autoSpaceDN w:val="0"/>
              <w:adjustRightInd w:val="0"/>
              <w:spacing w:line="320" w:lineRule="atLeast"/>
              <w:ind w:left="60" w:right="60"/>
              <w:rPr>
                <w:rFonts w:cstheme="majorBidi"/>
                <w:color w:val="000000"/>
              </w:rPr>
            </w:pPr>
            <w:r w:rsidRPr="00E944BC">
              <w:rPr>
                <w:rFonts w:cstheme="majorBidi"/>
                <w:color w:val="000000"/>
              </w:rPr>
              <w:t>Null Hypothesis</w:t>
            </w:r>
          </w:p>
        </w:tc>
        <w:tc>
          <w:tcPr>
            <w:tcW w:w="1610" w:type="dxa"/>
            <w:vMerge w:val="restart"/>
            <w:vAlign w:val="center"/>
          </w:tcPr>
          <w:p w14:paraId="73A44D00" w14:textId="77777777" w:rsidR="00EF48AB" w:rsidRPr="00E944BC" w:rsidRDefault="00EF48AB" w:rsidP="00744B25">
            <w:pPr>
              <w:autoSpaceDE w:val="0"/>
              <w:autoSpaceDN w:val="0"/>
              <w:adjustRightInd w:val="0"/>
              <w:spacing w:line="320" w:lineRule="atLeast"/>
              <w:ind w:left="60" w:right="60"/>
              <w:jc w:val="center"/>
              <w:rPr>
                <w:rFonts w:cstheme="majorBidi"/>
                <w:color w:val="000000"/>
              </w:rPr>
            </w:pPr>
            <w:r w:rsidRPr="00E944BC">
              <w:rPr>
                <w:rFonts w:cstheme="majorBidi"/>
                <w:color w:val="000000"/>
              </w:rPr>
              <w:t>439.969</w:t>
            </w:r>
          </w:p>
          <w:p w14:paraId="012ADBE9" w14:textId="77777777" w:rsidR="00EF48AB" w:rsidRPr="00E944BC" w:rsidRDefault="00EF48AB" w:rsidP="00744B25">
            <w:pPr>
              <w:autoSpaceDE w:val="0"/>
              <w:autoSpaceDN w:val="0"/>
              <w:adjustRightInd w:val="0"/>
              <w:spacing w:line="320" w:lineRule="atLeast"/>
              <w:ind w:left="60" w:right="60"/>
              <w:jc w:val="center"/>
              <w:rPr>
                <w:rFonts w:cstheme="majorBidi"/>
                <w:color w:val="000000"/>
              </w:rPr>
            </w:pPr>
            <w:r w:rsidRPr="00E944BC">
              <w:rPr>
                <w:rFonts w:cstheme="majorBidi"/>
                <w:color w:val="000000"/>
              </w:rPr>
              <w:t>427.999</w:t>
            </w:r>
          </w:p>
        </w:tc>
        <w:tc>
          <w:tcPr>
            <w:tcW w:w="1440" w:type="dxa"/>
            <w:tcBorders>
              <w:bottom w:val="nil"/>
            </w:tcBorders>
            <w:vAlign w:val="center"/>
          </w:tcPr>
          <w:p w14:paraId="64432421" w14:textId="77777777" w:rsidR="00EF48AB" w:rsidRPr="00E944BC" w:rsidRDefault="00EF48AB" w:rsidP="00744B25">
            <w:pPr>
              <w:autoSpaceDE w:val="0"/>
              <w:autoSpaceDN w:val="0"/>
              <w:adjustRightInd w:val="0"/>
              <w:spacing w:line="320" w:lineRule="atLeast"/>
              <w:ind w:left="60" w:right="60"/>
              <w:jc w:val="center"/>
              <w:rPr>
                <w:rFonts w:cstheme="majorBidi"/>
              </w:rPr>
            </w:pPr>
          </w:p>
        </w:tc>
        <w:tc>
          <w:tcPr>
            <w:tcW w:w="1170" w:type="dxa"/>
            <w:tcBorders>
              <w:bottom w:val="nil"/>
            </w:tcBorders>
            <w:vAlign w:val="center"/>
          </w:tcPr>
          <w:p w14:paraId="7ECDDF73" w14:textId="77777777" w:rsidR="00EF48AB" w:rsidRPr="00E944BC" w:rsidRDefault="00EF48AB" w:rsidP="00744B25">
            <w:pPr>
              <w:autoSpaceDE w:val="0"/>
              <w:autoSpaceDN w:val="0"/>
              <w:adjustRightInd w:val="0"/>
              <w:spacing w:line="320" w:lineRule="atLeast"/>
              <w:ind w:left="60" w:right="60"/>
              <w:jc w:val="center"/>
              <w:rPr>
                <w:rFonts w:cstheme="majorBidi"/>
              </w:rPr>
            </w:pPr>
          </w:p>
        </w:tc>
        <w:tc>
          <w:tcPr>
            <w:tcW w:w="1530" w:type="dxa"/>
            <w:tcBorders>
              <w:bottom w:val="nil"/>
            </w:tcBorders>
            <w:vAlign w:val="center"/>
          </w:tcPr>
          <w:p w14:paraId="3B0245CC" w14:textId="77777777" w:rsidR="00EF48AB" w:rsidRPr="00E944BC" w:rsidRDefault="00EF48AB" w:rsidP="00744B25">
            <w:pPr>
              <w:autoSpaceDE w:val="0"/>
              <w:autoSpaceDN w:val="0"/>
              <w:adjustRightInd w:val="0"/>
              <w:spacing w:line="320" w:lineRule="atLeast"/>
              <w:ind w:left="60" w:right="60"/>
              <w:jc w:val="center"/>
              <w:rPr>
                <w:rFonts w:cstheme="majorBidi"/>
              </w:rPr>
            </w:pPr>
          </w:p>
        </w:tc>
      </w:tr>
      <w:tr w:rsidR="00EF48AB" w14:paraId="67497B7D" w14:textId="77777777" w:rsidTr="00744B25">
        <w:trPr>
          <w:trHeight w:val="320"/>
          <w:jc w:val="center"/>
        </w:trPr>
        <w:tc>
          <w:tcPr>
            <w:tcW w:w="2216" w:type="dxa"/>
            <w:vMerge/>
          </w:tcPr>
          <w:p w14:paraId="6A69B2BD" w14:textId="77777777" w:rsidR="00EF48AB" w:rsidRPr="00E944BC" w:rsidRDefault="00EF48AB" w:rsidP="00744B25">
            <w:pPr>
              <w:autoSpaceDE w:val="0"/>
              <w:autoSpaceDN w:val="0"/>
              <w:adjustRightInd w:val="0"/>
              <w:spacing w:line="320" w:lineRule="atLeast"/>
              <w:ind w:left="60" w:right="60"/>
              <w:rPr>
                <w:rFonts w:cstheme="majorBidi"/>
                <w:color w:val="000000"/>
              </w:rPr>
            </w:pPr>
          </w:p>
        </w:tc>
        <w:tc>
          <w:tcPr>
            <w:tcW w:w="1844" w:type="dxa"/>
          </w:tcPr>
          <w:p w14:paraId="73FAE4BC" w14:textId="77777777" w:rsidR="00EF48AB" w:rsidRPr="00E944BC" w:rsidRDefault="00EF48AB" w:rsidP="00744B25">
            <w:pPr>
              <w:autoSpaceDE w:val="0"/>
              <w:autoSpaceDN w:val="0"/>
              <w:adjustRightInd w:val="0"/>
              <w:spacing w:line="320" w:lineRule="atLeast"/>
              <w:ind w:left="60" w:right="60"/>
              <w:rPr>
                <w:rFonts w:cstheme="majorBidi"/>
                <w:color w:val="000000"/>
              </w:rPr>
            </w:pPr>
            <w:r w:rsidRPr="00E944BC">
              <w:rPr>
                <w:rFonts w:cstheme="majorBidi"/>
                <w:color w:val="000000"/>
              </w:rPr>
              <w:t>General</w:t>
            </w:r>
          </w:p>
        </w:tc>
        <w:tc>
          <w:tcPr>
            <w:tcW w:w="1610" w:type="dxa"/>
            <w:vMerge/>
            <w:tcBorders>
              <w:bottom w:val="single" w:sz="4" w:space="0" w:color="auto"/>
            </w:tcBorders>
            <w:vAlign w:val="center"/>
          </w:tcPr>
          <w:p w14:paraId="7B25E599" w14:textId="77777777" w:rsidR="00EF48AB" w:rsidRPr="00E944BC" w:rsidRDefault="00EF48AB" w:rsidP="00744B25">
            <w:pPr>
              <w:autoSpaceDE w:val="0"/>
              <w:autoSpaceDN w:val="0"/>
              <w:adjustRightInd w:val="0"/>
              <w:spacing w:line="320" w:lineRule="atLeast"/>
              <w:ind w:left="60" w:right="60"/>
              <w:jc w:val="center"/>
              <w:rPr>
                <w:rFonts w:cstheme="majorBidi"/>
                <w:color w:val="000000"/>
              </w:rPr>
            </w:pPr>
          </w:p>
        </w:tc>
        <w:tc>
          <w:tcPr>
            <w:tcW w:w="1440" w:type="dxa"/>
            <w:tcBorders>
              <w:top w:val="nil"/>
              <w:bottom w:val="single" w:sz="4" w:space="0" w:color="auto"/>
            </w:tcBorders>
            <w:vAlign w:val="center"/>
          </w:tcPr>
          <w:p w14:paraId="77E60E99" w14:textId="77777777" w:rsidR="00EF48AB" w:rsidRPr="00E944BC" w:rsidRDefault="00EF48AB" w:rsidP="00744B25">
            <w:pPr>
              <w:autoSpaceDE w:val="0"/>
              <w:autoSpaceDN w:val="0"/>
              <w:adjustRightInd w:val="0"/>
              <w:spacing w:line="320" w:lineRule="atLeast"/>
              <w:ind w:left="60" w:right="60"/>
              <w:jc w:val="center"/>
              <w:rPr>
                <w:rFonts w:cstheme="majorBidi"/>
              </w:rPr>
            </w:pPr>
            <w:r w:rsidRPr="00E944BC">
              <w:rPr>
                <w:rFonts w:cstheme="majorBidi"/>
                <w:color w:val="000000"/>
              </w:rPr>
              <w:t>11.970</w:t>
            </w:r>
          </w:p>
        </w:tc>
        <w:tc>
          <w:tcPr>
            <w:tcW w:w="1170" w:type="dxa"/>
            <w:tcBorders>
              <w:top w:val="nil"/>
              <w:bottom w:val="single" w:sz="4" w:space="0" w:color="auto"/>
            </w:tcBorders>
            <w:vAlign w:val="center"/>
          </w:tcPr>
          <w:p w14:paraId="4FCAF2B3" w14:textId="77777777" w:rsidR="00EF48AB" w:rsidRPr="00E944BC" w:rsidRDefault="00EF48AB" w:rsidP="00744B25">
            <w:pPr>
              <w:autoSpaceDE w:val="0"/>
              <w:autoSpaceDN w:val="0"/>
              <w:adjustRightInd w:val="0"/>
              <w:spacing w:line="320" w:lineRule="atLeast"/>
              <w:ind w:left="60" w:right="60"/>
              <w:jc w:val="center"/>
              <w:rPr>
                <w:rFonts w:cstheme="majorBidi"/>
              </w:rPr>
            </w:pPr>
            <w:r w:rsidRPr="00E944BC">
              <w:rPr>
                <w:rFonts w:cstheme="majorBidi"/>
                <w:color w:val="000000"/>
              </w:rPr>
              <w:t>11</w:t>
            </w:r>
          </w:p>
        </w:tc>
        <w:tc>
          <w:tcPr>
            <w:tcW w:w="1530" w:type="dxa"/>
            <w:tcBorders>
              <w:top w:val="nil"/>
              <w:bottom w:val="single" w:sz="4" w:space="0" w:color="auto"/>
            </w:tcBorders>
            <w:vAlign w:val="center"/>
          </w:tcPr>
          <w:p w14:paraId="37CDA541" w14:textId="77777777" w:rsidR="00EF48AB" w:rsidRPr="00E944BC" w:rsidRDefault="00EF48AB" w:rsidP="00744B25">
            <w:pPr>
              <w:autoSpaceDE w:val="0"/>
              <w:autoSpaceDN w:val="0"/>
              <w:adjustRightInd w:val="0"/>
              <w:spacing w:line="320" w:lineRule="atLeast"/>
              <w:ind w:left="60" w:right="60"/>
              <w:jc w:val="center"/>
              <w:rPr>
                <w:rFonts w:cstheme="majorBidi"/>
              </w:rPr>
            </w:pPr>
            <w:r w:rsidRPr="00E944BC">
              <w:rPr>
                <w:rFonts w:cstheme="majorBidi"/>
                <w:color w:val="000000"/>
              </w:rPr>
              <w:t>.366</w:t>
            </w:r>
          </w:p>
        </w:tc>
      </w:tr>
      <w:tr w:rsidR="00EF48AB" w14:paraId="75092301" w14:textId="77777777" w:rsidTr="00744B25">
        <w:trPr>
          <w:jc w:val="center"/>
        </w:trPr>
        <w:tc>
          <w:tcPr>
            <w:tcW w:w="2216" w:type="dxa"/>
            <w:vMerge w:val="restart"/>
          </w:tcPr>
          <w:p w14:paraId="09135231" w14:textId="77777777" w:rsidR="00EF48AB" w:rsidRPr="00E944BC" w:rsidRDefault="00EF48AB" w:rsidP="00744B25">
            <w:pPr>
              <w:jc w:val="both"/>
              <w:rPr>
                <w:rFonts w:ascii="Times New Roman" w:hAnsi="Times New Roman" w:cs="Times New Roman"/>
                <w:sz w:val="24"/>
                <w:szCs w:val="24"/>
              </w:rPr>
            </w:pPr>
            <w:r w:rsidRPr="00E944BC">
              <w:rPr>
                <w:rFonts w:cstheme="majorBidi"/>
                <w:color w:val="000000"/>
              </w:rPr>
              <w:t>Buyer Model</w:t>
            </w:r>
          </w:p>
        </w:tc>
        <w:tc>
          <w:tcPr>
            <w:tcW w:w="1844" w:type="dxa"/>
          </w:tcPr>
          <w:p w14:paraId="4544C4DE" w14:textId="77777777" w:rsidR="00EF48AB" w:rsidRPr="00E944BC" w:rsidRDefault="00EF48AB" w:rsidP="00744B25">
            <w:pPr>
              <w:autoSpaceDE w:val="0"/>
              <w:autoSpaceDN w:val="0"/>
              <w:adjustRightInd w:val="0"/>
              <w:spacing w:line="320" w:lineRule="atLeast"/>
              <w:ind w:left="60" w:right="60"/>
              <w:rPr>
                <w:rFonts w:cstheme="majorBidi"/>
                <w:color w:val="000000"/>
              </w:rPr>
            </w:pPr>
            <w:r w:rsidRPr="00E944BC">
              <w:rPr>
                <w:rFonts w:cstheme="majorBidi"/>
                <w:color w:val="000000"/>
              </w:rPr>
              <w:t>Null Hypothesis</w:t>
            </w:r>
          </w:p>
        </w:tc>
        <w:tc>
          <w:tcPr>
            <w:tcW w:w="1610" w:type="dxa"/>
            <w:tcBorders>
              <w:bottom w:val="nil"/>
            </w:tcBorders>
            <w:vAlign w:val="center"/>
          </w:tcPr>
          <w:p w14:paraId="7A4152C9" w14:textId="77777777" w:rsidR="00EF48AB" w:rsidRPr="00E944BC" w:rsidRDefault="00EF48AB" w:rsidP="00744B25">
            <w:pPr>
              <w:autoSpaceDE w:val="0"/>
              <w:autoSpaceDN w:val="0"/>
              <w:adjustRightInd w:val="0"/>
              <w:spacing w:line="320" w:lineRule="atLeast"/>
              <w:ind w:left="60" w:right="60"/>
              <w:jc w:val="center"/>
              <w:rPr>
                <w:rFonts w:cstheme="majorBidi"/>
                <w:color w:val="000000"/>
              </w:rPr>
            </w:pPr>
            <w:r w:rsidRPr="00E944BC">
              <w:rPr>
                <w:rFonts w:cstheme="majorBidi"/>
                <w:color w:val="000000"/>
              </w:rPr>
              <w:t>515.612</w:t>
            </w:r>
          </w:p>
        </w:tc>
        <w:tc>
          <w:tcPr>
            <w:tcW w:w="1440" w:type="dxa"/>
            <w:tcBorders>
              <w:bottom w:val="nil"/>
            </w:tcBorders>
            <w:vAlign w:val="center"/>
          </w:tcPr>
          <w:p w14:paraId="3711D691" w14:textId="77777777" w:rsidR="00EF48AB" w:rsidRPr="00E944BC" w:rsidRDefault="00EF48AB" w:rsidP="00744B25">
            <w:pPr>
              <w:autoSpaceDE w:val="0"/>
              <w:autoSpaceDN w:val="0"/>
              <w:adjustRightInd w:val="0"/>
              <w:jc w:val="center"/>
              <w:rPr>
                <w:rFonts w:cstheme="majorBidi"/>
              </w:rPr>
            </w:pPr>
          </w:p>
        </w:tc>
        <w:tc>
          <w:tcPr>
            <w:tcW w:w="1170" w:type="dxa"/>
            <w:tcBorders>
              <w:bottom w:val="nil"/>
            </w:tcBorders>
            <w:vAlign w:val="center"/>
          </w:tcPr>
          <w:p w14:paraId="426141BB" w14:textId="77777777" w:rsidR="00EF48AB" w:rsidRPr="00E944BC" w:rsidRDefault="00EF48AB" w:rsidP="00744B25">
            <w:pPr>
              <w:autoSpaceDE w:val="0"/>
              <w:autoSpaceDN w:val="0"/>
              <w:adjustRightInd w:val="0"/>
              <w:jc w:val="center"/>
              <w:rPr>
                <w:rFonts w:cstheme="majorBidi"/>
              </w:rPr>
            </w:pPr>
          </w:p>
        </w:tc>
        <w:tc>
          <w:tcPr>
            <w:tcW w:w="1530" w:type="dxa"/>
            <w:tcBorders>
              <w:bottom w:val="nil"/>
            </w:tcBorders>
            <w:vAlign w:val="center"/>
          </w:tcPr>
          <w:p w14:paraId="28238099" w14:textId="77777777" w:rsidR="00EF48AB" w:rsidRPr="00E944BC" w:rsidRDefault="00EF48AB" w:rsidP="00744B25">
            <w:pPr>
              <w:autoSpaceDE w:val="0"/>
              <w:autoSpaceDN w:val="0"/>
              <w:adjustRightInd w:val="0"/>
              <w:jc w:val="center"/>
              <w:rPr>
                <w:rFonts w:cstheme="majorBidi"/>
              </w:rPr>
            </w:pPr>
          </w:p>
        </w:tc>
      </w:tr>
      <w:tr w:rsidR="00EF48AB" w14:paraId="599BEC01" w14:textId="77777777" w:rsidTr="00744B25">
        <w:trPr>
          <w:jc w:val="center"/>
        </w:trPr>
        <w:tc>
          <w:tcPr>
            <w:tcW w:w="2216" w:type="dxa"/>
            <w:vMerge/>
          </w:tcPr>
          <w:p w14:paraId="7A90CAC1" w14:textId="77777777" w:rsidR="00EF48AB" w:rsidRDefault="00EF48AB" w:rsidP="00744B25">
            <w:pPr>
              <w:jc w:val="both"/>
              <w:rPr>
                <w:rFonts w:ascii="Times New Roman" w:hAnsi="Times New Roman" w:cs="Times New Roman"/>
                <w:sz w:val="24"/>
                <w:szCs w:val="24"/>
              </w:rPr>
            </w:pPr>
          </w:p>
        </w:tc>
        <w:tc>
          <w:tcPr>
            <w:tcW w:w="1844" w:type="dxa"/>
          </w:tcPr>
          <w:p w14:paraId="1FBF55D0" w14:textId="77777777" w:rsidR="00EF48AB" w:rsidRPr="00E944BC" w:rsidRDefault="00EF48AB" w:rsidP="00744B25">
            <w:pPr>
              <w:autoSpaceDE w:val="0"/>
              <w:autoSpaceDN w:val="0"/>
              <w:adjustRightInd w:val="0"/>
              <w:spacing w:line="320" w:lineRule="atLeast"/>
              <w:ind w:left="60" w:right="60"/>
              <w:rPr>
                <w:rFonts w:cstheme="majorBidi"/>
                <w:color w:val="000000"/>
              </w:rPr>
            </w:pPr>
            <w:r w:rsidRPr="00E944BC">
              <w:rPr>
                <w:rFonts w:cstheme="majorBidi"/>
                <w:color w:val="000000"/>
              </w:rPr>
              <w:t>General</w:t>
            </w:r>
          </w:p>
        </w:tc>
        <w:tc>
          <w:tcPr>
            <w:tcW w:w="1610" w:type="dxa"/>
            <w:tcBorders>
              <w:top w:val="nil"/>
            </w:tcBorders>
            <w:vAlign w:val="center"/>
          </w:tcPr>
          <w:p w14:paraId="0A4BBE3E" w14:textId="77777777" w:rsidR="00EF48AB" w:rsidRPr="00E944BC" w:rsidRDefault="00EF48AB" w:rsidP="00744B25">
            <w:pPr>
              <w:autoSpaceDE w:val="0"/>
              <w:autoSpaceDN w:val="0"/>
              <w:adjustRightInd w:val="0"/>
              <w:spacing w:line="320" w:lineRule="atLeast"/>
              <w:ind w:left="60" w:right="60"/>
              <w:jc w:val="center"/>
              <w:rPr>
                <w:rFonts w:cstheme="majorBidi"/>
                <w:color w:val="000000"/>
              </w:rPr>
            </w:pPr>
            <w:r w:rsidRPr="00E944BC">
              <w:rPr>
                <w:rFonts w:cstheme="majorBidi"/>
                <w:color w:val="000000"/>
              </w:rPr>
              <w:t>491.032</w:t>
            </w:r>
          </w:p>
        </w:tc>
        <w:tc>
          <w:tcPr>
            <w:tcW w:w="1440" w:type="dxa"/>
            <w:tcBorders>
              <w:top w:val="nil"/>
            </w:tcBorders>
            <w:vAlign w:val="center"/>
          </w:tcPr>
          <w:p w14:paraId="16CE1469" w14:textId="77777777" w:rsidR="00EF48AB" w:rsidRPr="00E944BC" w:rsidRDefault="00EF48AB" w:rsidP="00744B25">
            <w:pPr>
              <w:autoSpaceDE w:val="0"/>
              <w:autoSpaceDN w:val="0"/>
              <w:adjustRightInd w:val="0"/>
              <w:spacing w:line="320" w:lineRule="atLeast"/>
              <w:ind w:left="60" w:right="60"/>
              <w:jc w:val="center"/>
              <w:rPr>
                <w:rFonts w:cstheme="majorBidi"/>
                <w:color w:val="000000"/>
              </w:rPr>
            </w:pPr>
            <w:r w:rsidRPr="00E944BC">
              <w:rPr>
                <w:rFonts w:cstheme="majorBidi"/>
                <w:color w:val="000000"/>
              </w:rPr>
              <w:t>24.580</w:t>
            </w:r>
          </w:p>
        </w:tc>
        <w:tc>
          <w:tcPr>
            <w:tcW w:w="1170" w:type="dxa"/>
            <w:tcBorders>
              <w:top w:val="nil"/>
            </w:tcBorders>
            <w:vAlign w:val="center"/>
          </w:tcPr>
          <w:p w14:paraId="7AF1C959" w14:textId="77777777" w:rsidR="00EF48AB" w:rsidRPr="00E944BC" w:rsidRDefault="00EF48AB" w:rsidP="00744B25">
            <w:pPr>
              <w:autoSpaceDE w:val="0"/>
              <w:autoSpaceDN w:val="0"/>
              <w:adjustRightInd w:val="0"/>
              <w:spacing w:line="320" w:lineRule="atLeast"/>
              <w:ind w:left="60" w:right="60"/>
              <w:jc w:val="center"/>
              <w:rPr>
                <w:rFonts w:cstheme="majorBidi"/>
                <w:color w:val="000000"/>
              </w:rPr>
            </w:pPr>
            <w:r w:rsidRPr="00E944BC">
              <w:rPr>
                <w:rFonts w:cstheme="majorBidi"/>
                <w:color w:val="000000"/>
              </w:rPr>
              <w:t>19</w:t>
            </w:r>
          </w:p>
        </w:tc>
        <w:tc>
          <w:tcPr>
            <w:tcW w:w="1530" w:type="dxa"/>
            <w:tcBorders>
              <w:top w:val="nil"/>
            </w:tcBorders>
            <w:vAlign w:val="center"/>
          </w:tcPr>
          <w:p w14:paraId="28C646EE" w14:textId="77777777" w:rsidR="00EF48AB" w:rsidRPr="00E944BC" w:rsidRDefault="00EF48AB" w:rsidP="00744B25">
            <w:pPr>
              <w:autoSpaceDE w:val="0"/>
              <w:autoSpaceDN w:val="0"/>
              <w:adjustRightInd w:val="0"/>
              <w:spacing w:line="320" w:lineRule="atLeast"/>
              <w:ind w:left="60" w:right="60"/>
              <w:jc w:val="center"/>
              <w:rPr>
                <w:rFonts w:cstheme="majorBidi"/>
                <w:color w:val="000000"/>
              </w:rPr>
            </w:pPr>
            <w:r w:rsidRPr="00E944BC">
              <w:rPr>
                <w:rFonts w:cstheme="majorBidi"/>
                <w:color w:val="000000"/>
              </w:rPr>
              <w:t>.175</w:t>
            </w:r>
          </w:p>
        </w:tc>
      </w:tr>
    </w:tbl>
    <w:p w14:paraId="4DB9D082" w14:textId="77777777" w:rsidR="00EF48AB" w:rsidRPr="00212F71" w:rsidRDefault="00EF48AB" w:rsidP="00EF48AB">
      <w:pPr>
        <w:jc w:val="both"/>
        <w:rPr>
          <w:rFonts w:ascii="Times New Roman" w:hAnsi="Times New Roman" w:cs="Times New Roman"/>
        </w:rPr>
      </w:pPr>
    </w:p>
    <w:p w14:paraId="6C80E583" w14:textId="77777777" w:rsidR="00EF48AB" w:rsidRPr="00212F71" w:rsidRDefault="00EF48AB" w:rsidP="00EF48AB">
      <w:pPr>
        <w:jc w:val="both"/>
        <w:rPr>
          <w:rFonts w:ascii="BookAntiqua" w:hAnsi="BookAntiqua" w:cs="BookAntiqua"/>
        </w:rPr>
      </w:pPr>
      <w:r w:rsidRPr="00212F71">
        <w:rPr>
          <w:rFonts w:ascii="Times New Roman" w:hAnsi="Times New Roman" w:cs="Times New Roman"/>
        </w:rPr>
        <w:t>Now, it is important to make the test of parallel lines. The null hypothesis in the test of parallel lines states that the location parameters (slope coefficients) are the same across response categories.</w:t>
      </w:r>
    </w:p>
    <w:p w14:paraId="27F1CE13" w14:textId="6C5457EE" w:rsidR="00EF48AB" w:rsidRPr="00212F71" w:rsidRDefault="00534852" w:rsidP="00EF48AB">
      <w:pPr>
        <w:autoSpaceDE w:val="0"/>
        <w:autoSpaceDN w:val="0"/>
        <w:adjustRightInd w:val="0"/>
        <w:spacing w:after="0" w:line="240" w:lineRule="auto"/>
        <w:jc w:val="both"/>
        <w:rPr>
          <w:rFonts w:cstheme="majorBidi"/>
        </w:rPr>
      </w:pPr>
      <w:r w:rsidRPr="00212F71">
        <w:rPr>
          <w:rFonts w:ascii="Times New Roman" w:hAnsi="Times New Roman" w:cs="Times New Roman"/>
        </w:rPr>
        <w:t xml:space="preserve">Parallel Lines: </w:t>
      </w:r>
      <w:r w:rsidR="00EF48AB" w:rsidRPr="00212F71">
        <w:rPr>
          <w:rFonts w:ascii="Times New Roman" w:hAnsi="Times New Roman" w:cs="Times New Roman"/>
        </w:rPr>
        <w:t xml:space="preserve">One of the assumptions underlying </w:t>
      </w:r>
      <w:r w:rsidRPr="00212F71">
        <w:rPr>
          <w:rFonts w:ascii="Times New Roman" w:hAnsi="Times New Roman" w:cs="Times New Roman"/>
        </w:rPr>
        <w:t>O</w:t>
      </w:r>
      <w:r w:rsidR="00EF48AB" w:rsidRPr="00212F71">
        <w:rPr>
          <w:rFonts w:ascii="Times New Roman" w:hAnsi="Times New Roman" w:cs="Times New Roman"/>
        </w:rPr>
        <w:t xml:space="preserve">rdinal </w:t>
      </w:r>
      <w:r w:rsidRPr="00212F71">
        <w:rPr>
          <w:rFonts w:ascii="Times New Roman" w:hAnsi="Times New Roman" w:cs="Times New Roman"/>
        </w:rPr>
        <w:t>L</w:t>
      </w:r>
      <w:r w:rsidR="00EF48AB" w:rsidRPr="00212F71">
        <w:rPr>
          <w:rFonts w:ascii="Times New Roman" w:hAnsi="Times New Roman" w:cs="Times New Roman"/>
        </w:rPr>
        <w:t xml:space="preserve">ogistic </w:t>
      </w:r>
      <w:r w:rsidRPr="00212F71">
        <w:rPr>
          <w:rFonts w:ascii="Times New Roman" w:hAnsi="Times New Roman" w:cs="Times New Roman"/>
        </w:rPr>
        <w:t>R</w:t>
      </w:r>
      <w:r w:rsidR="00EF48AB" w:rsidRPr="00212F71">
        <w:rPr>
          <w:rFonts w:ascii="Times New Roman" w:hAnsi="Times New Roman" w:cs="Times New Roman"/>
        </w:rPr>
        <w:t xml:space="preserve">egression is that the relationship </w:t>
      </w:r>
      <w:r w:rsidR="00EF48AB" w:rsidRPr="00212F71">
        <w:rPr>
          <w:rFonts w:cstheme="majorBidi"/>
        </w:rPr>
        <w:t xml:space="preserve">between each pair of outcome groups is the same. This is commonly referred to as the test of </w:t>
      </w:r>
      <w:r w:rsidRPr="00212F71">
        <w:rPr>
          <w:rFonts w:cstheme="majorBidi"/>
        </w:rPr>
        <w:t>P</w:t>
      </w:r>
      <w:r w:rsidR="00EF48AB" w:rsidRPr="00212F71">
        <w:rPr>
          <w:rFonts w:cstheme="majorBidi"/>
        </w:rPr>
        <w:t xml:space="preserve">arallel </w:t>
      </w:r>
      <w:r w:rsidRPr="00212F71">
        <w:rPr>
          <w:rFonts w:cstheme="majorBidi"/>
        </w:rPr>
        <w:t>L</w:t>
      </w:r>
      <w:r w:rsidR="00EF48AB" w:rsidRPr="00212F71">
        <w:rPr>
          <w:rFonts w:cstheme="majorBidi"/>
        </w:rPr>
        <w:t>ines because the null hypothesis states that the slope coefficients in the model are the same across response categories (and lines of the same slope are parallel). If we fail to reject the null hypothesis, we conclude that the assumption holds.</w:t>
      </w:r>
    </w:p>
    <w:p w14:paraId="027B6F92" w14:textId="77777777" w:rsidR="00EF48AB" w:rsidRPr="00212F71" w:rsidRDefault="00EF48AB" w:rsidP="00EF48AB">
      <w:pPr>
        <w:autoSpaceDE w:val="0"/>
        <w:autoSpaceDN w:val="0"/>
        <w:adjustRightInd w:val="0"/>
        <w:spacing w:after="0" w:line="240" w:lineRule="auto"/>
        <w:jc w:val="both"/>
        <w:rPr>
          <w:rFonts w:cstheme="majorBidi"/>
        </w:rPr>
      </w:pPr>
    </w:p>
    <w:p w14:paraId="5473DE26" w14:textId="31750431" w:rsidR="00EF48AB" w:rsidRPr="00212F71" w:rsidRDefault="00EF48AB" w:rsidP="00EF48AB">
      <w:pPr>
        <w:autoSpaceDE w:val="0"/>
        <w:autoSpaceDN w:val="0"/>
        <w:adjustRightInd w:val="0"/>
        <w:spacing w:after="0" w:line="240" w:lineRule="auto"/>
        <w:jc w:val="both"/>
        <w:rPr>
          <w:rFonts w:cstheme="majorBidi"/>
        </w:rPr>
      </w:pPr>
      <w:r w:rsidRPr="00212F71">
        <w:rPr>
          <w:rFonts w:cstheme="majorBidi"/>
        </w:rPr>
        <w:t xml:space="preserve">As shown in table </w:t>
      </w:r>
      <w:r w:rsidR="00534852" w:rsidRPr="00212F71">
        <w:rPr>
          <w:rFonts w:cstheme="majorBidi"/>
        </w:rPr>
        <w:t>22</w:t>
      </w:r>
      <w:r w:rsidRPr="00212F71">
        <w:rPr>
          <w:rFonts w:cstheme="majorBidi"/>
        </w:rPr>
        <w:t xml:space="preserve"> for </w:t>
      </w:r>
      <w:r w:rsidR="00534852" w:rsidRPr="00212F71">
        <w:rPr>
          <w:rFonts w:cstheme="majorBidi"/>
        </w:rPr>
        <w:t>Model (2)</w:t>
      </w:r>
      <w:r w:rsidRPr="00212F71">
        <w:rPr>
          <w:rFonts w:cstheme="majorBidi"/>
        </w:rPr>
        <w:t>,</w:t>
      </w:r>
      <w:r w:rsidR="00D1359D" w:rsidRPr="00212F71">
        <w:rPr>
          <w:rFonts w:cstheme="majorBidi"/>
        </w:rPr>
        <w:t xml:space="preserve"> the P</w:t>
      </w:r>
      <w:r w:rsidRPr="00212F71">
        <w:rPr>
          <w:rFonts w:cstheme="majorBidi"/>
        </w:rPr>
        <w:t xml:space="preserve">arallel </w:t>
      </w:r>
      <w:r w:rsidR="00D1359D" w:rsidRPr="00212F71">
        <w:rPr>
          <w:rFonts w:cstheme="majorBidi"/>
        </w:rPr>
        <w:t>L</w:t>
      </w:r>
      <w:r w:rsidRPr="00212F71">
        <w:rPr>
          <w:rFonts w:cstheme="majorBidi"/>
        </w:rPr>
        <w:t xml:space="preserve">ine test for </w:t>
      </w:r>
      <w:r w:rsidR="00D1359D" w:rsidRPr="00212F71">
        <w:rPr>
          <w:rFonts w:cstheme="majorBidi"/>
        </w:rPr>
        <w:t>the</w:t>
      </w:r>
      <w:r w:rsidRPr="00212F71">
        <w:rPr>
          <w:rFonts w:cstheme="majorBidi"/>
        </w:rPr>
        <w:t xml:space="preserve"> model is 427.999 with </w:t>
      </w:r>
      <w:r w:rsidR="00D1359D" w:rsidRPr="00212F71">
        <w:rPr>
          <w:rFonts w:cstheme="majorBidi"/>
        </w:rPr>
        <w:t>C</w:t>
      </w:r>
      <w:r w:rsidRPr="00212F71">
        <w:rPr>
          <w:rFonts w:cstheme="majorBidi"/>
        </w:rPr>
        <w:t>hi square value 11.970 and p-value= 0.366 which is greater than the 5% level of significance</w:t>
      </w:r>
      <w:r w:rsidR="00D1359D" w:rsidRPr="00212F71">
        <w:rPr>
          <w:rFonts w:cstheme="majorBidi"/>
        </w:rPr>
        <w:t xml:space="preserve">. This indicates a </w:t>
      </w:r>
      <w:r w:rsidRPr="00212F71">
        <w:rPr>
          <w:rFonts w:cstheme="majorBidi"/>
        </w:rPr>
        <w:t>fail</w:t>
      </w:r>
      <w:r w:rsidR="00D1359D" w:rsidRPr="00212F71">
        <w:rPr>
          <w:rFonts w:cstheme="majorBidi"/>
        </w:rPr>
        <w:t>ure</w:t>
      </w:r>
      <w:r w:rsidRPr="00212F71">
        <w:rPr>
          <w:rFonts w:cstheme="majorBidi"/>
        </w:rPr>
        <w:t xml:space="preserve"> to reject the null hypothesis. Thus, the proportional odds assumption appears </w:t>
      </w:r>
      <w:r w:rsidR="00495143" w:rsidRPr="00212F71">
        <w:rPr>
          <w:rFonts w:cstheme="majorBidi"/>
        </w:rPr>
        <w:t>to hold</w:t>
      </w:r>
      <w:r w:rsidRPr="00212F71">
        <w:rPr>
          <w:rFonts w:cstheme="majorBidi"/>
        </w:rPr>
        <w:t xml:space="preserve"> for </w:t>
      </w:r>
      <w:r w:rsidR="00495143" w:rsidRPr="00212F71">
        <w:rPr>
          <w:rFonts w:cstheme="majorBidi"/>
        </w:rPr>
        <w:t>the general</w:t>
      </w:r>
      <w:r w:rsidRPr="00212F71">
        <w:rPr>
          <w:rFonts w:cstheme="majorBidi"/>
        </w:rPr>
        <w:t xml:space="preserve"> model. Also, the same result is obtained for </w:t>
      </w:r>
      <w:r w:rsidR="00495143" w:rsidRPr="00212F71">
        <w:rPr>
          <w:rFonts w:cstheme="majorBidi"/>
        </w:rPr>
        <w:t>Model (2)</w:t>
      </w:r>
      <w:r w:rsidRPr="00212F71">
        <w:rPr>
          <w:rFonts w:cstheme="majorBidi"/>
        </w:rPr>
        <w:t xml:space="preserve"> model as </w:t>
      </w:r>
      <w:r w:rsidR="00495143" w:rsidRPr="00212F71">
        <w:rPr>
          <w:rFonts w:cstheme="majorBidi"/>
        </w:rPr>
        <w:t>P</w:t>
      </w:r>
      <w:r w:rsidRPr="00212F71">
        <w:rPr>
          <w:rFonts w:cstheme="majorBidi"/>
        </w:rPr>
        <w:t xml:space="preserve">-value = 0.175, which is greater than 0.05.  </w:t>
      </w:r>
    </w:p>
    <w:p w14:paraId="7C1E34CA" w14:textId="77777777" w:rsidR="00EF48AB" w:rsidRDefault="00EF48AB" w:rsidP="00EF48AB">
      <w:pPr>
        <w:autoSpaceDE w:val="0"/>
        <w:autoSpaceDN w:val="0"/>
        <w:adjustRightInd w:val="0"/>
        <w:spacing w:after="0" w:line="240" w:lineRule="auto"/>
        <w:rPr>
          <w:rFonts w:ascii="BookAntiqua" w:hAnsi="BookAntiqua" w:cs="BookAntiqua"/>
          <w:sz w:val="20"/>
          <w:szCs w:val="20"/>
        </w:rPr>
      </w:pPr>
    </w:p>
    <w:p w14:paraId="04F63859" w14:textId="06F67479" w:rsidR="00D65CA5" w:rsidRDefault="00D65CA5" w:rsidP="00DE108C">
      <w:pPr>
        <w:pStyle w:val="Heading1"/>
        <w:numPr>
          <w:ilvl w:val="0"/>
          <w:numId w:val="25"/>
        </w:numPr>
        <w:spacing w:line="276" w:lineRule="auto"/>
        <w:rPr>
          <w:lang w:val="en-GB"/>
        </w:rPr>
      </w:pPr>
      <w:bookmarkStart w:id="61" w:name="_Toc91107887"/>
      <w:bookmarkStart w:id="62" w:name="_Toc91438057"/>
      <w:r w:rsidRPr="00032DA6">
        <w:rPr>
          <w:lang w:val="en-GB"/>
        </w:rPr>
        <w:t>Discussion</w:t>
      </w:r>
      <w:bookmarkEnd w:id="61"/>
      <w:bookmarkEnd w:id="62"/>
    </w:p>
    <w:p w14:paraId="06E19AAF" w14:textId="200F2613" w:rsidR="007777B8" w:rsidRPr="00F02641" w:rsidRDefault="00164BD7" w:rsidP="007F52CC">
      <w:pPr>
        <w:tabs>
          <w:tab w:val="left" w:pos="1710"/>
        </w:tabs>
        <w:spacing w:line="276" w:lineRule="auto"/>
        <w:jc w:val="both"/>
        <w:rPr>
          <w:rFonts w:cstheme="majorBidi"/>
          <w:shd w:val="clear" w:color="auto" w:fill="FFFFFF"/>
          <w:lang w:val="en-GB"/>
        </w:rPr>
      </w:pPr>
      <w:r w:rsidRPr="00F02641">
        <w:rPr>
          <w:rFonts w:cstheme="majorBidi"/>
          <w:shd w:val="clear" w:color="auto" w:fill="FFFFFF"/>
          <w:lang w:val="en-GB"/>
        </w:rPr>
        <w:t>Reflecting on the above results of the descriptive analysis as well as the empirical model that examined the interaction between the EHPI and the</w:t>
      </w:r>
      <w:r w:rsidR="00654395" w:rsidRPr="00F02641">
        <w:rPr>
          <w:rFonts w:cstheme="majorBidi"/>
          <w:shd w:val="clear" w:color="auto" w:fill="FFFFFF"/>
          <w:lang w:val="en-GB"/>
        </w:rPr>
        <w:t xml:space="preserve"> hypothesized determinants, </w:t>
      </w:r>
      <w:r w:rsidR="00776F8E" w:rsidRPr="00F02641">
        <w:rPr>
          <w:rFonts w:cstheme="majorBidi"/>
          <w:shd w:val="clear" w:color="auto" w:fill="FFFFFF"/>
          <w:lang w:val="en-GB"/>
        </w:rPr>
        <w:t>several</w:t>
      </w:r>
      <w:r w:rsidR="00654395" w:rsidRPr="00F02641">
        <w:rPr>
          <w:rFonts w:cstheme="majorBidi"/>
          <w:shd w:val="clear" w:color="auto" w:fill="FFFFFF"/>
          <w:lang w:val="en-GB"/>
        </w:rPr>
        <w:t xml:space="preserve"> </w:t>
      </w:r>
      <w:r w:rsidR="00E402C9" w:rsidRPr="00F02641">
        <w:rPr>
          <w:rFonts w:cstheme="majorBidi"/>
          <w:shd w:val="clear" w:color="auto" w:fill="FFFFFF"/>
          <w:lang w:val="en-GB"/>
        </w:rPr>
        <w:t>results can be concluded.</w:t>
      </w:r>
    </w:p>
    <w:p w14:paraId="273D97C2" w14:textId="570FDF2B" w:rsidR="007777B8" w:rsidRPr="00131A83" w:rsidRDefault="00925367" w:rsidP="007F52CC">
      <w:pPr>
        <w:spacing w:line="276" w:lineRule="auto"/>
        <w:jc w:val="both"/>
        <w:rPr>
          <w:rFonts w:cstheme="majorBidi"/>
          <w:lang w:val="en-GB"/>
        </w:rPr>
      </w:pPr>
      <w:r w:rsidRPr="00925367">
        <w:rPr>
          <w:rFonts w:cstheme="majorBidi"/>
          <w:i/>
          <w:iCs/>
          <w:shd w:val="clear" w:color="auto" w:fill="FFFFFF"/>
          <w:lang w:val="en-GB"/>
        </w:rPr>
        <w:t>Determinants of housing prices in Egypt</w:t>
      </w:r>
      <w:r>
        <w:rPr>
          <w:rFonts w:cstheme="majorBidi"/>
          <w:shd w:val="clear" w:color="auto" w:fill="FFFFFF"/>
          <w:lang w:val="en-GB"/>
        </w:rPr>
        <w:t xml:space="preserve">. </w:t>
      </w:r>
      <w:r w:rsidR="00E402C9" w:rsidRPr="00F02641">
        <w:rPr>
          <w:rFonts w:cstheme="majorBidi"/>
          <w:shd w:val="clear" w:color="auto" w:fill="FFFFFF"/>
          <w:lang w:val="en-GB"/>
        </w:rPr>
        <w:t xml:space="preserve">Primarily, </w:t>
      </w:r>
      <w:r w:rsidR="003A59D7" w:rsidRPr="00F02641">
        <w:rPr>
          <w:rFonts w:cstheme="majorBidi"/>
          <w:shd w:val="clear" w:color="auto" w:fill="FFFFFF"/>
          <w:lang w:val="en-GB"/>
        </w:rPr>
        <w:t xml:space="preserve">according to the </w:t>
      </w:r>
      <w:r w:rsidR="00F95764" w:rsidRPr="00F02641">
        <w:rPr>
          <w:rFonts w:cstheme="majorBidi"/>
          <w:shd w:val="clear" w:color="auto" w:fill="FFFFFF"/>
          <w:lang w:val="en-GB"/>
        </w:rPr>
        <w:t xml:space="preserve">statistical and empirical results, </w:t>
      </w:r>
      <w:r w:rsidR="00242ABF" w:rsidRPr="00F02641">
        <w:rPr>
          <w:rFonts w:cstheme="majorBidi"/>
          <w:shd w:val="clear" w:color="auto" w:fill="FFFFFF"/>
          <w:lang w:val="en-GB"/>
        </w:rPr>
        <w:t>L</w:t>
      </w:r>
      <w:r w:rsidR="00F95764" w:rsidRPr="00F02641">
        <w:rPr>
          <w:rFonts w:cstheme="majorBidi"/>
          <w:lang w:val="en-GB"/>
        </w:rPr>
        <w:t>and</w:t>
      </w:r>
      <w:r w:rsidR="00123605">
        <w:rPr>
          <w:rFonts w:cstheme="majorBidi"/>
          <w:lang w:val="en-GB"/>
        </w:rPr>
        <w:t xml:space="preserve"> </w:t>
      </w:r>
      <w:r w:rsidR="00894E57" w:rsidRPr="00F02641">
        <w:rPr>
          <w:rFonts w:cstheme="majorBidi"/>
          <w:lang w:val="en-GB"/>
        </w:rPr>
        <w:t xml:space="preserve">construction </w:t>
      </w:r>
      <w:r w:rsidR="00242ABF" w:rsidRPr="00F02641">
        <w:rPr>
          <w:rFonts w:cstheme="majorBidi"/>
          <w:lang w:val="en-GB"/>
        </w:rPr>
        <w:t xml:space="preserve">and licensing costs are perceived as main determinants of housing prices in the Egyptian market. </w:t>
      </w:r>
      <w:r w:rsidR="00D55BCA" w:rsidRPr="00F02641">
        <w:rPr>
          <w:rFonts w:cstheme="majorBidi"/>
        </w:rPr>
        <w:t xml:space="preserve">Government </w:t>
      </w:r>
      <w:r w:rsidR="00242ABF" w:rsidRPr="00F02641">
        <w:rPr>
          <w:rFonts w:cstheme="majorBidi"/>
        </w:rPr>
        <w:t xml:space="preserve">real estate and </w:t>
      </w:r>
      <w:r w:rsidR="00D55BCA" w:rsidRPr="00F02641">
        <w:rPr>
          <w:rFonts w:cstheme="majorBidi"/>
        </w:rPr>
        <w:t xml:space="preserve">housing policies (such as the recent </w:t>
      </w:r>
      <w:r w:rsidR="00242ABF" w:rsidRPr="00F02641">
        <w:rPr>
          <w:rFonts w:cstheme="majorBidi"/>
        </w:rPr>
        <w:t xml:space="preserve">decision </w:t>
      </w:r>
      <w:r w:rsidR="00E20EFD" w:rsidRPr="00F02641">
        <w:rPr>
          <w:rFonts w:cstheme="majorBidi"/>
        </w:rPr>
        <w:t xml:space="preserve">on </w:t>
      </w:r>
      <w:r w:rsidR="00D55BCA" w:rsidRPr="00F02641">
        <w:rPr>
          <w:rFonts w:cstheme="majorBidi"/>
        </w:rPr>
        <w:t xml:space="preserve">suspending housing </w:t>
      </w:r>
      <w:r w:rsidR="00040E5A" w:rsidRPr="00F02641">
        <w:rPr>
          <w:rFonts w:cstheme="majorBidi"/>
        </w:rPr>
        <w:t>permits) also</w:t>
      </w:r>
      <w:r w:rsidR="003A303B" w:rsidRPr="00F02641">
        <w:rPr>
          <w:rFonts w:cstheme="majorBidi"/>
        </w:rPr>
        <w:t xml:space="preserve"> constitute a significant factor affecting </w:t>
      </w:r>
      <w:r w:rsidR="00BC26D6" w:rsidRPr="00F02641">
        <w:rPr>
          <w:rFonts w:cstheme="majorBidi"/>
        </w:rPr>
        <w:t>housing prices. S</w:t>
      </w:r>
      <w:r w:rsidR="00D55BCA" w:rsidRPr="00F02641">
        <w:rPr>
          <w:rFonts w:cstheme="majorBidi"/>
        </w:rPr>
        <w:t xml:space="preserve">hocks and crises </w:t>
      </w:r>
      <w:r w:rsidR="00BC26D6" w:rsidRPr="00F02641">
        <w:rPr>
          <w:rFonts w:cstheme="majorBidi"/>
        </w:rPr>
        <w:t xml:space="preserve">-represented in the recent COVID19 shock- is also proven to be significant factor </w:t>
      </w:r>
      <w:r w:rsidR="00B27E75" w:rsidRPr="00F02641">
        <w:rPr>
          <w:rFonts w:cstheme="majorBidi"/>
        </w:rPr>
        <w:t xml:space="preserve">impacting </w:t>
      </w:r>
      <w:r w:rsidR="00D55BCA" w:rsidRPr="00F02641">
        <w:rPr>
          <w:rFonts w:cstheme="majorBidi"/>
        </w:rPr>
        <w:t>housing prices and expectation</w:t>
      </w:r>
      <w:r w:rsidR="00E14127" w:rsidRPr="00F02641">
        <w:rPr>
          <w:rFonts w:cstheme="majorBidi"/>
        </w:rPr>
        <w:t>s</w:t>
      </w:r>
      <w:r w:rsidR="00D55BCA" w:rsidRPr="00F02641">
        <w:rPr>
          <w:rFonts w:cstheme="majorBidi"/>
        </w:rPr>
        <w:t xml:space="preserve"> in the Egyptian market.</w:t>
      </w:r>
      <w:r w:rsidR="00C54976">
        <w:rPr>
          <w:rFonts w:cstheme="majorBidi"/>
        </w:rPr>
        <w:t xml:space="preserve"> </w:t>
      </w:r>
      <w:r w:rsidR="0087379C">
        <w:rPr>
          <w:rFonts w:cstheme="majorBidi"/>
          <w:lang w:val="en-GB"/>
        </w:rPr>
        <w:t>On the contrary</w:t>
      </w:r>
      <w:r w:rsidR="008E7019">
        <w:rPr>
          <w:rFonts w:cstheme="majorBidi"/>
          <w:lang w:val="en-GB"/>
        </w:rPr>
        <w:t xml:space="preserve">, </w:t>
      </w:r>
      <w:r w:rsidR="006221CE">
        <w:rPr>
          <w:rFonts w:cstheme="majorBidi"/>
          <w:lang w:val="en-GB"/>
        </w:rPr>
        <w:t>some</w:t>
      </w:r>
      <w:r w:rsidR="008E7019">
        <w:rPr>
          <w:rFonts w:cstheme="majorBidi"/>
          <w:lang w:val="en-GB"/>
        </w:rPr>
        <w:t xml:space="preserve"> macro financial fundamentals such as i</w:t>
      </w:r>
      <w:r w:rsidR="00572D84">
        <w:rPr>
          <w:rFonts w:cstheme="majorBidi"/>
          <w:shd w:val="clear" w:color="auto" w:fill="FFFFFF"/>
          <w:lang w:val="en-GB"/>
        </w:rPr>
        <w:t>nflation</w:t>
      </w:r>
      <w:r w:rsidR="00F02641">
        <w:rPr>
          <w:rFonts w:cstheme="majorBidi"/>
          <w:shd w:val="clear" w:color="auto" w:fill="FFFFFF"/>
          <w:lang w:val="en-GB"/>
        </w:rPr>
        <w:t xml:space="preserve"> and interest rates</w:t>
      </w:r>
      <w:r w:rsidR="005D1480">
        <w:rPr>
          <w:rFonts w:cstheme="majorBidi"/>
          <w:shd w:val="clear" w:color="auto" w:fill="FFFFFF"/>
          <w:lang w:val="en-GB"/>
        </w:rPr>
        <w:t xml:space="preserve"> </w:t>
      </w:r>
      <w:r w:rsidR="008E7019">
        <w:rPr>
          <w:rFonts w:cstheme="majorBidi"/>
          <w:shd w:val="clear" w:color="auto" w:fill="FFFFFF"/>
          <w:lang w:val="en-GB"/>
        </w:rPr>
        <w:t>were not perceived as significant</w:t>
      </w:r>
      <w:r w:rsidR="0087379C">
        <w:rPr>
          <w:rFonts w:cstheme="majorBidi"/>
          <w:shd w:val="clear" w:color="auto" w:fill="FFFFFF"/>
          <w:lang w:val="en-GB"/>
        </w:rPr>
        <w:t xml:space="preserve">. This result is interesting as it might reflect </w:t>
      </w:r>
      <w:r w:rsidR="001412DF">
        <w:rPr>
          <w:rFonts w:cstheme="majorBidi"/>
          <w:shd w:val="clear" w:color="auto" w:fill="FFFFFF"/>
          <w:lang w:val="en-GB"/>
        </w:rPr>
        <w:t>weakness</w:t>
      </w:r>
      <w:r w:rsidR="0087379C">
        <w:rPr>
          <w:rFonts w:cstheme="majorBidi"/>
          <w:shd w:val="clear" w:color="auto" w:fill="FFFFFF"/>
          <w:lang w:val="en-GB"/>
        </w:rPr>
        <w:t xml:space="preserve"> in the monetary </w:t>
      </w:r>
      <w:r w:rsidR="005C5B5F">
        <w:rPr>
          <w:rFonts w:cstheme="majorBidi"/>
          <w:shd w:val="clear" w:color="auto" w:fill="FFFFFF"/>
          <w:lang w:val="en-GB"/>
        </w:rPr>
        <w:t>transmission mechanism in the Egyptian market</w:t>
      </w:r>
      <w:r w:rsidR="00F02641">
        <w:rPr>
          <w:rFonts w:cstheme="majorBidi"/>
          <w:shd w:val="clear" w:color="auto" w:fill="FFFFFF"/>
          <w:lang w:val="en-GB"/>
        </w:rPr>
        <w:t xml:space="preserve"> through the theoretical</w:t>
      </w:r>
      <w:r w:rsidR="002C7862">
        <w:rPr>
          <w:rFonts w:cstheme="majorBidi"/>
          <w:shd w:val="clear" w:color="auto" w:fill="FFFFFF"/>
          <w:lang w:val="en-GB"/>
        </w:rPr>
        <w:t xml:space="preserve">ly explained asset-price mechanism. </w:t>
      </w:r>
      <w:r w:rsidR="00211DC0" w:rsidRPr="00131A83">
        <w:rPr>
          <w:rFonts w:cstheme="majorBidi"/>
          <w:shd w:val="clear" w:color="auto" w:fill="FFFFFF"/>
          <w:lang w:val="en-GB"/>
        </w:rPr>
        <w:t xml:space="preserve">Some variables were perceived as important </w:t>
      </w:r>
      <w:r w:rsidR="00585A23" w:rsidRPr="00131A83">
        <w:rPr>
          <w:rFonts w:cstheme="majorBidi"/>
          <w:shd w:val="clear" w:color="auto" w:fill="FFFFFF"/>
          <w:lang w:val="en-GB"/>
        </w:rPr>
        <w:t xml:space="preserve">in the survey results however, when empirically examined they are found to be insignificant. </w:t>
      </w:r>
      <w:r w:rsidR="0093328B" w:rsidRPr="00131A83">
        <w:rPr>
          <w:rFonts w:cstheme="majorBidi"/>
          <w:shd w:val="clear" w:color="auto" w:fill="FFFFFF"/>
          <w:lang w:val="en-GB"/>
        </w:rPr>
        <w:t xml:space="preserve">These variables are </w:t>
      </w:r>
      <w:r w:rsidR="0078073C">
        <w:rPr>
          <w:rFonts w:cstheme="majorBidi"/>
          <w:lang w:val="en-GB"/>
        </w:rPr>
        <w:t>r</w:t>
      </w:r>
      <w:r w:rsidR="007777B8" w:rsidRPr="00131A83">
        <w:rPr>
          <w:rFonts w:cstheme="majorBidi"/>
          <w:lang w:val="en-GB"/>
        </w:rPr>
        <w:t>eal-estate taxes</w:t>
      </w:r>
      <w:r w:rsidR="00FC6CF1" w:rsidRPr="00131A83">
        <w:rPr>
          <w:rFonts w:cstheme="majorBidi"/>
          <w:lang w:val="en-GB"/>
        </w:rPr>
        <w:t xml:space="preserve"> and </w:t>
      </w:r>
      <w:r w:rsidR="007777B8" w:rsidRPr="00131A83">
        <w:rPr>
          <w:rFonts w:cstheme="majorBidi"/>
          <w:lang w:val="en-GB"/>
        </w:rPr>
        <w:t>fees</w:t>
      </w:r>
      <w:r w:rsidR="00FC6CF1" w:rsidRPr="00131A83">
        <w:rPr>
          <w:rFonts w:cstheme="majorBidi"/>
          <w:lang w:val="en-GB"/>
        </w:rPr>
        <w:t xml:space="preserve">, </w:t>
      </w:r>
      <w:r w:rsidR="0093328B" w:rsidRPr="00131A83">
        <w:rPr>
          <w:rFonts w:cstheme="majorBidi"/>
          <w:lang w:val="en-GB"/>
        </w:rPr>
        <w:t>social housing</w:t>
      </w:r>
      <w:r w:rsidR="00FC6CF1" w:rsidRPr="00131A83">
        <w:rPr>
          <w:rFonts w:cstheme="majorBidi"/>
          <w:lang w:val="en-GB"/>
        </w:rPr>
        <w:t xml:space="preserve"> and the </w:t>
      </w:r>
      <w:r w:rsidR="009E15A6" w:rsidRPr="00131A83">
        <w:rPr>
          <w:rFonts w:cstheme="majorBidi"/>
          <w:lang w:val="en-GB"/>
        </w:rPr>
        <w:t xml:space="preserve">2016 </w:t>
      </w:r>
      <w:r w:rsidR="00FC6CF1" w:rsidRPr="00131A83">
        <w:rPr>
          <w:rFonts w:cstheme="majorBidi"/>
          <w:lang w:val="en-GB"/>
        </w:rPr>
        <w:t>exchange rate dev</w:t>
      </w:r>
      <w:r w:rsidR="009E15A6" w:rsidRPr="00131A83">
        <w:rPr>
          <w:rFonts w:cstheme="majorBidi"/>
          <w:lang w:val="en-GB"/>
        </w:rPr>
        <w:t xml:space="preserve">aluation; all perceived to have a strong effect by respondents, however they were </w:t>
      </w:r>
      <w:r w:rsidR="004D6D68" w:rsidRPr="00131A83">
        <w:rPr>
          <w:rFonts w:cstheme="majorBidi"/>
          <w:lang w:val="en-GB"/>
        </w:rPr>
        <w:t xml:space="preserve">insignificant </w:t>
      </w:r>
      <w:r w:rsidR="00131A83" w:rsidRPr="00131A83">
        <w:rPr>
          <w:rFonts w:cstheme="majorBidi"/>
          <w:lang w:val="en-GB"/>
        </w:rPr>
        <w:t>in the model</w:t>
      </w:r>
      <w:r w:rsidR="007777B8" w:rsidRPr="00131A83">
        <w:rPr>
          <w:rFonts w:cstheme="majorBidi"/>
          <w:lang w:val="en-GB"/>
        </w:rPr>
        <w:t>.</w:t>
      </w:r>
    </w:p>
    <w:p w14:paraId="1DF1C602" w14:textId="2BAD3D92" w:rsidR="00834DA1" w:rsidRDefault="000E372D" w:rsidP="007F52CC">
      <w:pPr>
        <w:tabs>
          <w:tab w:val="left" w:pos="1710"/>
        </w:tabs>
        <w:spacing w:line="276" w:lineRule="auto"/>
        <w:jc w:val="both"/>
        <w:rPr>
          <w:rFonts w:cstheme="majorBidi"/>
          <w:color w:val="FF0000"/>
          <w:shd w:val="clear" w:color="auto" w:fill="FFFFFF"/>
          <w:lang w:val="en-GB"/>
        </w:rPr>
      </w:pPr>
      <w:r w:rsidRPr="000E372D">
        <w:rPr>
          <w:rFonts w:cstheme="majorBidi"/>
          <w:i/>
          <w:iCs/>
          <w:shd w:val="clear" w:color="auto" w:fill="FFFFFF"/>
          <w:lang w:val="en-GB"/>
        </w:rPr>
        <w:t>Investment motivations in normal times and during uncertainty</w:t>
      </w:r>
      <w:r>
        <w:rPr>
          <w:rFonts w:cstheme="majorBidi"/>
          <w:shd w:val="clear" w:color="auto" w:fill="FFFFFF"/>
          <w:lang w:val="en-GB"/>
        </w:rPr>
        <w:t xml:space="preserve">. </w:t>
      </w:r>
      <w:r w:rsidR="00915049">
        <w:rPr>
          <w:rFonts w:cstheme="majorBidi"/>
          <w:shd w:val="clear" w:color="auto" w:fill="FFFFFF"/>
          <w:lang w:val="en-GB"/>
        </w:rPr>
        <w:t xml:space="preserve">During normal times, </w:t>
      </w:r>
      <w:r w:rsidR="007F6886">
        <w:rPr>
          <w:rFonts w:cstheme="majorBidi"/>
          <w:shd w:val="clear" w:color="auto" w:fill="FFFFFF"/>
          <w:lang w:val="en-GB"/>
        </w:rPr>
        <w:t>Egyptians</w:t>
      </w:r>
      <w:r w:rsidR="00386C4E">
        <w:rPr>
          <w:rFonts w:cstheme="majorBidi"/>
          <w:shd w:val="clear" w:color="auto" w:fill="FFFFFF"/>
          <w:lang w:val="en-GB"/>
        </w:rPr>
        <w:t xml:space="preserve"> perceive investme</w:t>
      </w:r>
      <w:r w:rsidR="00683644">
        <w:rPr>
          <w:rFonts w:cstheme="majorBidi"/>
          <w:shd w:val="clear" w:color="auto" w:fill="FFFFFF"/>
          <w:lang w:val="en-GB"/>
        </w:rPr>
        <w:t xml:space="preserve">nt in housing as a </w:t>
      </w:r>
      <w:r w:rsidR="007F6886">
        <w:rPr>
          <w:rFonts w:cstheme="majorBidi"/>
          <w:shd w:val="clear" w:color="auto" w:fill="FFFFFF"/>
          <w:lang w:val="en-GB"/>
        </w:rPr>
        <w:t>good</w:t>
      </w:r>
      <w:r w:rsidR="00683644">
        <w:rPr>
          <w:rFonts w:cstheme="majorBidi"/>
          <w:shd w:val="clear" w:color="auto" w:fill="FFFFFF"/>
          <w:lang w:val="en-GB"/>
        </w:rPr>
        <w:t xml:space="preserve"> source of safe investment</w:t>
      </w:r>
      <w:r w:rsidR="007F6886">
        <w:rPr>
          <w:rFonts w:cstheme="majorBidi"/>
          <w:shd w:val="clear" w:color="auto" w:fill="FFFFFF"/>
          <w:lang w:val="en-GB"/>
        </w:rPr>
        <w:t xml:space="preserve"> following </w:t>
      </w:r>
      <w:r w:rsidR="00915049" w:rsidRPr="007777B8">
        <w:rPr>
          <w:rFonts w:cstheme="majorBidi"/>
          <w:lang w:val="en-GB"/>
        </w:rPr>
        <w:t>savings in bank deposits and certificates</w:t>
      </w:r>
      <w:r w:rsidR="007777B8" w:rsidRPr="007777B8">
        <w:rPr>
          <w:rFonts w:cstheme="majorBidi"/>
          <w:lang w:val="en-GB"/>
        </w:rPr>
        <w:t>.</w:t>
      </w:r>
      <w:r w:rsidR="008C05E9">
        <w:rPr>
          <w:rFonts w:cstheme="majorBidi"/>
          <w:lang w:val="en-GB"/>
        </w:rPr>
        <w:t xml:space="preserve"> </w:t>
      </w:r>
      <w:r w:rsidR="00915049">
        <w:rPr>
          <w:rFonts w:cstheme="majorBidi"/>
          <w:lang w:val="en-GB"/>
        </w:rPr>
        <w:t>Nevertheless, i</w:t>
      </w:r>
      <w:r w:rsidR="007777B8" w:rsidRPr="007777B8">
        <w:rPr>
          <w:rFonts w:cstheme="majorBidi"/>
          <w:lang w:val="en-GB"/>
        </w:rPr>
        <w:t xml:space="preserve">nvestment preferences change significantly </w:t>
      </w:r>
      <w:r w:rsidR="007777B8" w:rsidRPr="00834DA1">
        <w:rPr>
          <w:rFonts w:cstheme="majorBidi"/>
          <w:lang w:val="en-GB"/>
        </w:rPr>
        <w:t>during uncertainty periods</w:t>
      </w:r>
      <w:r w:rsidR="00915049" w:rsidRPr="00834DA1">
        <w:rPr>
          <w:rFonts w:cstheme="majorBidi"/>
          <w:lang w:val="en-GB"/>
        </w:rPr>
        <w:t xml:space="preserve"> where Egyptians would tend to prefer investment in housing as the prime safe investment compared to other investment schemes</w:t>
      </w:r>
      <w:r w:rsidR="007777B8" w:rsidRPr="00834DA1">
        <w:rPr>
          <w:rFonts w:cstheme="majorBidi"/>
          <w:lang w:val="en-GB"/>
        </w:rPr>
        <w:t>.</w:t>
      </w:r>
      <w:r w:rsidR="00834DA1" w:rsidRPr="00834DA1">
        <w:rPr>
          <w:rFonts w:cstheme="majorBidi"/>
          <w:lang w:val="en-GB"/>
        </w:rPr>
        <w:t xml:space="preserve"> Housing investment is perceived by Egyptians as a good</w:t>
      </w:r>
      <w:r w:rsidR="007777B8" w:rsidRPr="00834DA1">
        <w:rPr>
          <w:rFonts w:cstheme="majorBidi"/>
          <w:lang w:val="en-GB"/>
        </w:rPr>
        <w:t xml:space="preserve"> a good hedge against inflation</w:t>
      </w:r>
      <w:r w:rsidR="00834DA1" w:rsidRPr="00834DA1">
        <w:rPr>
          <w:rFonts w:cstheme="majorBidi"/>
          <w:lang w:val="en-GB"/>
        </w:rPr>
        <w:t xml:space="preserve"> and other financial shocks</w:t>
      </w:r>
      <w:r w:rsidR="007777B8" w:rsidRPr="002C0C83">
        <w:rPr>
          <w:rFonts w:cstheme="majorBidi"/>
          <w:shd w:val="clear" w:color="auto" w:fill="FFFFFF"/>
          <w:lang w:val="en-GB"/>
        </w:rPr>
        <w:t>.</w:t>
      </w:r>
      <w:r w:rsidR="007777B8" w:rsidRPr="007777B8">
        <w:rPr>
          <w:rFonts w:cstheme="majorBidi"/>
          <w:color w:val="FF0000"/>
          <w:shd w:val="clear" w:color="auto" w:fill="FFFFFF"/>
          <w:lang w:val="en-GB"/>
        </w:rPr>
        <w:t xml:space="preserve"> </w:t>
      </w:r>
    </w:p>
    <w:p w14:paraId="5C3530F6" w14:textId="11E4F062" w:rsidR="007777B8" w:rsidRDefault="0084695C" w:rsidP="007F52CC">
      <w:pPr>
        <w:tabs>
          <w:tab w:val="left" w:pos="1710"/>
        </w:tabs>
        <w:spacing w:line="276" w:lineRule="auto"/>
        <w:jc w:val="both"/>
        <w:rPr>
          <w:rFonts w:cstheme="majorBidi"/>
          <w:color w:val="FF0000"/>
          <w:lang w:val="en-GB"/>
        </w:rPr>
      </w:pPr>
      <w:r>
        <w:rPr>
          <w:rFonts w:cstheme="majorBidi"/>
          <w:lang w:val="en-GB"/>
        </w:rPr>
        <w:t xml:space="preserve">From a behavioural perspective, Egyptians </w:t>
      </w:r>
      <w:r w:rsidR="005D1A28">
        <w:rPr>
          <w:rFonts w:cstheme="majorBidi"/>
          <w:lang w:val="en-GB"/>
        </w:rPr>
        <w:t xml:space="preserve">tend to have buying/ investing </w:t>
      </w:r>
      <w:r w:rsidR="00774423">
        <w:rPr>
          <w:rFonts w:cstheme="majorBidi"/>
          <w:lang w:val="en-GB"/>
        </w:rPr>
        <w:t xml:space="preserve">in the housing market </w:t>
      </w:r>
      <w:r w:rsidR="007A3150">
        <w:rPr>
          <w:rFonts w:cstheme="majorBidi"/>
          <w:lang w:val="en-GB"/>
        </w:rPr>
        <w:t xml:space="preserve">during crisis </w:t>
      </w:r>
      <w:r w:rsidR="000B723D">
        <w:rPr>
          <w:rFonts w:cstheme="majorBidi"/>
          <w:lang w:val="en-GB"/>
        </w:rPr>
        <w:t xml:space="preserve">compared to </w:t>
      </w:r>
      <w:r w:rsidR="009B54DF">
        <w:rPr>
          <w:rFonts w:cstheme="majorBidi"/>
          <w:lang w:val="en-GB"/>
        </w:rPr>
        <w:t>other investment forms</w:t>
      </w:r>
      <w:r w:rsidR="00F11F05">
        <w:rPr>
          <w:rFonts w:cstheme="majorBidi"/>
          <w:lang w:val="en-GB"/>
        </w:rPr>
        <w:t xml:space="preserve">. This would be interpreted as a risk-aversion </w:t>
      </w:r>
      <w:r w:rsidR="00054C81">
        <w:rPr>
          <w:rFonts w:cstheme="majorBidi"/>
          <w:lang w:val="en-GB"/>
        </w:rPr>
        <w:t>behaviour</w:t>
      </w:r>
      <w:r w:rsidR="00F11F05">
        <w:rPr>
          <w:rFonts w:cstheme="majorBidi"/>
          <w:lang w:val="en-GB"/>
        </w:rPr>
        <w:t xml:space="preserve"> and would also reflect trust </w:t>
      </w:r>
      <w:r w:rsidR="00176417">
        <w:rPr>
          <w:rFonts w:cstheme="majorBidi"/>
          <w:lang w:val="en-GB"/>
        </w:rPr>
        <w:t>in the</w:t>
      </w:r>
      <w:r w:rsidR="00054C81">
        <w:rPr>
          <w:rFonts w:cstheme="majorBidi"/>
          <w:lang w:val="en-GB"/>
        </w:rPr>
        <w:t xml:space="preserve"> market and </w:t>
      </w:r>
      <w:r w:rsidR="007777B8" w:rsidRPr="007777B8">
        <w:rPr>
          <w:rFonts w:cstheme="majorBidi"/>
          <w:lang w:val="en-GB"/>
        </w:rPr>
        <w:t>that housing is believed to be a safe form of investment during uncertainty times</w:t>
      </w:r>
      <w:r w:rsidR="00176417">
        <w:rPr>
          <w:rFonts w:cstheme="majorBidi"/>
          <w:lang w:val="en-GB"/>
        </w:rPr>
        <w:t>. We plan to propose these findings for an experimental research design in the future</w:t>
      </w:r>
      <w:r w:rsidR="002C2E1F">
        <w:rPr>
          <w:rFonts w:cstheme="majorBidi"/>
          <w:lang w:val="en-GB"/>
        </w:rPr>
        <w:t>.</w:t>
      </w:r>
      <w:r w:rsidR="009E3A57">
        <w:rPr>
          <w:rFonts w:cstheme="majorBidi"/>
          <w:lang w:val="en-GB"/>
        </w:rPr>
        <w:t xml:space="preserve"> </w:t>
      </w:r>
      <w:r w:rsidR="009E3A57" w:rsidRPr="009E3A57">
        <w:rPr>
          <w:rFonts w:cstheme="majorBidi"/>
          <w:color w:val="FF0000"/>
          <w:lang w:val="en-GB"/>
        </w:rPr>
        <w:t>More on the link with the behavioural assumptions and findings from recent literature.</w:t>
      </w:r>
    </w:p>
    <w:p w14:paraId="1AEEDF7E" w14:textId="13EC1CD6" w:rsidR="000E372D" w:rsidRPr="009E3A57" w:rsidRDefault="00B633B2" w:rsidP="007F52CC">
      <w:pPr>
        <w:tabs>
          <w:tab w:val="left" w:pos="1710"/>
        </w:tabs>
        <w:spacing w:line="276" w:lineRule="auto"/>
        <w:jc w:val="both"/>
        <w:rPr>
          <w:color w:val="FF0000"/>
          <w:lang w:val="en-GB"/>
        </w:rPr>
      </w:pPr>
      <w:r w:rsidRPr="00073387">
        <w:rPr>
          <w:rFonts w:cstheme="majorBidi"/>
          <w:i/>
          <w:iCs/>
          <w:lang w:val="en-GB"/>
        </w:rPr>
        <w:t xml:space="preserve">Perceptions on </w:t>
      </w:r>
      <w:r w:rsidR="00073387" w:rsidRPr="00073387">
        <w:rPr>
          <w:rFonts w:cstheme="majorBidi"/>
          <w:i/>
          <w:iCs/>
          <w:lang w:val="en-GB"/>
        </w:rPr>
        <w:t>Banking and mortgage Finance</w:t>
      </w:r>
      <w:r w:rsidR="00073387">
        <w:rPr>
          <w:rFonts w:cstheme="majorBidi"/>
          <w:lang w:val="en-GB"/>
        </w:rPr>
        <w:t>. A</w:t>
      </w:r>
      <w:r w:rsidR="000E372D">
        <w:rPr>
          <w:rFonts w:cstheme="majorBidi"/>
          <w:lang w:val="en-GB"/>
        </w:rPr>
        <w:t xml:space="preserve"> </w:t>
      </w:r>
      <w:r w:rsidR="000E372D" w:rsidRPr="5FD52275">
        <w:rPr>
          <w:rFonts w:cstheme="majorBidi"/>
          <w:lang w:val="en-GB"/>
        </w:rPr>
        <w:t xml:space="preserve">remarkable </w:t>
      </w:r>
      <w:r w:rsidR="000E372D">
        <w:rPr>
          <w:rFonts w:cstheme="majorBidi"/>
          <w:lang w:val="en-GB"/>
        </w:rPr>
        <w:t xml:space="preserve">finding indicated by </w:t>
      </w:r>
      <w:r w:rsidR="000E372D" w:rsidRPr="43500897">
        <w:rPr>
          <w:rFonts w:cstheme="majorBidi"/>
          <w:lang w:val="en-GB"/>
        </w:rPr>
        <w:t>most</w:t>
      </w:r>
      <w:r w:rsidR="000E372D" w:rsidRPr="007777B8">
        <w:rPr>
          <w:rFonts w:cstheme="majorBidi"/>
          <w:lang w:val="en-GB"/>
        </w:rPr>
        <w:t xml:space="preserve"> of the surveyed developers and brokers </w:t>
      </w:r>
      <w:r w:rsidR="000E372D">
        <w:rPr>
          <w:rFonts w:cstheme="majorBidi"/>
          <w:lang w:val="en-GB"/>
        </w:rPr>
        <w:t>is that</w:t>
      </w:r>
      <w:r w:rsidR="000E372D" w:rsidRPr="007777B8">
        <w:rPr>
          <w:rFonts w:cstheme="majorBidi"/>
          <w:lang w:val="en-GB"/>
        </w:rPr>
        <w:t xml:space="preserve"> important reason that makes homebuyers prefer direct instalments rather than mortgage finance is that the latter is </w:t>
      </w:r>
      <w:r w:rsidR="000E372D">
        <w:rPr>
          <w:rFonts w:cstheme="majorBidi"/>
          <w:lang w:val="en-GB"/>
        </w:rPr>
        <w:t xml:space="preserve">perceived as </w:t>
      </w:r>
      <w:r w:rsidR="000E372D" w:rsidRPr="007777B8">
        <w:rPr>
          <w:rFonts w:cstheme="majorBidi"/>
          <w:lang w:val="en-GB"/>
        </w:rPr>
        <w:t>non-sharia compliant</w:t>
      </w:r>
      <w:r w:rsidR="000E372D">
        <w:rPr>
          <w:rFonts w:cstheme="majorBidi"/>
          <w:lang w:val="en-GB"/>
        </w:rPr>
        <w:t>. This result requires deeper analysis and investigation into the Egyptian cultural and religious beliefs towards finance tools on the one side and on the other side r</w:t>
      </w:r>
      <w:r w:rsidR="000E372D" w:rsidRPr="5DDE2820">
        <w:rPr>
          <w:rFonts w:cstheme="majorBidi"/>
          <w:lang w:val="en-GB"/>
        </w:rPr>
        <w:t xml:space="preserve">aise </w:t>
      </w:r>
      <w:r w:rsidR="000E372D" w:rsidRPr="391F05A2">
        <w:rPr>
          <w:rFonts w:cstheme="majorBidi"/>
          <w:lang w:val="en-GB"/>
        </w:rPr>
        <w:t>interest</w:t>
      </w:r>
      <w:r w:rsidR="000E372D" w:rsidRPr="5DDE2820">
        <w:rPr>
          <w:rFonts w:cstheme="majorBidi"/>
          <w:lang w:val="en-GB"/>
        </w:rPr>
        <w:t xml:space="preserve"> </w:t>
      </w:r>
      <w:r w:rsidR="000E372D">
        <w:rPr>
          <w:rFonts w:cstheme="majorBidi"/>
          <w:lang w:val="en-GB"/>
        </w:rPr>
        <w:t xml:space="preserve">in the new governmental strategic directions to include sharia-compliant investment tools such as the recently announced Sukuk law. </w:t>
      </w:r>
      <w:r w:rsidR="000E372D" w:rsidRPr="009E3A57">
        <w:rPr>
          <w:rFonts w:cstheme="majorBidi"/>
          <w:color w:val="FF0000"/>
          <w:lang w:val="en-GB"/>
        </w:rPr>
        <w:t>More on</w:t>
      </w:r>
      <w:r w:rsidR="000E372D">
        <w:rPr>
          <w:rFonts w:cstheme="majorBidi"/>
          <w:color w:val="FF0000"/>
          <w:lang w:val="en-GB"/>
        </w:rPr>
        <w:t xml:space="preserve"> Sukuk</w:t>
      </w:r>
      <w:r w:rsidR="000E372D" w:rsidRPr="009E3A57">
        <w:rPr>
          <w:rFonts w:cstheme="majorBidi"/>
          <w:color w:val="FF0000"/>
          <w:lang w:val="en-GB"/>
        </w:rPr>
        <w:t xml:space="preserve"> law here</w:t>
      </w:r>
      <w:r w:rsidR="000E372D">
        <w:rPr>
          <w:rFonts w:cstheme="majorBidi"/>
          <w:color w:val="FF0000"/>
          <w:lang w:val="en-GB"/>
        </w:rPr>
        <w:t xml:space="preserve"> and proposed policy implications</w:t>
      </w:r>
    </w:p>
    <w:p w14:paraId="15357A62" w14:textId="544B3F30" w:rsidR="007777B8" w:rsidRDefault="00073387" w:rsidP="007F52CC">
      <w:pPr>
        <w:spacing w:line="276" w:lineRule="auto"/>
        <w:jc w:val="both"/>
        <w:rPr>
          <w:rFonts w:cstheme="majorBidi"/>
          <w:lang w:val="en-GB"/>
        </w:rPr>
      </w:pPr>
      <w:r>
        <w:rPr>
          <w:rFonts w:cstheme="majorBidi"/>
          <w:i/>
          <w:iCs/>
          <w:shd w:val="clear" w:color="auto" w:fill="FFFFFF"/>
          <w:lang w:val="en-GB"/>
        </w:rPr>
        <w:t>D</w:t>
      </w:r>
      <w:r w:rsidR="000E372D" w:rsidRPr="00073387">
        <w:rPr>
          <w:rFonts w:cstheme="majorBidi"/>
          <w:i/>
          <w:iCs/>
          <w:shd w:val="clear" w:color="auto" w:fill="FFFFFF"/>
          <w:lang w:val="en-GB"/>
        </w:rPr>
        <w:t>ata and information</w:t>
      </w:r>
      <w:r>
        <w:rPr>
          <w:rFonts w:cstheme="majorBidi"/>
          <w:i/>
          <w:iCs/>
          <w:shd w:val="clear" w:color="auto" w:fill="FFFFFF"/>
          <w:lang w:val="en-GB"/>
        </w:rPr>
        <w:t xml:space="preserve"> on housing market dynamics and opportunities</w:t>
      </w:r>
      <w:r w:rsidR="000E372D" w:rsidRPr="00073387">
        <w:rPr>
          <w:rFonts w:cstheme="majorBidi"/>
          <w:i/>
          <w:iCs/>
          <w:shd w:val="clear" w:color="auto" w:fill="FFFFFF"/>
          <w:lang w:val="en-GB"/>
        </w:rPr>
        <w:t>.</w:t>
      </w:r>
      <w:r w:rsidR="000E372D">
        <w:rPr>
          <w:rFonts w:cstheme="majorBidi"/>
          <w:shd w:val="clear" w:color="auto" w:fill="FFFFFF"/>
          <w:lang w:val="en-GB"/>
        </w:rPr>
        <w:t xml:space="preserve"> </w:t>
      </w:r>
      <w:r w:rsidR="4C2D62E5" w:rsidRPr="3F4E640E">
        <w:rPr>
          <w:rFonts w:cstheme="majorBidi"/>
          <w:shd w:val="clear" w:color="auto" w:fill="FFFFFF"/>
          <w:lang w:val="en-GB"/>
        </w:rPr>
        <w:t>Our</w:t>
      </w:r>
      <w:r w:rsidR="007777B8" w:rsidRPr="3F4E640E">
        <w:rPr>
          <w:rFonts w:cstheme="majorBidi"/>
          <w:shd w:val="clear" w:color="auto" w:fill="FFFFFF"/>
          <w:lang w:val="en-GB"/>
        </w:rPr>
        <w:t xml:space="preserve"> </w:t>
      </w:r>
      <w:r w:rsidR="4AEDEB68" w:rsidRPr="49639276">
        <w:rPr>
          <w:rFonts w:cstheme="majorBidi"/>
          <w:shd w:val="clear" w:color="auto" w:fill="FFFFFF"/>
          <w:lang w:val="en-GB"/>
        </w:rPr>
        <w:t>analysis</w:t>
      </w:r>
      <w:r w:rsidR="4AEDEB68" w:rsidRPr="69C980A8">
        <w:rPr>
          <w:rFonts w:cstheme="majorBidi"/>
          <w:shd w:val="clear" w:color="auto" w:fill="FFFFFF"/>
          <w:lang w:val="en-GB"/>
        </w:rPr>
        <w:t xml:space="preserve"> </w:t>
      </w:r>
      <w:r w:rsidR="007777B8" w:rsidRPr="69C980A8">
        <w:rPr>
          <w:rFonts w:cstheme="majorBidi"/>
          <w:shd w:val="clear" w:color="auto" w:fill="FFFFFF"/>
          <w:lang w:val="en-GB"/>
        </w:rPr>
        <w:t>reveal</w:t>
      </w:r>
      <w:r w:rsidR="007777B8" w:rsidRPr="007777B8">
        <w:rPr>
          <w:rFonts w:cstheme="majorBidi"/>
          <w:shd w:val="clear" w:color="auto" w:fill="FFFFFF"/>
          <w:lang w:val="en-GB"/>
        </w:rPr>
        <w:t xml:space="preserve"> a discrepancy in </w:t>
      </w:r>
      <w:r w:rsidR="1A4B2B17" w:rsidRPr="6B6C6C4B">
        <w:rPr>
          <w:rFonts w:cstheme="majorBidi"/>
          <w:shd w:val="clear" w:color="auto" w:fill="FFFFFF"/>
          <w:lang w:val="en-GB"/>
        </w:rPr>
        <w:t>knowledge</w:t>
      </w:r>
      <w:r w:rsidR="007777B8" w:rsidRPr="007777B8">
        <w:rPr>
          <w:rFonts w:cstheme="majorBidi"/>
          <w:shd w:val="clear" w:color="auto" w:fill="FFFFFF"/>
          <w:lang w:val="en-GB"/>
        </w:rPr>
        <w:t xml:space="preserve"> about housing historical price trends and expectations across the sampled groups, households and Developers &amp; </w:t>
      </w:r>
      <w:r w:rsidR="008A46C3">
        <w:rPr>
          <w:rFonts w:cstheme="majorBidi"/>
          <w:shd w:val="clear" w:color="auto" w:fill="FFFFFF"/>
          <w:lang w:val="en-GB"/>
        </w:rPr>
        <w:t>B</w:t>
      </w:r>
      <w:r w:rsidR="007777B8" w:rsidRPr="007777B8">
        <w:rPr>
          <w:rFonts w:cstheme="majorBidi"/>
          <w:shd w:val="clear" w:color="auto" w:fill="FFFFFF"/>
          <w:lang w:val="en-GB"/>
        </w:rPr>
        <w:t xml:space="preserve">rokers. </w:t>
      </w:r>
      <w:r w:rsidR="007777B8" w:rsidRPr="007777B8">
        <w:rPr>
          <w:rFonts w:cstheme="majorBidi"/>
          <w:lang w:val="en-GB"/>
        </w:rPr>
        <w:t>This discrepancy</w:t>
      </w:r>
      <w:r w:rsidR="008A46C3">
        <w:rPr>
          <w:rFonts w:cstheme="majorBidi"/>
          <w:lang w:val="en-GB"/>
        </w:rPr>
        <w:t xml:space="preserve"> </w:t>
      </w:r>
      <w:r w:rsidR="00BF0D12">
        <w:rPr>
          <w:rFonts w:cstheme="majorBidi"/>
          <w:lang w:val="en-GB"/>
        </w:rPr>
        <w:t>could</w:t>
      </w:r>
      <w:r w:rsidR="007777B8" w:rsidRPr="007777B8">
        <w:rPr>
          <w:rFonts w:cstheme="majorBidi"/>
          <w:lang w:val="en-GB"/>
        </w:rPr>
        <w:t xml:space="preserve"> possibly </w:t>
      </w:r>
      <w:r w:rsidR="00BF0D12">
        <w:rPr>
          <w:rFonts w:cstheme="majorBidi"/>
          <w:lang w:val="en-GB"/>
        </w:rPr>
        <w:t xml:space="preserve">be </w:t>
      </w:r>
      <w:r w:rsidR="7A7DFEED" w:rsidRPr="5D29DB58">
        <w:rPr>
          <w:rFonts w:cstheme="majorBidi"/>
          <w:lang w:val="en-GB"/>
        </w:rPr>
        <w:t xml:space="preserve">due </w:t>
      </w:r>
      <w:r w:rsidR="7A7DFEED" w:rsidRPr="5A004058">
        <w:rPr>
          <w:rFonts w:cstheme="majorBidi"/>
          <w:lang w:val="en-GB"/>
        </w:rPr>
        <w:t xml:space="preserve">to several </w:t>
      </w:r>
      <w:r w:rsidR="036E28A5" w:rsidRPr="0BFF68C7">
        <w:rPr>
          <w:rFonts w:cstheme="majorBidi"/>
          <w:lang w:val="en-GB"/>
        </w:rPr>
        <w:t>reasons</w:t>
      </w:r>
      <w:r w:rsidR="45A91D4C" w:rsidRPr="06E70B14">
        <w:rPr>
          <w:rFonts w:cstheme="majorBidi"/>
          <w:lang w:val="en-GB"/>
        </w:rPr>
        <w:t xml:space="preserve"> </w:t>
      </w:r>
      <w:r w:rsidR="00BF0D12">
        <w:rPr>
          <w:rFonts w:cstheme="majorBidi"/>
          <w:lang w:val="en-GB"/>
        </w:rPr>
        <w:t>among which is the</w:t>
      </w:r>
      <w:r w:rsidR="007777B8" w:rsidRPr="007777B8">
        <w:rPr>
          <w:rFonts w:cstheme="majorBidi"/>
          <w:lang w:val="en-GB"/>
        </w:rPr>
        <w:t xml:space="preserve"> lack of accurate</w:t>
      </w:r>
      <w:r w:rsidR="00BF0D12">
        <w:rPr>
          <w:rFonts w:cstheme="majorBidi"/>
          <w:lang w:val="en-GB"/>
        </w:rPr>
        <w:t xml:space="preserve"> housing</w:t>
      </w:r>
      <w:r w:rsidR="007777B8" w:rsidRPr="007777B8">
        <w:rPr>
          <w:rFonts w:cstheme="majorBidi"/>
          <w:lang w:val="en-GB"/>
        </w:rPr>
        <w:t xml:space="preserve"> price</w:t>
      </w:r>
      <w:r w:rsidR="00BF0D12">
        <w:rPr>
          <w:rFonts w:cstheme="majorBidi"/>
          <w:lang w:val="en-GB"/>
        </w:rPr>
        <w:t>s</w:t>
      </w:r>
      <w:r w:rsidR="007777B8" w:rsidRPr="007777B8">
        <w:rPr>
          <w:rFonts w:cstheme="majorBidi"/>
          <w:lang w:val="en-GB"/>
        </w:rPr>
        <w:t xml:space="preserve"> databases</w:t>
      </w:r>
      <w:r w:rsidR="00BF0D12">
        <w:rPr>
          <w:rFonts w:cstheme="majorBidi"/>
          <w:lang w:val="en-GB"/>
        </w:rPr>
        <w:t>. This</w:t>
      </w:r>
      <w:r w:rsidR="007777B8" w:rsidRPr="007777B8">
        <w:rPr>
          <w:rFonts w:cstheme="majorBidi"/>
          <w:lang w:val="en-GB"/>
        </w:rPr>
        <w:t xml:space="preserve"> leaves both historical prices and future expectations </w:t>
      </w:r>
      <w:r w:rsidR="00867551">
        <w:rPr>
          <w:rFonts w:cstheme="majorBidi"/>
          <w:lang w:val="en-GB"/>
        </w:rPr>
        <w:t xml:space="preserve">subject </w:t>
      </w:r>
      <w:r w:rsidR="007777B8" w:rsidRPr="007777B8">
        <w:rPr>
          <w:rFonts w:cstheme="majorBidi"/>
          <w:lang w:val="en-GB"/>
        </w:rPr>
        <w:t xml:space="preserve">to </w:t>
      </w:r>
      <w:r w:rsidR="007777B8" w:rsidRPr="0BFF68C7">
        <w:rPr>
          <w:rFonts w:cstheme="majorBidi"/>
          <w:lang w:val="en-GB"/>
        </w:rPr>
        <w:t>s</w:t>
      </w:r>
      <w:r w:rsidR="16B86061" w:rsidRPr="0BFF68C7">
        <w:rPr>
          <w:rFonts w:cstheme="majorBidi"/>
          <w:lang w:val="en-GB"/>
        </w:rPr>
        <w:t>peculations</w:t>
      </w:r>
      <w:r w:rsidR="007777B8" w:rsidRPr="007777B8">
        <w:rPr>
          <w:rFonts w:cstheme="majorBidi"/>
          <w:lang w:val="en-GB"/>
        </w:rPr>
        <w:t xml:space="preserve"> rather than facts. Lack of information about housing </w:t>
      </w:r>
      <w:r w:rsidR="00867551" w:rsidRPr="007777B8">
        <w:rPr>
          <w:rFonts w:cstheme="majorBidi"/>
          <w:lang w:val="en-GB"/>
        </w:rPr>
        <w:t>prices makes</w:t>
      </w:r>
      <w:r w:rsidR="007777B8" w:rsidRPr="007777B8">
        <w:rPr>
          <w:rFonts w:cstheme="majorBidi"/>
          <w:lang w:val="en-GB"/>
        </w:rPr>
        <w:t xml:space="preserve"> the market actors more </w:t>
      </w:r>
      <w:r w:rsidR="00867551">
        <w:rPr>
          <w:rFonts w:cstheme="majorBidi"/>
          <w:lang w:val="en-GB"/>
        </w:rPr>
        <w:t>vulnerable</w:t>
      </w:r>
      <w:r w:rsidR="007777B8" w:rsidRPr="007777B8">
        <w:rPr>
          <w:rFonts w:cstheme="majorBidi"/>
          <w:lang w:val="en-GB"/>
        </w:rPr>
        <w:t xml:space="preserve"> to principal-agent problems </w:t>
      </w:r>
      <w:r w:rsidR="00867551">
        <w:rPr>
          <w:rFonts w:cstheme="majorBidi"/>
          <w:lang w:val="en-GB"/>
        </w:rPr>
        <w:t xml:space="preserve">and result into </w:t>
      </w:r>
      <w:r w:rsidR="007777B8" w:rsidRPr="007777B8">
        <w:rPr>
          <w:rFonts w:cstheme="majorBidi"/>
          <w:lang w:val="en-GB"/>
        </w:rPr>
        <w:t xml:space="preserve">asymmetric information moral hazard outcomes. </w:t>
      </w:r>
      <w:r w:rsidR="00867551">
        <w:rPr>
          <w:rFonts w:cstheme="majorBidi"/>
          <w:lang w:val="en-GB"/>
        </w:rPr>
        <w:t xml:space="preserve">This again reaffirms the importance of building a micro dataset on housing prices in Egypt and constructing a housing price index for the Egyptian market. </w:t>
      </w:r>
    </w:p>
    <w:p w14:paraId="4B7E64D5" w14:textId="27802A53" w:rsidR="000E372D" w:rsidRPr="007777B8" w:rsidRDefault="00073387" w:rsidP="007F52CC">
      <w:pPr>
        <w:spacing w:line="276" w:lineRule="auto"/>
        <w:jc w:val="both"/>
        <w:rPr>
          <w:rFonts w:cstheme="majorBidi"/>
          <w:lang w:val="en-GB"/>
        </w:rPr>
      </w:pPr>
      <w:r>
        <w:rPr>
          <w:rFonts w:cstheme="majorBidi"/>
          <w:lang w:val="en-GB"/>
        </w:rPr>
        <w:t xml:space="preserve">Regarding </w:t>
      </w:r>
      <w:r w:rsidR="000E372D" w:rsidRPr="5874AEAF">
        <w:rPr>
          <w:rFonts w:cstheme="majorBidi"/>
          <w:lang w:val="en-GB"/>
        </w:rPr>
        <w:t>market</w:t>
      </w:r>
      <w:r>
        <w:rPr>
          <w:rFonts w:cstheme="majorBidi"/>
          <w:lang w:val="en-GB"/>
        </w:rPr>
        <w:t>ing</w:t>
      </w:r>
      <w:r w:rsidR="000E372D" w:rsidRPr="5874AEAF">
        <w:rPr>
          <w:rFonts w:cstheme="majorBidi"/>
          <w:lang w:val="en-GB"/>
        </w:rPr>
        <w:t xml:space="preserve"> and </w:t>
      </w:r>
      <w:r>
        <w:rPr>
          <w:rFonts w:cstheme="majorBidi"/>
          <w:lang w:val="en-GB"/>
        </w:rPr>
        <w:t>advertisement in the housing sector</w:t>
      </w:r>
      <w:r w:rsidR="000E372D" w:rsidRPr="3F347EF3">
        <w:rPr>
          <w:rFonts w:cstheme="majorBidi"/>
          <w:lang w:val="en-GB"/>
        </w:rPr>
        <w:t>,</w:t>
      </w:r>
      <w:r>
        <w:rPr>
          <w:rFonts w:cstheme="majorBidi"/>
          <w:lang w:val="en-GB"/>
        </w:rPr>
        <w:t xml:space="preserve"> results show the importance of </w:t>
      </w:r>
      <w:r w:rsidR="000E372D" w:rsidRPr="7CF66222">
        <w:rPr>
          <w:rFonts w:cstheme="majorBidi"/>
          <w:lang w:val="en-GB"/>
        </w:rPr>
        <w:t xml:space="preserve">social media platforms </w:t>
      </w:r>
      <w:r w:rsidR="00B91F92">
        <w:rPr>
          <w:rFonts w:cstheme="majorBidi"/>
          <w:lang w:val="en-GB"/>
        </w:rPr>
        <w:t xml:space="preserve">as the </w:t>
      </w:r>
      <w:r w:rsidR="001C3911">
        <w:rPr>
          <w:rFonts w:cstheme="majorBidi"/>
          <w:lang w:val="en-GB"/>
        </w:rPr>
        <w:t>homebuyers’</w:t>
      </w:r>
      <w:r w:rsidR="000E372D" w:rsidRPr="007777B8">
        <w:rPr>
          <w:rFonts w:cstheme="majorBidi"/>
          <w:lang w:val="en-GB"/>
        </w:rPr>
        <w:t xml:space="preserve"> top source of information</w:t>
      </w:r>
      <w:r w:rsidR="000E372D" w:rsidRPr="2852F297">
        <w:rPr>
          <w:rFonts w:cstheme="majorBidi"/>
          <w:lang w:val="en-GB"/>
        </w:rPr>
        <w:t>.</w:t>
      </w:r>
      <w:r w:rsidR="000E372D" w:rsidRPr="007777B8">
        <w:rPr>
          <w:rFonts w:cstheme="majorBidi"/>
          <w:lang w:val="en-GB"/>
        </w:rPr>
        <w:t xml:space="preserve"> </w:t>
      </w:r>
      <w:r w:rsidR="001C3911">
        <w:rPr>
          <w:rFonts w:cstheme="majorBidi"/>
          <w:lang w:val="en-GB"/>
        </w:rPr>
        <w:t xml:space="preserve">Developers and brokers identified the broker </w:t>
      </w:r>
      <w:r w:rsidR="000E372D" w:rsidRPr="007777B8">
        <w:rPr>
          <w:rFonts w:cstheme="majorBidi"/>
          <w:lang w:val="en-GB"/>
        </w:rPr>
        <w:t xml:space="preserve">reputation </w:t>
      </w:r>
      <w:r w:rsidR="001C3911">
        <w:rPr>
          <w:rFonts w:cstheme="majorBidi"/>
          <w:lang w:val="en-GB"/>
        </w:rPr>
        <w:t>as</w:t>
      </w:r>
      <w:r w:rsidR="000E372D" w:rsidRPr="007777B8">
        <w:rPr>
          <w:rFonts w:cstheme="majorBidi"/>
          <w:lang w:val="en-GB"/>
        </w:rPr>
        <w:t xml:space="preserve"> the most important marketing</w:t>
      </w:r>
      <w:r w:rsidR="001C3911">
        <w:rPr>
          <w:rFonts w:cstheme="majorBidi"/>
          <w:lang w:val="en-GB"/>
        </w:rPr>
        <w:t xml:space="preserve">; not being </w:t>
      </w:r>
      <w:r w:rsidR="000E372D" w:rsidRPr="007777B8">
        <w:rPr>
          <w:rFonts w:cstheme="majorBidi"/>
          <w:lang w:val="en-GB"/>
        </w:rPr>
        <w:t>recognised at the same level by the surveyed household sample.</w:t>
      </w:r>
      <w:r w:rsidR="000E372D" w:rsidRPr="2852F297">
        <w:rPr>
          <w:rFonts w:cstheme="majorBidi"/>
          <w:lang w:val="en-GB"/>
        </w:rPr>
        <w:t xml:space="preserve"> </w:t>
      </w:r>
      <w:r w:rsidR="001C3911">
        <w:rPr>
          <w:rFonts w:cstheme="majorBidi"/>
          <w:lang w:val="en-GB"/>
        </w:rPr>
        <w:t xml:space="preserve">This also adds to the </w:t>
      </w:r>
      <w:r w:rsidR="00F056B5">
        <w:rPr>
          <w:rFonts w:cstheme="majorBidi"/>
          <w:lang w:val="en-GB"/>
        </w:rPr>
        <w:t xml:space="preserve">unavailability of reliable sources of information and reaffirms the abovementioned </w:t>
      </w:r>
      <w:r w:rsidR="00B95720">
        <w:rPr>
          <w:rFonts w:cstheme="majorBidi"/>
          <w:lang w:val="en-GB"/>
        </w:rPr>
        <w:t>conclusion.</w:t>
      </w:r>
    </w:p>
    <w:p w14:paraId="24BD5978" w14:textId="2E75302F" w:rsidR="00FA36CE" w:rsidRPr="00FA36CE" w:rsidRDefault="00D65CA5" w:rsidP="41AB0A68">
      <w:pPr>
        <w:pStyle w:val="Heading1"/>
        <w:numPr>
          <w:ilvl w:val="0"/>
          <w:numId w:val="25"/>
        </w:numPr>
        <w:spacing w:line="276" w:lineRule="auto"/>
        <w:rPr>
          <w:lang w:val="en-GB"/>
        </w:rPr>
      </w:pPr>
      <w:bookmarkStart w:id="63" w:name="_Toc91107888"/>
      <w:bookmarkStart w:id="64" w:name="_Toc91438058"/>
      <w:r w:rsidRPr="00032DA6">
        <w:rPr>
          <w:lang w:val="en-GB"/>
        </w:rPr>
        <w:t xml:space="preserve">Conclusion and </w:t>
      </w:r>
      <w:r w:rsidR="00573017" w:rsidRPr="00032DA6">
        <w:rPr>
          <w:lang w:val="en-GB"/>
        </w:rPr>
        <w:t>P</w:t>
      </w:r>
      <w:r w:rsidRPr="00032DA6">
        <w:rPr>
          <w:lang w:val="en-GB"/>
        </w:rPr>
        <w:t xml:space="preserve">olicy </w:t>
      </w:r>
      <w:r w:rsidR="00573017" w:rsidRPr="00032DA6">
        <w:rPr>
          <w:lang w:val="en-GB"/>
        </w:rPr>
        <w:t>R</w:t>
      </w:r>
      <w:r w:rsidRPr="00032DA6">
        <w:rPr>
          <w:lang w:val="en-GB"/>
        </w:rPr>
        <w:t>ecommendations</w:t>
      </w:r>
      <w:bookmarkEnd w:id="63"/>
      <w:bookmarkEnd w:id="64"/>
    </w:p>
    <w:p w14:paraId="61C7B130" w14:textId="5058A132" w:rsidR="001D2299" w:rsidRDefault="12F3D947" w:rsidP="001D2299">
      <w:pPr>
        <w:spacing w:line="276" w:lineRule="auto"/>
        <w:ind w:firstLine="357"/>
        <w:jc w:val="both"/>
        <w:rPr>
          <w:lang w:val="en-GB"/>
        </w:rPr>
      </w:pPr>
      <w:r w:rsidRPr="09925297">
        <w:rPr>
          <w:rFonts w:ascii="Times New Roman" w:eastAsia="Times New Roman" w:hAnsi="Times New Roman" w:cs="Times New Roman"/>
          <w:lang w:val="en-GB"/>
        </w:rPr>
        <w:t xml:space="preserve">Demand on housing in Emerging Markets and Developing Economies (EMDEs) is affected by many economic, financial, behavioural and institutional factors. Such factors not only affect the cyclical trends of housing prices but also influence future price expectations in the housing sector. Likewise, the housing sector, with all its forward and backward linkages, is a key player in both economic and financial cycles in economies. </w:t>
      </w:r>
      <w:r w:rsidR="5A6FD71E" w:rsidRPr="09925297">
        <w:rPr>
          <w:lang w:val="en-GB"/>
        </w:rPr>
        <w:t xml:space="preserve">In this paper, we investigate the determinants of housing prices in the Egyptian market. We design our hypotheses and analysis based on literature findings as well as </w:t>
      </w:r>
      <w:r w:rsidR="6F4E3306" w:rsidRPr="09925297">
        <w:rPr>
          <w:lang w:val="en-GB"/>
        </w:rPr>
        <w:t xml:space="preserve">observations on the Egyptian market. </w:t>
      </w:r>
      <w:r w:rsidR="790290BE" w:rsidRPr="09925297">
        <w:rPr>
          <w:lang w:val="en-GB"/>
        </w:rPr>
        <w:t xml:space="preserve">Although, </w:t>
      </w:r>
      <w:r w:rsidR="002C3849">
        <w:rPr>
          <w:lang w:val="en-GB"/>
        </w:rPr>
        <w:t>t</w:t>
      </w:r>
      <w:r w:rsidR="54726C7D" w:rsidRPr="09925297">
        <w:rPr>
          <w:lang w:val="en-GB"/>
        </w:rPr>
        <w:t>he Egyptian housing market is one of the very important and dynamic markets</w:t>
      </w:r>
      <w:r w:rsidR="13D531C2" w:rsidRPr="09925297">
        <w:rPr>
          <w:lang w:val="en-GB"/>
        </w:rPr>
        <w:t xml:space="preserve">, lack of </w:t>
      </w:r>
      <w:r w:rsidR="002C3849">
        <w:rPr>
          <w:lang w:val="en-GB"/>
        </w:rPr>
        <w:t>accurate</w:t>
      </w:r>
      <w:r w:rsidR="13D531C2" w:rsidRPr="09925297">
        <w:rPr>
          <w:lang w:val="en-GB"/>
        </w:rPr>
        <w:t xml:space="preserve"> information </w:t>
      </w:r>
      <w:r w:rsidR="002C3849">
        <w:rPr>
          <w:lang w:val="en-GB"/>
        </w:rPr>
        <w:t xml:space="preserve">on the </w:t>
      </w:r>
      <w:r w:rsidR="00DB7978">
        <w:rPr>
          <w:lang w:val="en-GB"/>
        </w:rPr>
        <w:t xml:space="preserve">sector dynamics and prices </w:t>
      </w:r>
      <w:r w:rsidR="00425543">
        <w:rPr>
          <w:lang w:val="en-GB"/>
        </w:rPr>
        <w:t>constitutes</w:t>
      </w:r>
      <w:r w:rsidR="00DB7978">
        <w:rPr>
          <w:lang w:val="en-GB"/>
        </w:rPr>
        <w:t xml:space="preserve"> </w:t>
      </w:r>
      <w:r w:rsidR="523E218D" w:rsidRPr="09925297">
        <w:rPr>
          <w:lang w:val="en-GB"/>
        </w:rPr>
        <w:t>serious challenge</w:t>
      </w:r>
      <w:r w:rsidR="54726C7D" w:rsidRPr="09925297">
        <w:rPr>
          <w:lang w:val="en-GB"/>
        </w:rPr>
        <w:t xml:space="preserve"> for </w:t>
      </w:r>
      <w:r w:rsidR="13D531C2" w:rsidRPr="09925297">
        <w:rPr>
          <w:lang w:val="en-GB"/>
        </w:rPr>
        <w:t xml:space="preserve">all </w:t>
      </w:r>
      <w:r w:rsidR="00DB7978">
        <w:rPr>
          <w:lang w:val="en-GB"/>
        </w:rPr>
        <w:t>actors</w:t>
      </w:r>
      <w:r w:rsidR="7FB516C4" w:rsidRPr="09925297">
        <w:rPr>
          <w:lang w:val="en-GB"/>
        </w:rPr>
        <w:t xml:space="preserve">. </w:t>
      </w:r>
    </w:p>
    <w:p w14:paraId="00A270E2" w14:textId="0887EAEE" w:rsidR="001D2299" w:rsidRDefault="00DC3EA1" w:rsidP="001D2299">
      <w:pPr>
        <w:spacing w:line="276" w:lineRule="auto"/>
        <w:ind w:firstLine="357"/>
        <w:jc w:val="both"/>
        <w:rPr>
          <w:lang w:val="en-GB"/>
        </w:rPr>
      </w:pPr>
      <w:r>
        <w:rPr>
          <w:lang w:val="en-GB"/>
        </w:rPr>
        <w:t xml:space="preserve">We design </w:t>
      </w:r>
      <w:r w:rsidR="00C100E0">
        <w:rPr>
          <w:lang w:val="en-GB"/>
        </w:rPr>
        <w:t>two</w:t>
      </w:r>
      <w:r>
        <w:rPr>
          <w:lang w:val="en-GB"/>
        </w:rPr>
        <w:t xml:space="preserve"> field survey</w:t>
      </w:r>
      <w:r w:rsidR="00C100E0">
        <w:rPr>
          <w:lang w:val="en-GB"/>
        </w:rPr>
        <w:t>s</w:t>
      </w:r>
      <w:r>
        <w:rPr>
          <w:lang w:val="en-GB"/>
        </w:rPr>
        <w:t xml:space="preserve"> to </w:t>
      </w:r>
      <w:r w:rsidR="00AE4805">
        <w:rPr>
          <w:lang w:val="en-GB"/>
        </w:rPr>
        <w:t xml:space="preserve">investigate the </w:t>
      </w:r>
      <w:r w:rsidR="00B53AD0">
        <w:rPr>
          <w:lang w:val="en-GB"/>
        </w:rPr>
        <w:t>determinants of housing prices in the Egyptian market</w:t>
      </w:r>
      <w:r w:rsidR="000A7175">
        <w:rPr>
          <w:lang w:val="en-GB"/>
        </w:rPr>
        <w:t xml:space="preserve"> bot</w:t>
      </w:r>
      <w:r w:rsidR="001044B3">
        <w:rPr>
          <w:lang w:val="en-GB"/>
        </w:rPr>
        <w:t xml:space="preserve">h for household </w:t>
      </w:r>
      <w:r w:rsidR="00A16E88">
        <w:rPr>
          <w:lang w:val="en-GB"/>
        </w:rPr>
        <w:t>homebuyers and sellers</w:t>
      </w:r>
      <w:r w:rsidR="002D0D57">
        <w:rPr>
          <w:lang w:val="en-GB"/>
        </w:rPr>
        <w:t xml:space="preserve"> as well as a representative sample of real estate </w:t>
      </w:r>
      <w:r w:rsidR="007A43EE">
        <w:rPr>
          <w:lang w:val="en-GB"/>
        </w:rPr>
        <w:t>developers and brokers</w:t>
      </w:r>
      <w:r w:rsidR="00997336">
        <w:rPr>
          <w:lang w:val="en-GB"/>
        </w:rPr>
        <w:t>.</w:t>
      </w:r>
      <w:r w:rsidR="008049D4">
        <w:rPr>
          <w:lang w:val="en-GB"/>
        </w:rPr>
        <w:t xml:space="preserve"> </w:t>
      </w:r>
      <w:r w:rsidR="00452C8B">
        <w:rPr>
          <w:lang w:val="en-GB"/>
        </w:rPr>
        <w:t xml:space="preserve">To </w:t>
      </w:r>
      <w:r w:rsidR="00BE5651">
        <w:rPr>
          <w:lang w:val="en-GB"/>
        </w:rPr>
        <w:t xml:space="preserve">establish </w:t>
      </w:r>
      <w:r w:rsidR="00C21E40">
        <w:rPr>
          <w:lang w:val="en-GB"/>
        </w:rPr>
        <w:t xml:space="preserve">a dataset on Egyptian housing prices, </w:t>
      </w:r>
      <w:r w:rsidR="007F1D9A">
        <w:rPr>
          <w:lang w:val="en-GB"/>
        </w:rPr>
        <w:t xml:space="preserve">we </w:t>
      </w:r>
      <w:r w:rsidR="0B6FD520" w:rsidRPr="5B45DAD6">
        <w:rPr>
          <w:lang w:val="en-GB"/>
        </w:rPr>
        <w:t xml:space="preserve">attempt to construct </w:t>
      </w:r>
      <w:r w:rsidR="74817D9E" w:rsidRPr="09925297">
        <w:rPr>
          <w:lang w:val="en-GB"/>
        </w:rPr>
        <w:t>the first Price Housing Index for the Egyptian market</w:t>
      </w:r>
      <w:r w:rsidR="00C12C9A">
        <w:rPr>
          <w:lang w:val="en-GB"/>
        </w:rPr>
        <w:t xml:space="preserve"> based on </w:t>
      </w:r>
      <w:r w:rsidR="00497413">
        <w:rPr>
          <w:lang w:val="en-GB"/>
        </w:rPr>
        <w:t>acknowledged methods in theory and literature</w:t>
      </w:r>
      <w:r w:rsidR="457951D3" w:rsidRPr="09925297">
        <w:rPr>
          <w:lang w:val="en-GB"/>
        </w:rPr>
        <w:t xml:space="preserve">. </w:t>
      </w:r>
      <w:r w:rsidR="4913E634" w:rsidRPr="09925297">
        <w:rPr>
          <w:lang w:val="en-GB"/>
        </w:rPr>
        <w:t xml:space="preserve">We then </w:t>
      </w:r>
      <w:r w:rsidR="00BE3C38">
        <w:rPr>
          <w:lang w:val="en-GB"/>
        </w:rPr>
        <w:t xml:space="preserve">integrate the housing price index with the findings of the survey through an Ordinal Logistic Regression model to </w:t>
      </w:r>
      <w:r w:rsidR="4913E634" w:rsidRPr="09925297">
        <w:rPr>
          <w:lang w:val="en-GB"/>
        </w:rPr>
        <w:t>investigate the main determ</w:t>
      </w:r>
      <w:r w:rsidR="00754A94">
        <w:rPr>
          <w:lang w:val="en-GB"/>
        </w:rPr>
        <w:t>inants of housing prices in Egypt</w:t>
      </w:r>
      <w:r w:rsidR="1C06A715" w:rsidRPr="5A9D67C6">
        <w:rPr>
          <w:lang w:val="en-GB"/>
        </w:rPr>
        <w:t>.</w:t>
      </w:r>
    </w:p>
    <w:p w14:paraId="2D27F116" w14:textId="77777777" w:rsidR="001D2299" w:rsidRDefault="4913E634" w:rsidP="001D2299">
      <w:pPr>
        <w:spacing w:line="276" w:lineRule="auto"/>
        <w:ind w:firstLine="360"/>
        <w:jc w:val="both"/>
        <w:rPr>
          <w:rFonts w:cstheme="majorBidi"/>
          <w:lang w:val="en-GB"/>
        </w:rPr>
      </w:pPr>
      <w:r w:rsidRPr="09925297">
        <w:rPr>
          <w:lang w:val="en-GB"/>
        </w:rPr>
        <w:t xml:space="preserve"> </w:t>
      </w:r>
      <w:r w:rsidR="00754A94">
        <w:rPr>
          <w:lang w:val="en-GB"/>
        </w:rPr>
        <w:t xml:space="preserve">Results </w:t>
      </w:r>
      <w:r w:rsidR="00DA4078">
        <w:rPr>
          <w:lang w:val="en-GB"/>
        </w:rPr>
        <w:t xml:space="preserve">show </w:t>
      </w:r>
      <w:r w:rsidR="457951D3" w:rsidRPr="09925297">
        <w:rPr>
          <w:lang w:val="en-GB"/>
        </w:rPr>
        <w:t xml:space="preserve">that </w:t>
      </w:r>
      <w:r w:rsidR="004653CD">
        <w:rPr>
          <w:lang w:val="en-GB"/>
        </w:rPr>
        <w:t>l</w:t>
      </w:r>
      <w:r w:rsidR="615ED68A" w:rsidRPr="09925297">
        <w:rPr>
          <w:lang w:val="en-GB"/>
        </w:rPr>
        <w:t>and</w:t>
      </w:r>
      <w:r w:rsidR="00585F1A">
        <w:rPr>
          <w:lang w:val="en-GB"/>
        </w:rPr>
        <w:t xml:space="preserve"> </w:t>
      </w:r>
      <w:r w:rsidR="615ED68A" w:rsidRPr="09925297">
        <w:rPr>
          <w:rFonts w:cstheme="majorBidi"/>
          <w:lang w:val="en-GB"/>
        </w:rPr>
        <w:t>construction and licensing costs</w:t>
      </w:r>
      <w:r w:rsidR="00B020B4">
        <w:rPr>
          <w:rFonts w:cstheme="majorBidi"/>
          <w:lang w:val="en-GB"/>
        </w:rPr>
        <w:t>, g</w:t>
      </w:r>
      <w:r w:rsidR="008F4CF4" w:rsidRPr="09925297">
        <w:rPr>
          <w:rFonts w:cstheme="majorBidi"/>
        </w:rPr>
        <w:t>government</w:t>
      </w:r>
      <w:r w:rsidR="00B020B4" w:rsidRPr="09925297">
        <w:rPr>
          <w:rFonts w:cstheme="majorBidi"/>
        </w:rPr>
        <w:t xml:space="preserve"> real estate and housing policies </w:t>
      </w:r>
      <w:r w:rsidR="615ED68A" w:rsidRPr="09925297">
        <w:rPr>
          <w:rFonts w:cstheme="majorBidi"/>
          <w:lang w:val="en-GB"/>
        </w:rPr>
        <w:t>are perceived as main determinants of housing prices in the Egyptian market</w:t>
      </w:r>
      <w:r w:rsidR="615ED68A" w:rsidRPr="09925297">
        <w:rPr>
          <w:rFonts w:cstheme="majorBidi"/>
        </w:rPr>
        <w:t xml:space="preserve">. Shocks and crises -represented in the recent COVID19 shock- is also proven to be significant factor impacting housing prices and expectations in the Egyptian market. </w:t>
      </w:r>
      <w:r w:rsidR="000932D3" w:rsidRPr="00B61C25">
        <w:rPr>
          <w:rFonts w:cstheme="majorBidi"/>
        </w:rPr>
        <w:t xml:space="preserve">On the contrary, macro-financial variables, namely </w:t>
      </w:r>
      <w:r w:rsidR="000932D3" w:rsidRPr="00B61C25">
        <w:rPr>
          <w:rFonts w:cstheme="majorBidi"/>
          <w:lang w:val="en-GB"/>
        </w:rPr>
        <w:t>i</w:t>
      </w:r>
      <w:r w:rsidR="000932D3" w:rsidRPr="00B61C25">
        <w:rPr>
          <w:rFonts w:cstheme="majorBidi"/>
          <w:shd w:val="clear" w:color="auto" w:fill="FFFFFF"/>
          <w:lang w:val="en-GB"/>
        </w:rPr>
        <w:t>nflation and interest rates were not significant indicating a possibly weak monetary transmission mechanism through the theoretically explained asset-price channel</w:t>
      </w:r>
      <w:r w:rsidR="000932D3" w:rsidRPr="00B61C25">
        <w:rPr>
          <w:rFonts w:cstheme="majorBidi"/>
          <w:lang w:val="en-GB"/>
        </w:rPr>
        <w:t xml:space="preserve">. </w:t>
      </w:r>
    </w:p>
    <w:p w14:paraId="55CAFA1B" w14:textId="44E5562E" w:rsidR="00FB2799" w:rsidRPr="006A5CE8" w:rsidRDefault="000932D3" w:rsidP="001D2299">
      <w:pPr>
        <w:spacing w:line="276" w:lineRule="auto"/>
        <w:ind w:firstLine="360"/>
        <w:jc w:val="both"/>
        <w:rPr>
          <w:rFonts w:cstheme="majorBidi"/>
          <w:color w:val="FF0000"/>
          <w:shd w:val="clear" w:color="auto" w:fill="FFFFFF"/>
          <w:lang w:val="en-GB"/>
        </w:rPr>
      </w:pPr>
      <w:r w:rsidRPr="00B61C25">
        <w:rPr>
          <w:rFonts w:cstheme="majorBidi"/>
          <w:lang w:val="en-GB"/>
        </w:rPr>
        <w:t>Results also affirm that housing investment is perceived by Egyptians as the safest form of investment during uncertainty shocks and good hedge against inflation and other financial turbulence</w:t>
      </w:r>
      <w:r w:rsidRPr="00B61C25">
        <w:rPr>
          <w:rFonts w:cstheme="majorBidi"/>
          <w:shd w:val="clear" w:color="auto" w:fill="FFFFFF"/>
          <w:lang w:val="en-GB"/>
        </w:rPr>
        <w:t xml:space="preserve">. Finally, findings reveal a huge discrepancy in information and data on housing dynamics and expectations across the sampled groups, households and Developers &amp; Brokers. </w:t>
      </w:r>
      <w:r w:rsidRPr="00B61C25">
        <w:rPr>
          <w:rFonts w:cstheme="majorBidi"/>
          <w:lang w:val="en-GB"/>
        </w:rPr>
        <w:t>Lack of information makes market actors more vulnerable to principal-agent problems and result into asymmetric information moral hazard outcomes</w:t>
      </w:r>
      <w:r w:rsidRPr="007777B8">
        <w:rPr>
          <w:rFonts w:cstheme="majorBidi"/>
          <w:lang w:val="en-GB"/>
        </w:rPr>
        <w:t xml:space="preserve">. </w:t>
      </w:r>
      <w:r>
        <w:rPr>
          <w:rFonts w:cstheme="majorBidi"/>
          <w:lang w:val="en-GB"/>
        </w:rPr>
        <w:t>The above results altogether reinforce the importance of constructing a micro dataset on housing prices in Egypt and constructing a housing price index for the Egyptian market as was initiated in this research and planned to be further developed in future research.</w:t>
      </w:r>
      <w:r w:rsidR="006A5CE8">
        <w:rPr>
          <w:rFonts w:cstheme="majorBidi"/>
          <w:lang w:val="en-GB"/>
        </w:rPr>
        <w:t xml:space="preserve"> </w:t>
      </w:r>
      <w:r w:rsidR="15C769C8" w:rsidRPr="09925297">
        <w:rPr>
          <w:rFonts w:cstheme="majorBidi"/>
          <w:lang w:val="en-GB"/>
        </w:rPr>
        <w:t xml:space="preserve">In addition to the likely contribution to literature, the findings of this research </w:t>
      </w:r>
      <w:r w:rsidR="00AE5701">
        <w:rPr>
          <w:rFonts w:cstheme="majorBidi"/>
          <w:lang w:val="en-GB"/>
        </w:rPr>
        <w:t>some</w:t>
      </w:r>
      <w:r w:rsidR="15C769C8" w:rsidRPr="09925297">
        <w:rPr>
          <w:rFonts w:cstheme="majorBidi"/>
          <w:lang w:val="en-GB"/>
        </w:rPr>
        <w:t xml:space="preserve"> policy implications </w:t>
      </w:r>
      <w:r w:rsidR="00AE5701">
        <w:rPr>
          <w:rFonts w:cstheme="majorBidi"/>
          <w:lang w:val="en-GB"/>
        </w:rPr>
        <w:t xml:space="preserve">that could support </w:t>
      </w:r>
      <w:r w:rsidR="15C769C8" w:rsidRPr="09925297">
        <w:rPr>
          <w:rFonts w:cstheme="majorBidi"/>
          <w:lang w:val="en-GB"/>
        </w:rPr>
        <w:t>the future development of the sector in Egypt</w:t>
      </w:r>
      <w:r w:rsidR="00AE5701">
        <w:rPr>
          <w:rFonts w:cstheme="majorBidi"/>
          <w:lang w:val="en-GB"/>
        </w:rPr>
        <w:t xml:space="preserve"> </w:t>
      </w:r>
      <w:r w:rsidR="00FB2799">
        <w:rPr>
          <w:rFonts w:cstheme="majorBidi"/>
          <w:lang w:val="en-GB"/>
        </w:rPr>
        <w:t xml:space="preserve">amongst all actors. </w:t>
      </w:r>
      <w:r w:rsidR="15C769C8" w:rsidRPr="09925297">
        <w:rPr>
          <w:rFonts w:cstheme="majorBidi"/>
          <w:lang w:val="en-GB"/>
        </w:rPr>
        <w:t xml:space="preserve"> </w:t>
      </w:r>
    </w:p>
    <w:p w14:paraId="2FD545DD" w14:textId="779169A7" w:rsidR="00FB2799" w:rsidRDefault="006A5CE8" w:rsidP="006A5CE8">
      <w:pPr>
        <w:pStyle w:val="ListParagraph"/>
        <w:numPr>
          <w:ilvl w:val="0"/>
          <w:numId w:val="49"/>
        </w:numPr>
        <w:tabs>
          <w:tab w:val="left" w:pos="450"/>
        </w:tabs>
        <w:spacing w:before="120" w:after="0" w:line="276" w:lineRule="auto"/>
        <w:jc w:val="both"/>
        <w:rPr>
          <w:rFonts w:cstheme="majorBidi"/>
          <w:lang w:val="en-GB"/>
        </w:rPr>
      </w:pPr>
      <w:r w:rsidRPr="006A5CE8">
        <w:rPr>
          <w:rFonts w:cstheme="majorBidi"/>
          <w:b/>
          <w:bCs/>
          <w:i/>
          <w:iCs/>
          <w:lang w:val="en-GB"/>
        </w:rPr>
        <w:t>Housing d</w:t>
      </w:r>
      <w:r w:rsidR="00FB2799" w:rsidRPr="006A5CE8">
        <w:rPr>
          <w:rFonts w:cstheme="majorBidi"/>
          <w:b/>
          <w:bCs/>
          <w:i/>
          <w:iCs/>
          <w:lang w:val="en-GB"/>
        </w:rPr>
        <w:t>ata availability</w:t>
      </w:r>
      <w:r w:rsidRPr="006A5CE8">
        <w:rPr>
          <w:rFonts w:cstheme="majorBidi"/>
          <w:b/>
          <w:bCs/>
          <w:i/>
          <w:iCs/>
          <w:lang w:val="en-GB"/>
        </w:rPr>
        <w:t xml:space="preserve"> and disclosure</w:t>
      </w:r>
      <w:r w:rsidR="00FB2799" w:rsidRPr="006A5CE8">
        <w:rPr>
          <w:rFonts w:cstheme="majorBidi"/>
          <w:lang w:val="en-GB"/>
        </w:rPr>
        <w:t xml:space="preserve">: it is highly recommended to </w:t>
      </w:r>
      <w:r w:rsidR="0072330C" w:rsidRPr="006A5CE8">
        <w:rPr>
          <w:rFonts w:cstheme="majorBidi"/>
          <w:lang w:val="en-GB"/>
        </w:rPr>
        <w:t xml:space="preserve">construct a sustainable dataset of housing prices in Egypt with wide geographical coverage and </w:t>
      </w:r>
      <w:r w:rsidR="00225C6A" w:rsidRPr="006A5CE8">
        <w:rPr>
          <w:rFonts w:cstheme="majorBidi"/>
          <w:lang w:val="en-GB"/>
        </w:rPr>
        <w:t xml:space="preserve">replicate and further develop the Egyptian Housing Price Index designed in this paper. </w:t>
      </w:r>
      <w:r>
        <w:rPr>
          <w:rFonts w:cstheme="majorBidi"/>
          <w:lang w:val="en-GB"/>
        </w:rPr>
        <w:t>In addition to its importance for research, d</w:t>
      </w:r>
      <w:r w:rsidR="0046388D" w:rsidRPr="006A5CE8">
        <w:rPr>
          <w:rFonts w:cstheme="majorBidi"/>
          <w:lang w:val="en-GB"/>
        </w:rPr>
        <w:t>ata availability</w:t>
      </w:r>
      <w:r>
        <w:rPr>
          <w:rFonts w:cstheme="majorBidi"/>
          <w:lang w:val="en-GB"/>
        </w:rPr>
        <w:t xml:space="preserve"> and disclosure</w:t>
      </w:r>
      <w:r w:rsidR="0046388D" w:rsidRPr="006A5CE8">
        <w:rPr>
          <w:rFonts w:cstheme="majorBidi"/>
          <w:lang w:val="en-GB"/>
        </w:rPr>
        <w:t xml:space="preserve"> will help design proper monetary and financial </w:t>
      </w:r>
      <w:r w:rsidR="35E1F328" w:rsidRPr="7B42B693">
        <w:rPr>
          <w:rFonts w:cstheme="majorBidi"/>
          <w:lang w:val="en-GB"/>
        </w:rPr>
        <w:t>policies</w:t>
      </w:r>
      <w:r w:rsidR="0046388D" w:rsidRPr="006A5CE8">
        <w:rPr>
          <w:rFonts w:cstheme="majorBidi"/>
          <w:lang w:val="en-GB"/>
        </w:rPr>
        <w:t xml:space="preserve">, support a proper operation </w:t>
      </w:r>
      <w:r w:rsidR="0079178D" w:rsidRPr="006A5CE8">
        <w:rPr>
          <w:rFonts w:cstheme="majorBidi"/>
          <w:lang w:val="en-GB"/>
        </w:rPr>
        <w:t>of supply and demand mechanisms and most importantly minimize moral hazards and asymmetric information problems</w:t>
      </w:r>
      <w:r w:rsidRPr="006A5CE8">
        <w:rPr>
          <w:rFonts w:cstheme="majorBidi"/>
          <w:lang w:val="en-GB"/>
        </w:rPr>
        <w:t>.</w:t>
      </w:r>
    </w:p>
    <w:p w14:paraId="53C90080" w14:textId="711816A5" w:rsidR="00212128" w:rsidRDefault="00212128" w:rsidP="006A5CE8">
      <w:pPr>
        <w:pStyle w:val="ListParagraph"/>
        <w:numPr>
          <w:ilvl w:val="0"/>
          <w:numId w:val="49"/>
        </w:numPr>
        <w:tabs>
          <w:tab w:val="left" w:pos="450"/>
        </w:tabs>
        <w:spacing w:before="120" w:after="0" w:line="276" w:lineRule="auto"/>
        <w:jc w:val="both"/>
        <w:rPr>
          <w:rFonts w:cstheme="majorBidi"/>
          <w:lang w:val="en-GB"/>
        </w:rPr>
      </w:pPr>
      <w:r>
        <w:rPr>
          <w:rFonts w:cstheme="majorBidi"/>
          <w:b/>
          <w:bCs/>
          <w:i/>
          <w:iCs/>
          <w:lang w:val="en-GB"/>
        </w:rPr>
        <w:t>Institutional measures</w:t>
      </w:r>
      <w:r w:rsidRPr="00212128">
        <w:rPr>
          <w:rFonts w:cstheme="majorBidi"/>
          <w:lang w:val="en-GB"/>
        </w:rPr>
        <w:t>:</w:t>
      </w:r>
      <w:r>
        <w:rPr>
          <w:rFonts w:cstheme="majorBidi"/>
          <w:lang w:val="en-GB"/>
        </w:rPr>
        <w:t xml:space="preserve"> </w:t>
      </w:r>
      <w:r w:rsidR="00644CB5">
        <w:rPr>
          <w:rFonts w:cstheme="majorBidi"/>
          <w:lang w:val="en-GB"/>
        </w:rPr>
        <w:t xml:space="preserve">since government policies were proven to highly impact housing prices and expectations, it is essential to study more deeply the implications of recent housing policies on the Egyptian housing market dynamics. </w:t>
      </w:r>
      <w:r w:rsidR="001A1D8B">
        <w:rPr>
          <w:rFonts w:cstheme="majorBidi"/>
          <w:lang w:val="en-GB"/>
        </w:rPr>
        <w:t>Initiatives such as the recent mortgage finance initiative is expected to influence th</w:t>
      </w:r>
      <w:r w:rsidR="002D1A54">
        <w:rPr>
          <w:rFonts w:cstheme="majorBidi"/>
          <w:lang w:val="en-GB"/>
        </w:rPr>
        <w:t xml:space="preserve">is market </w:t>
      </w:r>
      <w:r w:rsidR="00992314">
        <w:rPr>
          <w:rFonts w:cstheme="majorBidi"/>
          <w:lang w:val="en-GB"/>
        </w:rPr>
        <w:t>significantly</w:t>
      </w:r>
      <w:r w:rsidR="00847F66">
        <w:rPr>
          <w:rFonts w:cstheme="majorBidi"/>
          <w:lang w:val="en-GB"/>
        </w:rPr>
        <w:t xml:space="preserve"> through many channels</w:t>
      </w:r>
      <w:r w:rsidR="008762E2">
        <w:rPr>
          <w:rFonts w:cstheme="majorBidi"/>
          <w:lang w:val="en-GB"/>
        </w:rPr>
        <w:t xml:space="preserve"> top of which is the asset price channel. </w:t>
      </w:r>
      <w:r w:rsidR="002D1A54">
        <w:rPr>
          <w:rFonts w:cstheme="majorBidi"/>
          <w:lang w:val="en-GB"/>
        </w:rPr>
        <w:t xml:space="preserve"> </w:t>
      </w:r>
    </w:p>
    <w:p w14:paraId="28B2B93E" w14:textId="1F05695E" w:rsidR="005D336C" w:rsidRDefault="00992314" w:rsidP="00C72768">
      <w:pPr>
        <w:pStyle w:val="ListParagraph"/>
        <w:numPr>
          <w:ilvl w:val="0"/>
          <w:numId w:val="49"/>
        </w:numPr>
        <w:tabs>
          <w:tab w:val="left" w:pos="450"/>
        </w:tabs>
        <w:spacing w:before="120" w:after="0" w:line="276" w:lineRule="auto"/>
        <w:jc w:val="both"/>
        <w:rPr>
          <w:rFonts w:cstheme="majorBidi"/>
          <w:lang w:val="en-GB"/>
        </w:rPr>
      </w:pPr>
      <w:r w:rsidRPr="000769FF">
        <w:rPr>
          <w:rFonts w:cstheme="majorBidi"/>
          <w:b/>
          <w:bCs/>
          <w:i/>
          <w:iCs/>
          <w:lang w:val="en-GB"/>
        </w:rPr>
        <w:t>Cultural and religious variables</w:t>
      </w:r>
      <w:r>
        <w:rPr>
          <w:rFonts w:cstheme="majorBidi"/>
          <w:lang w:val="en-GB"/>
        </w:rPr>
        <w:t xml:space="preserve">: Cultural and religious variables </w:t>
      </w:r>
      <w:r w:rsidR="00591EE3">
        <w:rPr>
          <w:rFonts w:cstheme="majorBidi"/>
          <w:lang w:val="en-GB"/>
        </w:rPr>
        <w:t xml:space="preserve">that affect investment behaviour in general and housing investment </w:t>
      </w:r>
      <w:r w:rsidR="000769FF">
        <w:rPr>
          <w:rFonts w:cstheme="majorBidi"/>
          <w:lang w:val="en-GB"/>
        </w:rPr>
        <w:t>is</w:t>
      </w:r>
      <w:r w:rsidR="00591EE3">
        <w:rPr>
          <w:rFonts w:cstheme="majorBidi"/>
          <w:lang w:val="en-GB"/>
        </w:rPr>
        <w:t xml:space="preserve"> worth more investigation. </w:t>
      </w:r>
      <w:r w:rsidR="002F48C3">
        <w:rPr>
          <w:rFonts w:cstheme="majorBidi"/>
          <w:lang w:val="en-GB"/>
        </w:rPr>
        <w:t xml:space="preserve">Housing investment could reflect </w:t>
      </w:r>
      <w:r w:rsidR="00A03B23">
        <w:rPr>
          <w:rFonts w:cstheme="majorBidi"/>
          <w:lang w:val="en-GB"/>
        </w:rPr>
        <w:t>an alternative to banking investment -</w:t>
      </w:r>
      <w:r w:rsidR="003B78C0">
        <w:rPr>
          <w:rFonts w:cstheme="majorBidi"/>
          <w:lang w:val="en-GB"/>
        </w:rPr>
        <w:t>perceived</w:t>
      </w:r>
      <w:r w:rsidR="00A03B23">
        <w:rPr>
          <w:rFonts w:cstheme="majorBidi"/>
          <w:lang w:val="en-GB"/>
        </w:rPr>
        <w:t xml:space="preserve"> as </w:t>
      </w:r>
      <w:r w:rsidR="00E31683">
        <w:rPr>
          <w:rFonts w:cstheme="majorBidi"/>
          <w:lang w:val="en-GB"/>
        </w:rPr>
        <w:t xml:space="preserve">non-sharia compliant- by some Egyptians. Housing investment could also be </w:t>
      </w:r>
      <w:r w:rsidR="003B78C0">
        <w:rPr>
          <w:rFonts w:cstheme="majorBidi"/>
          <w:lang w:val="en-GB"/>
        </w:rPr>
        <w:t xml:space="preserve">perceived as an alternative to the weak non-banking financial sector in Egypt. </w:t>
      </w:r>
    </w:p>
    <w:p w14:paraId="63BA465E" w14:textId="1F05695E" w:rsidR="00C72768" w:rsidRPr="00C72768" w:rsidRDefault="00C72768" w:rsidP="00C72768">
      <w:pPr>
        <w:pStyle w:val="ListParagraph"/>
        <w:tabs>
          <w:tab w:val="left" w:pos="450"/>
        </w:tabs>
        <w:spacing w:before="120" w:after="0" w:line="276" w:lineRule="auto"/>
        <w:jc w:val="both"/>
        <w:rPr>
          <w:rFonts w:cstheme="majorBidi"/>
          <w:lang w:val="en-GB"/>
        </w:rPr>
      </w:pPr>
    </w:p>
    <w:p w14:paraId="2E337047" w14:textId="0B5141C3" w:rsidR="20F0DE81" w:rsidRDefault="20F0DE81" w:rsidP="5A9D67C6">
      <w:pPr>
        <w:tabs>
          <w:tab w:val="left" w:pos="1710"/>
        </w:tabs>
        <w:spacing w:before="120" w:after="0" w:line="276" w:lineRule="auto"/>
        <w:ind w:left="360"/>
        <w:jc w:val="both"/>
        <w:rPr>
          <w:rFonts w:ascii="Times New Roman" w:eastAsia="Calibri" w:hAnsi="Times New Roman" w:cs="Arial"/>
          <w:color w:val="FF0000"/>
          <w:lang w:val="en-GB"/>
        </w:rPr>
      </w:pPr>
      <w:r w:rsidRPr="5A9D67C6">
        <w:rPr>
          <w:rFonts w:ascii="Times New Roman" w:eastAsia="Calibri" w:hAnsi="Times New Roman" w:cs="Arial"/>
          <w:color w:val="FF0000"/>
          <w:lang w:val="en-GB"/>
        </w:rPr>
        <w:t>More elaboration about the policy implications</w:t>
      </w:r>
      <w:r w:rsidR="00AD341E">
        <w:rPr>
          <w:rFonts w:ascii="Times New Roman" w:eastAsia="Calibri" w:hAnsi="Times New Roman" w:cs="Arial"/>
          <w:color w:val="FF0000"/>
          <w:lang w:val="en-GB"/>
        </w:rPr>
        <w:t xml:space="preserve"> after adding some information on the institutional setup governing the sector </w:t>
      </w:r>
      <w:r w:rsidR="00C72768">
        <w:rPr>
          <w:rFonts w:ascii="Times New Roman" w:eastAsia="Calibri" w:hAnsi="Times New Roman" w:cs="Arial"/>
          <w:color w:val="FF0000"/>
          <w:lang w:val="en-GB"/>
        </w:rPr>
        <w:t>and after elaborating on the behavioural factors</w:t>
      </w:r>
    </w:p>
    <w:p w14:paraId="01EBBD8E" w14:textId="37E25C7E" w:rsidR="5A9D67C6" w:rsidRDefault="5A9D67C6" w:rsidP="5A9D67C6">
      <w:pPr>
        <w:tabs>
          <w:tab w:val="left" w:pos="1710"/>
        </w:tabs>
        <w:spacing w:before="120" w:after="0" w:line="276" w:lineRule="auto"/>
        <w:ind w:left="360"/>
        <w:jc w:val="both"/>
        <w:rPr>
          <w:rFonts w:ascii="Times New Roman" w:eastAsia="Calibri" w:hAnsi="Times New Roman" w:cs="Arial"/>
          <w:lang w:val="en-GB"/>
        </w:rPr>
      </w:pPr>
    </w:p>
    <w:p w14:paraId="67E0AACB" w14:textId="0C16D603" w:rsidR="00345237" w:rsidRPr="006B7B36" w:rsidRDefault="20F0DE81" w:rsidP="006B7B36">
      <w:pPr>
        <w:pStyle w:val="Heading1"/>
        <w:numPr>
          <w:ilvl w:val="0"/>
          <w:numId w:val="48"/>
        </w:numPr>
        <w:tabs>
          <w:tab w:val="left" w:pos="1710"/>
        </w:tabs>
        <w:spacing w:line="276" w:lineRule="auto"/>
        <w:rPr>
          <w:rFonts w:eastAsiaTheme="majorBidi"/>
          <w:bCs/>
          <w:szCs w:val="28"/>
          <w:lang w:val="en-GB"/>
        </w:rPr>
      </w:pPr>
      <w:r w:rsidRPr="5A9D67C6">
        <w:rPr>
          <w:lang w:val="en-GB"/>
        </w:rPr>
        <w:t>Limitation</w:t>
      </w:r>
      <w:r w:rsidR="00BB1F09">
        <w:t>s</w:t>
      </w:r>
      <w:r w:rsidRPr="5A9D67C6">
        <w:rPr>
          <w:lang w:val="en-GB"/>
        </w:rPr>
        <w:t xml:space="preserve"> and Future Research</w:t>
      </w:r>
    </w:p>
    <w:p w14:paraId="58A48120" w14:textId="630DE8C2" w:rsidR="4CC35C7E" w:rsidRPr="00AF45FC" w:rsidRDefault="29A46B17" w:rsidP="00AF45FC">
      <w:pPr>
        <w:jc w:val="both"/>
        <w:rPr>
          <w:rFonts w:ascii="Times New Roman" w:eastAsia="Times New Roman" w:hAnsi="Times New Roman" w:cs="Times New Roman"/>
          <w:color w:val="000000" w:themeColor="text1"/>
          <w:lang w:val="en-GB"/>
        </w:rPr>
      </w:pPr>
      <w:r w:rsidRPr="78D5778C">
        <w:rPr>
          <w:rFonts w:ascii="Times New Roman" w:eastAsia="Times New Roman" w:hAnsi="Times New Roman" w:cs="Times New Roman"/>
          <w:color w:val="000000" w:themeColor="text1"/>
          <w:lang w:val="en-GB"/>
        </w:rPr>
        <w:t xml:space="preserve">The main </w:t>
      </w:r>
      <w:r w:rsidR="43A2B01E" w:rsidRPr="78D5778C">
        <w:rPr>
          <w:rFonts w:ascii="Times New Roman" w:eastAsia="Times New Roman" w:hAnsi="Times New Roman" w:cs="Times New Roman"/>
          <w:color w:val="000000" w:themeColor="text1"/>
          <w:lang w:val="en-GB"/>
        </w:rPr>
        <w:t>limitation</w:t>
      </w:r>
      <w:r w:rsidR="00345237">
        <w:rPr>
          <w:rFonts w:ascii="Times New Roman" w:eastAsia="Times New Roman" w:hAnsi="Times New Roman" w:cs="Times New Roman"/>
          <w:color w:val="000000" w:themeColor="text1"/>
          <w:lang w:val="en-GB"/>
        </w:rPr>
        <w:t xml:space="preserve"> </w:t>
      </w:r>
      <w:r w:rsidRPr="78D5778C">
        <w:rPr>
          <w:rFonts w:ascii="Times New Roman" w:eastAsia="Times New Roman" w:hAnsi="Times New Roman" w:cs="Times New Roman"/>
          <w:color w:val="000000" w:themeColor="text1"/>
          <w:lang w:val="en-GB"/>
        </w:rPr>
        <w:t xml:space="preserve">of our study is the absence of </w:t>
      </w:r>
      <w:r w:rsidR="006B7B36">
        <w:rPr>
          <w:rFonts w:ascii="Times New Roman" w:eastAsia="Times New Roman" w:hAnsi="Times New Roman" w:cs="Times New Roman"/>
          <w:color w:val="000000" w:themeColor="text1"/>
          <w:lang w:val="en-GB"/>
        </w:rPr>
        <w:t>housing prices</w:t>
      </w:r>
      <w:r w:rsidRPr="78D5778C">
        <w:rPr>
          <w:rFonts w:ascii="Times New Roman" w:eastAsia="Times New Roman" w:hAnsi="Times New Roman" w:cs="Times New Roman"/>
          <w:color w:val="000000" w:themeColor="text1"/>
          <w:lang w:val="en-GB"/>
        </w:rPr>
        <w:t xml:space="preserve"> datasets or </w:t>
      </w:r>
      <w:r w:rsidR="00345237">
        <w:rPr>
          <w:rFonts w:ascii="Times New Roman" w:eastAsia="Times New Roman" w:hAnsi="Times New Roman" w:cs="Times New Roman"/>
          <w:color w:val="000000" w:themeColor="text1"/>
          <w:lang w:val="en-GB"/>
        </w:rPr>
        <w:t>reference</w:t>
      </w:r>
      <w:r w:rsidR="006B7B36">
        <w:rPr>
          <w:rFonts w:ascii="Times New Roman" w:eastAsia="Times New Roman" w:hAnsi="Times New Roman" w:cs="Times New Roman"/>
          <w:color w:val="000000" w:themeColor="text1"/>
          <w:lang w:val="en-GB"/>
        </w:rPr>
        <w:t>s</w:t>
      </w:r>
      <w:r w:rsidR="00345237">
        <w:rPr>
          <w:rFonts w:ascii="Times New Roman" w:eastAsia="Times New Roman" w:hAnsi="Times New Roman" w:cs="Times New Roman"/>
          <w:color w:val="000000" w:themeColor="text1"/>
          <w:lang w:val="en-GB"/>
        </w:rPr>
        <w:t xml:space="preserve"> through which we can </w:t>
      </w:r>
      <w:r w:rsidR="006B7B36">
        <w:rPr>
          <w:rFonts w:ascii="Times New Roman" w:eastAsia="Times New Roman" w:hAnsi="Times New Roman" w:cs="Times New Roman"/>
          <w:color w:val="000000" w:themeColor="text1"/>
          <w:lang w:val="en-GB"/>
        </w:rPr>
        <w:t>compare our results to</w:t>
      </w:r>
      <w:r w:rsidRPr="78D5778C">
        <w:rPr>
          <w:rFonts w:ascii="Times New Roman" w:eastAsia="Times New Roman" w:hAnsi="Times New Roman" w:cs="Times New Roman"/>
          <w:color w:val="000000" w:themeColor="text1"/>
          <w:lang w:val="en-GB"/>
        </w:rPr>
        <w:t>. Also,</w:t>
      </w:r>
      <w:r w:rsidR="0E1B9F17" w:rsidRPr="78D5778C">
        <w:rPr>
          <w:rFonts w:ascii="Times New Roman" w:eastAsia="Times New Roman" w:hAnsi="Times New Roman" w:cs="Times New Roman"/>
          <w:color w:val="000000" w:themeColor="text1"/>
          <w:lang w:val="en-GB"/>
        </w:rPr>
        <w:t xml:space="preserve"> due to funding constraints</w:t>
      </w:r>
      <w:r w:rsidR="0614399D" w:rsidRPr="78D5778C">
        <w:rPr>
          <w:rFonts w:ascii="Times New Roman" w:eastAsia="Times New Roman" w:hAnsi="Times New Roman" w:cs="Times New Roman"/>
          <w:color w:val="000000" w:themeColor="text1"/>
          <w:lang w:val="en-GB"/>
        </w:rPr>
        <w:t>,</w:t>
      </w:r>
      <w:r w:rsidR="0E1B9F17" w:rsidRPr="78D5778C">
        <w:rPr>
          <w:rFonts w:ascii="Times New Roman" w:eastAsia="Times New Roman" w:hAnsi="Times New Roman" w:cs="Times New Roman"/>
          <w:color w:val="000000" w:themeColor="text1"/>
          <w:lang w:val="en-GB"/>
        </w:rPr>
        <w:t xml:space="preserve"> </w:t>
      </w:r>
      <w:r w:rsidR="006B7B36">
        <w:rPr>
          <w:rFonts w:ascii="Times New Roman" w:eastAsia="Times New Roman" w:hAnsi="Times New Roman" w:cs="Times New Roman"/>
          <w:color w:val="000000" w:themeColor="text1"/>
          <w:lang w:val="en-GB"/>
        </w:rPr>
        <w:t>the field study was limited</w:t>
      </w:r>
      <w:r w:rsidR="0E1B9F17" w:rsidRPr="78D5778C">
        <w:rPr>
          <w:rFonts w:ascii="Times New Roman" w:eastAsia="Times New Roman" w:hAnsi="Times New Roman" w:cs="Times New Roman"/>
          <w:color w:val="000000" w:themeColor="text1"/>
          <w:lang w:val="en-GB"/>
        </w:rPr>
        <w:t xml:space="preserve"> to </w:t>
      </w:r>
      <w:r w:rsidR="4EC99BC9" w:rsidRPr="78D5778C">
        <w:rPr>
          <w:rFonts w:ascii="Times New Roman" w:eastAsia="Times New Roman" w:hAnsi="Times New Roman" w:cs="Times New Roman"/>
          <w:color w:val="000000" w:themeColor="text1"/>
          <w:lang w:val="en-GB"/>
        </w:rPr>
        <w:t>four</w:t>
      </w:r>
      <w:r w:rsidR="0E1B9F17" w:rsidRPr="78D5778C">
        <w:rPr>
          <w:rFonts w:ascii="Times New Roman" w:eastAsia="Times New Roman" w:hAnsi="Times New Roman" w:cs="Times New Roman"/>
          <w:color w:val="000000" w:themeColor="text1"/>
          <w:lang w:val="en-GB"/>
        </w:rPr>
        <w:t xml:space="preserve"> geographical area</w:t>
      </w:r>
      <w:r w:rsidR="006B7B36">
        <w:rPr>
          <w:rFonts w:ascii="Times New Roman" w:eastAsia="Times New Roman" w:hAnsi="Times New Roman" w:cs="Times New Roman"/>
          <w:color w:val="000000" w:themeColor="text1"/>
          <w:lang w:val="en-GB"/>
        </w:rPr>
        <w:t>s</w:t>
      </w:r>
      <w:r w:rsidR="35E105FB" w:rsidRPr="78D5778C">
        <w:rPr>
          <w:rFonts w:ascii="Times New Roman" w:eastAsia="Times New Roman" w:hAnsi="Times New Roman" w:cs="Times New Roman"/>
          <w:color w:val="000000" w:themeColor="text1"/>
          <w:lang w:val="en-GB"/>
        </w:rPr>
        <w:t xml:space="preserve">. </w:t>
      </w:r>
      <w:r w:rsidR="6ABD4AF1" w:rsidRPr="04A051AA">
        <w:rPr>
          <w:rFonts w:ascii="Times New Roman" w:eastAsia="Times New Roman" w:hAnsi="Times New Roman" w:cs="Times New Roman"/>
          <w:color w:val="000000" w:themeColor="text1"/>
          <w:lang w:val="en-GB"/>
        </w:rPr>
        <w:t>For future research</w:t>
      </w:r>
      <w:r w:rsidR="041B7062" w:rsidRPr="4A24EC33">
        <w:rPr>
          <w:rFonts w:ascii="Times New Roman" w:eastAsia="Times New Roman" w:hAnsi="Times New Roman" w:cs="Times New Roman"/>
          <w:color w:val="000000" w:themeColor="text1"/>
          <w:lang w:val="en-GB"/>
        </w:rPr>
        <w:t xml:space="preserve"> and due to </w:t>
      </w:r>
      <w:r w:rsidR="041B7062" w:rsidRPr="63A1C0B1">
        <w:rPr>
          <w:rFonts w:ascii="Times New Roman" w:eastAsia="Times New Roman" w:hAnsi="Times New Roman" w:cs="Times New Roman"/>
          <w:color w:val="000000" w:themeColor="text1"/>
          <w:lang w:val="en-GB"/>
        </w:rPr>
        <w:t xml:space="preserve">the significant </w:t>
      </w:r>
      <w:r w:rsidR="482F22A7" w:rsidRPr="12FF2C71">
        <w:rPr>
          <w:rFonts w:ascii="Times New Roman" w:eastAsia="Times New Roman" w:hAnsi="Times New Roman" w:cs="Times New Roman"/>
          <w:color w:val="000000" w:themeColor="text1"/>
          <w:lang w:val="en-GB"/>
        </w:rPr>
        <w:t>discrepancy</w:t>
      </w:r>
      <w:r w:rsidR="43811122" w:rsidRPr="12FF2C71">
        <w:rPr>
          <w:rFonts w:ascii="Times New Roman" w:eastAsia="Times New Roman" w:hAnsi="Times New Roman" w:cs="Times New Roman"/>
          <w:color w:val="000000" w:themeColor="text1"/>
          <w:lang w:val="en-GB"/>
        </w:rPr>
        <w:t xml:space="preserve"> </w:t>
      </w:r>
      <w:r w:rsidR="3E924B55" w:rsidRPr="12FF2C71">
        <w:rPr>
          <w:rFonts w:ascii="Times New Roman" w:eastAsia="Times New Roman" w:hAnsi="Times New Roman" w:cs="Times New Roman"/>
          <w:color w:val="000000" w:themeColor="text1"/>
          <w:lang w:val="en-GB"/>
        </w:rPr>
        <w:t>between</w:t>
      </w:r>
      <w:r w:rsidR="43811122" w:rsidRPr="12FF2C71">
        <w:rPr>
          <w:rFonts w:ascii="Times New Roman" w:eastAsia="Times New Roman" w:hAnsi="Times New Roman" w:cs="Times New Roman"/>
          <w:color w:val="000000" w:themeColor="text1"/>
          <w:lang w:val="en-GB"/>
        </w:rPr>
        <w:t xml:space="preserve"> household</w:t>
      </w:r>
      <w:r w:rsidR="106CB815" w:rsidRPr="12FF2C71">
        <w:rPr>
          <w:rFonts w:ascii="Times New Roman" w:eastAsia="Times New Roman" w:hAnsi="Times New Roman" w:cs="Times New Roman"/>
          <w:color w:val="000000" w:themeColor="text1"/>
          <w:lang w:val="en-GB"/>
        </w:rPr>
        <w:t xml:space="preserve">s </w:t>
      </w:r>
      <w:r w:rsidR="6E05636B" w:rsidRPr="12FF2C71">
        <w:rPr>
          <w:rFonts w:ascii="Times New Roman" w:eastAsia="Times New Roman" w:hAnsi="Times New Roman" w:cs="Times New Roman"/>
          <w:color w:val="000000" w:themeColor="text1"/>
          <w:lang w:val="en-GB"/>
        </w:rPr>
        <w:t>an</w:t>
      </w:r>
      <w:r w:rsidR="106CB815" w:rsidRPr="12FF2C71">
        <w:rPr>
          <w:rFonts w:ascii="Times New Roman" w:eastAsia="Times New Roman" w:hAnsi="Times New Roman" w:cs="Times New Roman"/>
          <w:color w:val="000000" w:themeColor="text1"/>
          <w:lang w:val="en-GB"/>
        </w:rPr>
        <w:t xml:space="preserve">d </w:t>
      </w:r>
      <w:r w:rsidR="006B7B36">
        <w:rPr>
          <w:rFonts w:ascii="Times New Roman" w:eastAsia="Times New Roman" w:hAnsi="Times New Roman" w:cs="Times New Roman"/>
          <w:color w:val="000000" w:themeColor="text1"/>
          <w:lang w:val="en-GB"/>
        </w:rPr>
        <w:t>d</w:t>
      </w:r>
      <w:r w:rsidR="13F0A3F6" w:rsidRPr="12FF2C71">
        <w:rPr>
          <w:rFonts w:ascii="Times New Roman" w:eastAsia="Times New Roman" w:hAnsi="Times New Roman" w:cs="Times New Roman"/>
          <w:color w:val="000000" w:themeColor="text1"/>
          <w:lang w:val="en-GB"/>
        </w:rPr>
        <w:t>evelopers</w:t>
      </w:r>
      <w:r w:rsidR="106CB815" w:rsidRPr="12FF2C71">
        <w:rPr>
          <w:rFonts w:ascii="Times New Roman" w:eastAsia="Times New Roman" w:hAnsi="Times New Roman" w:cs="Times New Roman"/>
          <w:color w:val="000000" w:themeColor="text1"/>
          <w:lang w:val="en-GB"/>
        </w:rPr>
        <w:t xml:space="preserve"> &amp; </w:t>
      </w:r>
      <w:r w:rsidR="006B7B36">
        <w:rPr>
          <w:rFonts w:ascii="Times New Roman" w:eastAsia="Times New Roman" w:hAnsi="Times New Roman" w:cs="Times New Roman"/>
          <w:color w:val="000000" w:themeColor="text1"/>
          <w:lang w:val="en-GB"/>
        </w:rPr>
        <w:t>b</w:t>
      </w:r>
      <w:r w:rsidR="106CB815" w:rsidRPr="12FF2C71">
        <w:rPr>
          <w:rFonts w:ascii="Times New Roman" w:eastAsia="Times New Roman" w:hAnsi="Times New Roman" w:cs="Times New Roman"/>
          <w:color w:val="000000" w:themeColor="text1"/>
          <w:lang w:val="en-GB"/>
        </w:rPr>
        <w:t>rokers</w:t>
      </w:r>
      <w:r w:rsidR="5C967043" w:rsidRPr="12FF2C71">
        <w:rPr>
          <w:rFonts w:ascii="Times New Roman" w:eastAsia="Times New Roman" w:hAnsi="Times New Roman" w:cs="Times New Roman"/>
          <w:color w:val="000000" w:themeColor="text1"/>
          <w:lang w:val="en-GB"/>
        </w:rPr>
        <w:t xml:space="preserve"> </w:t>
      </w:r>
      <w:r w:rsidR="26ED4AE4" w:rsidRPr="12FF2C71">
        <w:rPr>
          <w:rFonts w:ascii="Times New Roman" w:eastAsia="Times New Roman" w:hAnsi="Times New Roman" w:cs="Times New Roman"/>
          <w:color w:val="000000" w:themeColor="text1"/>
          <w:lang w:val="en-GB"/>
        </w:rPr>
        <w:t>perception,</w:t>
      </w:r>
      <w:r w:rsidR="6ABD4AF1" w:rsidRPr="04A051AA">
        <w:rPr>
          <w:rFonts w:ascii="Times New Roman" w:eastAsia="Times New Roman" w:hAnsi="Times New Roman" w:cs="Times New Roman"/>
          <w:color w:val="000000" w:themeColor="text1"/>
          <w:lang w:val="en-GB"/>
        </w:rPr>
        <w:t xml:space="preserve"> we </w:t>
      </w:r>
      <w:r w:rsidR="6ABD4AF1" w:rsidRPr="00C03864">
        <w:rPr>
          <w:rFonts w:ascii="Times New Roman" w:eastAsia="Times New Roman" w:hAnsi="Times New Roman" w:cs="Times New Roman"/>
          <w:color w:val="000000" w:themeColor="text1"/>
          <w:lang w:val="en-GB"/>
        </w:rPr>
        <w:t xml:space="preserve">plan to </w:t>
      </w:r>
      <w:r w:rsidR="5DE01C41" w:rsidRPr="00C03864">
        <w:rPr>
          <w:rFonts w:ascii="Times New Roman" w:eastAsia="Times New Roman" w:hAnsi="Times New Roman" w:cs="Times New Roman"/>
          <w:color w:val="000000" w:themeColor="text1"/>
          <w:lang w:val="en-GB"/>
        </w:rPr>
        <w:t>conduct</w:t>
      </w:r>
      <w:r w:rsidR="6ABD4AF1" w:rsidRPr="00C03864">
        <w:rPr>
          <w:rFonts w:ascii="Times New Roman" w:eastAsia="Times New Roman" w:hAnsi="Times New Roman" w:cs="Times New Roman"/>
          <w:color w:val="000000" w:themeColor="text1"/>
          <w:lang w:val="en-GB"/>
        </w:rPr>
        <w:t xml:space="preserve"> </w:t>
      </w:r>
      <w:r w:rsidR="006B7B36" w:rsidRPr="00C03864">
        <w:rPr>
          <w:rFonts w:ascii="Times New Roman" w:eastAsia="Times New Roman" w:hAnsi="Times New Roman" w:cs="Times New Roman"/>
          <w:color w:val="000000" w:themeColor="text1"/>
          <w:lang w:val="en-GB"/>
        </w:rPr>
        <w:t xml:space="preserve">a </w:t>
      </w:r>
      <w:r w:rsidR="431AE6A1" w:rsidRPr="00C03864">
        <w:rPr>
          <w:rFonts w:ascii="Times New Roman" w:eastAsia="Times New Roman" w:hAnsi="Times New Roman" w:cs="Times New Roman"/>
          <w:color w:val="000000" w:themeColor="text1"/>
          <w:lang w:val="en-GB"/>
        </w:rPr>
        <w:t>lab</w:t>
      </w:r>
      <w:r w:rsidR="6ABD4AF1" w:rsidRPr="00C03864">
        <w:rPr>
          <w:rFonts w:ascii="Times New Roman" w:eastAsia="Times New Roman" w:hAnsi="Times New Roman" w:cs="Times New Roman"/>
          <w:color w:val="000000" w:themeColor="text1"/>
          <w:lang w:val="en-GB"/>
        </w:rPr>
        <w:t xml:space="preserve"> </w:t>
      </w:r>
      <w:r w:rsidR="2DF7FE94" w:rsidRPr="00C03864">
        <w:rPr>
          <w:rFonts w:ascii="Times New Roman" w:eastAsia="Times New Roman" w:hAnsi="Times New Roman" w:cs="Times New Roman"/>
          <w:color w:val="000000" w:themeColor="text1"/>
          <w:lang w:val="en-GB"/>
        </w:rPr>
        <w:t>experiment</w:t>
      </w:r>
      <w:r w:rsidR="484981B8" w:rsidRPr="00C03864">
        <w:rPr>
          <w:rFonts w:ascii="Times New Roman" w:eastAsia="Times New Roman" w:hAnsi="Times New Roman" w:cs="Times New Roman"/>
          <w:color w:val="000000" w:themeColor="text1"/>
          <w:lang w:val="en-GB"/>
        </w:rPr>
        <w:t xml:space="preserve"> to better </w:t>
      </w:r>
      <w:r w:rsidR="006B7B36" w:rsidRPr="00C03864">
        <w:rPr>
          <w:rFonts w:ascii="Times New Roman" w:eastAsia="Times New Roman" w:hAnsi="Times New Roman" w:cs="Times New Roman"/>
          <w:color w:val="000000" w:themeColor="text1"/>
          <w:lang w:val="en-GB"/>
        </w:rPr>
        <w:t xml:space="preserve">investigate and illustrate the </w:t>
      </w:r>
      <w:r w:rsidR="00FC577E" w:rsidRPr="00C03864">
        <w:rPr>
          <w:rFonts w:ascii="Times New Roman" w:eastAsia="Times New Roman" w:hAnsi="Times New Roman" w:cs="Times New Roman"/>
          <w:color w:val="000000" w:themeColor="text1"/>
          <w:lang w:val="en-GB"/>
        </w:rPr>
        <w:t>behavioural</w:t>
      </w:r>
      <w:r w:rsidR="00CA5053" w:rsidRPr="00C03864">
        <w:rPr>
          <w:rFonts w:ascii="Times New Roman" w:eastAsia="Times New Roman" w:hAnsi="Times New Roman" w:cs="Times New Roman"/>
          <w:color w:val="000000" w:themeColor="text1"/>
          <w:lang w:val="en-GB"/>
        </w:rPr>
        <w:t xml:space="preserve"> assumptions highlighted in liter</w:t>
      </w:r>
      <w:r w:rsidR="00FC577E" w:rsidRPr="00C03864">
        <w:rPr>
          <w:rFonts w:ascii="Times New Roman" w:eastAsia="Times New Roman" w:hAnsi="Times New Roman" w:cs="Times New Roman"/>
          <w:color w:val="000000" w:themeColor="text1"/>
          <w:lang w:val="en-GB"/>
        </w:rPr>
        <w:t xml:space="preserve">ature such as </w:t>
      </w:r>
      <w:r w:rsidR="006B5E69" w:rsidRPr="00C03864">
        <w:rPr>
          <w:rFonts w:ascii="Times New Roman" w:eastAsia="Times New Roman" w:hAnsi="Times New Roman" w:cs="Times New Roman"/>
          <w:color w:val="000000" w:themeColor="text1"/>
          <w:lang w:val="en-GB"/>
        </w:rPr>
        <w:t xml:space="preserve">the </w:t>
      </w:r>
      <w:r w:rsidR="006B5E69" w:rsidRPr="00C03864">
        <w:rPr>
          <w:rFonts w:cstheme="majorBidi"/>
          <w:color w:val="000000" w:themeColor="text1"/>
          <w:shd w:val="clear" w:color="auto" w:fill="FFFFFF"/>
          <w:lang w:val="en-GB"/>
        </w:rPr>
        <w:t>life-cycle risk-aversion hypothesis, the loss aversion hypothesis</w:t>
      </w:r>
      <w:r w:rsidR="00E55A20" w:rsidRPr="00C03864">
        <w:rPr>
          <w:rFonts w:cstheme="majorBidi"/>
          <w:color w:val="000000" w:themeColor="text1"/>
          <w:shd w:val="clear" w:color="auto" w:fill="FFFFFF"/>
          <w:lang w:val="en-GB"/>
        </w:rPr>
        <w:t xml:space="preserve"> and</w:t>
      </w:r>
      <w:r w:rsidR="006B5E69" w:rsidRPr="00C03864">
        <w:rPr>
          <w:rFonts w:cstheme="majorBidi"/>
          <w:color w:val="000000" w:themeColor="text1"/>
          <w:shd w:val="clear" w:color="auto" w:fill="FFFFFF"/>
          <w:lang w:val="en-GB"/>
        </w:rPr>
        <w:t xml:space="preserve"> the endowment bias</w:t>
      </w:r>
      <w:r w:rsidR="484981B8" w:rsidRPr="4F6771CF">
        <w:rPr>
          <w:rFonts w:cstheme="majorBidi"/>
          <w:color w:val="000000" w:themeColor="text1"/>
          <w:shd w:val="clear" w:color="auto" w:fill="FFFFFF"/>
          <w:lang w:val="en-GB"/>
        </w:rPr>
        <w:t>.</w:t>
      </w:r>
      <w:r w:rsidR="484981B8" w:rsidRPr="5E91DD9D">
        <w:rPr>
          <w:rFonts w:ascii="Times New Roman" w:eastAsia="Times New Roman" w:hAnsi="Times New Roman" w:cs="Times New Roman"/>
          <w:color w:val="000000" w:themeColor="text1"/>
          <w:lang w:val="en-GB"/>
        </w:rPr>
        <w:t xml:space="preserve"> </w:t>
      </w:r>
      <w:r w:rsidR="10E5D70C" w:rsidRPr="733FCF2A">
        <w:rPr>
          <w:rFonts w:ascii="Times New Roman" w:eastAsia="Times New Roman" w:hAnsi="Times New Roman" w:cs="Times New Roman"/>
          <w:color w:val="000000" w:themeColor="text1"/>
          <w:lang w:val="en-GB"/>
        </w:rPr>
        <w:t>Finally</w:t>
      </w:r>
      <w:r w:rsidR="484981B8" w:rsidRPr="733FCF2A">
        <w:rPr>
          <w:rFonts w:ascii="Times New Roman" w:eastAsia="Times New Roman" w:hAnsi="Times New Roman" w:cs="Times New Roman"/>
          <w:color w:val="000000" w:themeColor="text1"/>
          <w:lang w:val="en-GB"/>
        </w:rPr>
        <w:t xml:space="preserve">, we hope to widen </w:t>
      </w:r>
      <w:r w:rsidR="00C03864">
        <w:rPr>
          <w:rFonts w:ascii="Times New Roman" w:eastAsia="Times New Roman" w:hAnsi="Times New Roman" w:cs="Times New Roman"/>
          <w:color w:val="000000" w:themeColor="text1"/>
          <w:lang w:val="en-GB"/>
        </w:rPr>
        <w:t>the</w:t>
      </w:r>
      <w:r w:rsidR="484981B8" w:rsidRPr="733FCF2A">
        <w:rPr>
          <w:rFonts w:ascii="Times New Roman" w:eastAsia="Times New Roman" w:hAnsi="Times New Roman" w:cs="Times New Roman"/>
          <w:color w:val="000000" w:themeColor="text1"/>
          <w:lang w:val="en-GB"/>
        </w:rPr>
        <w:t xml:space="preserve"> geographical </w:t>
      </w:r>
      <w:r w:rsidR="00C03864">
        <w:rPr>
          <w:rFonts w:ascii="Times New Roman" w:eastAsia="Times New Roman" w:hAnsi="Times New Roman" w:cs="Times New Roman"/>
          <w:color w:val="000000" w:themeColor="text1"/>
          <w:lang w:val="en-GB"/>
        </w:rPr>
        <w:t xml:space="preserve">scope of this analysis in future research and, ultimately, we </w:t>
      </w:r>
      <w:r w:rsidR="00416A68">
        <w:rPr>
          <w:rFonts w:ascii="Times New Roman" w:eastAsia="Times New Roman" w:hAnsi="Times New Roman" w:cs="Times New Roman"/>
          <w:color w:val="000000" w:themeColor="text1"/>
          <w:lang w:val="en-GB"/>
        </w:rPr>
        <w:t xml:space="preserve">plan to </w:t>
      </w:r>
      <w:r w:rsidR="004A4F50">
        <w:rPr>
          <w:rFonts w:ascii="Times New Roman" w:eastAsia="Times New Roman" w:hAnsi="Times New Roman" w:cs="Times New Roman"/>
          <w:color w:val="000000" w:themeColor="text1"/>
          <w:lang w:val="en-GB"/>
        </w:rPr>
        <w:t>construct a</w:t>
      </w:r>
      <w:r w:rsidR="00D369EB">
        <w:rPr>
          <w:rFonts w:ascii="Times New Roman" w:eastAsia="Times New Roman" w:hAnsi="Times New Roman" w:cs="Times New Roman"/>
          <w:color w:val="000000" w:themeColor="text1"/>
          <w:lang w:val="en-GB"/>
        </w:rPr>
        <w:t xml:space="preserve">n applied “Egyptian Housing Price Index” that would be </w:t>
      </w:r>
      <w:r w:rsidR="00007263">
        <w:rPr>
          <w:rFonts w:ascii="Times New Roman" w:eastAsia="Times New Roman" w:hAnsi="Times New Roman" w:cs="Times New Roman"/>
          <w:color w:val="000000" w:themeColor="text1"/>
          <w:lang w:val="en-GB"/>
        </w:rPr>
        <w:t xml:space="preserve">periodically calculated based on </w:t>
      </w:r>
      <w:r w:rsidR="00AF45FC">
        <w:rPr>
          <w:rFonts w:ascii="Times New Roman" w:eastAsia="Times New Roman" w:hAnsi="Times New Roman" w:cs="Times New Roman"/>
          <w:color w:val="000000" w:themeColor="text1"/>
          <w:lang w:val="en-GB"/>
        </w:rPr>
        <w:t>consequent</w:t>
      </w:r>
      <w:r w:rsidR="00002DEE">
        <w:rPr>
          <w:rFonts w:ascii="Times New Roman" w:eastAsia="Times New Roman" w:hAnsi="Times New Roman" w:cs="Times New Roman"/>
          <w:color w:val="000000" w:themeColor="text1"/>
          <w:lang w:val="en-GB"/>
        </w:rPr>
        <w:t xml:space="preserve"> future waves of the </w:t>
      </w:r>
      <w:r w:rsidR="00AF45FC">
        <w:rPr>
          <w:rFonts w:ascii="Times New Roman" w:eastAsia="Times New Roman" w:hAnsi="Times New Roman" w:cs="Times New Roman"/>
          <w:color w:val="000000" w:themeColor="text1"/>
          <w:lang w:val="en-GB"/>
        </w:rPr>
        <w:t xml:space="preserve">field surveys implemented in this paper. </w:t>
      </w:r>
      <w:r w:rsidR="7C0DAFC6" w:rsidRPr="733FCF2A">
        <w:rPr>
          <w:rFonts w:ascii="Times New Roman" w:eastAsia="Times New Roman" w:hAnsi="Times New Roman" w:cs="Times New Roman"/>
          <w:color w:val="000000" w:themeColor="text1"/>
          <w:lang w:val="en-GB"/>
        </w:rPr>
        <w:t xml:space="preserve"> </w:t>
      </w:r>
    </w:p>
    <w:p w14:paraId="067AC656" w14:textId="471444FA" w:rsidR="00DB00BE" w:rsidRPr="00032DA6" w:rsidRDefault="398C43D4" w:rsidP="00DE108C">
      <w:pPr>
        <w:pStyle w:val="Heading1"/>
        <w:spacing w:line="276" w:lineRule="auto"/>
        <w:rPr>
          <w:rFonts w:cs="Times New Roman"/>
          <w:lang w:val="en-GB"/>
        </w:rPr>
      </w:pPr>
      <w:bookmarkStart w:id="65" w:name="_Toc91107889"/>
      <w:bookmarkStart w:id="66" w:name="_Toc91438059"/>
      <w:r w:rsidRPr="4CC35C7E">
        <w:rPr>
          <w:lang w:val="en-GB"/>
        </w:rPr>
        <w:t>Reference</w:t>
      </w:r>
      <w:r w:rsidR="1459612D" w:rsidRPr="4CC35C7E">
        <w:rPr>
          <w:lang w:val="en-GB"/>
        </w:rPr>
        <w:t>s</w:t>
      </w:r>
      <w:r w:rsidRPr="4CC35C7E">
        <w:rPr>
          <w:lang w:val="en-GB"/>
        </w:rPr>
        <w:t>:</w:t>
      </w:r>
      <w:bookmarkEnd w:id="65"/>
      <w:bookmarkEnd w:id="66"/>
      <w:r w:rsidRPr="4CC35C7E">
        <w:rPr>
          <w:lang w:val="en-GB"/>
        </w:rPr>
        <w:t xml:space="preserve"> </w:t>
      </w:r>
    </w:p>
    <w:p w14:paraId="32994C0C"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Ackert, L. F., Church, B. K., &amp; Jayaraman, N. (2011). Is there a link between money illusion and homeowners’ expectations of housing prices?. </w:t>
      </w:r>
      <w:r w:rsidRPr="00032DA6">
        <w:rPr>
          <w:rFonts w:cstheme="majorBidi"/>
          <w:i/>
          <w:iCs/>
          <w:color w:val="222222"/>
          <w:lang w:val="en-GB"/>
        </w:rPr>
        <w:t>Real Estate Economics</w:t>
      </w:r>
      <w:r w:rsidRPr="00032DA6">
        <w:rPr>
          <w:rFonts w:cstheme="majorBidi"/>
          <w:color w:val="222222"/>
          <w:shd w:val="clear" w:color="auto" w:fill="FFFFFF"/>
          <w:lang w:val="en-GB"/>
        </w:rPr>
        <w:t>, </w:t>
      </w:r>
      <w:r w:rsidRPr="00032DA6">
        <w:rPr>
          <w:rFonts w:cstheme="majorBidi"/>
          <w:i/>
          <w:iCs/>
          <w:color w:val="222222"/>
          <w:lang w:val="en-GB"/>
        </w:rPr>
        <w:t>39</w:t>
      </w:r>
      <w:r w:rsidRPr="00032DA6">
        <w:rPr>
          <w:rFonts w:cstheme="majorBidi"/>
          <w:color w:val="222222"/>
          <w:shd w:val="clear" w:color="auto" w:fill="FFFFFF"/>
          <w:lang w:val="en-GB"/>
        </w:rPr>
        <w:t>(2), 251-275.</w:t>
      </w:r>
    </w:p>
    <w:p w14:paraId="3E0723DA"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Adams, Z., &amp; Füss, R. (2010). Macroeconomic determinants of international housing markets.</w:t>
      </w:r>
      <w:r w:rsidRPr="00032DA6">
        <w:rPr>
          <w:rStyle w:val="apple-converted-space"/>
          <w:rFonts w:cstheme="majorBidi"/>
          <w:color w:val="222222"/>
          <w:shd w:val="clear" w:color="auto" w:fill="FFFFFF"/>
          <w:lang w:val="en-GB"/>
        </w:rPr>
        <w:t> </w:t>
      </w:r>
      <w:r w:rsidRPr="00032DA6">
        <w:rPr>
          <w:rFonts w:cstheme="majorBidi"/>
          <w:i/>
          <w:iCs/>
          <w:color w:val="222222"/>
          <w:lang w:val="en-GB"/>
        </w:rPr>
        <w:t>Journal of Housing Economics</w:t>
      </w:r>
      <w:r w:rsidRPr="00032DA6">
        <w:rPr>
          <w:rFonts w:cstheme="majorBidi"/>
          <w:color w:val="222222"/>
          <w:shd w:val="clear" w:color="auto" w:fill="FFFFFF"/>
          <w:lang w:val="en-GB"/>
        </w:rPr>
        <w:t>,</w:t>
      </w:r>
      <w:r w:rsidRPr="00032DA6">
        <w:rPr>
          <w:rStyle w:val="apple-converted-space"/>
          <w:rFonts w:cstheme="majorBidi"/>
          <w:color w:val="222222"/>
          <w:shd w:val="clear" w:color="auto" w:fill="FFFFFF"/>
          <w:lang w:val="en-GB"/>
        </w:rPr>
        <w:t> </w:t>
      </w:r>
      <w:r w:rsidRPr="00032DA6">
        <w:rPr>
          <w:rFonts w:cstheme="majorBidi"/>
          <w:i/>
          <w:iCs/>
          <w:color w:val="222222"/>
          <w:lang w:val="en-GB"/>
        </w:rPr>
        <w:t>19</w:t>
      </w:r>
      <w:r w:rsidRPr="00032DA6">
        <w:rPr>
          <w:rFonts w:cstheme="majorBidi"/>
          <w:color w:val="222222"/>
          <w:shd w:val="clear" w:color="auto" w:fill="FFFFFF"/>
          <w:lang w:val="en-GB"/>
        </w:rPr>
        <w:t>(1), 38-50.</w:t>
      </w:r>
    </w:p>
    <w:p w14:paraId="32F74494"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Agnello, L., &amp; Schuknecht, L. (2011). Booms and busts in housing markets: Determinants and implications.</w:t>
      </w:r>
      <w:r w:rsidRPr="00032DA6">
        <w:rPr>
          <w:rStyle w:val="apple-converted-space"/>
          <w:rFonts w:cstheme="majorBidi"/>
          <w:color w:val="222222"/>
          <w:shd w:val="clear" w:color="auto" w:fill="FFFFFF"/>
          <w:lang w:val="en-GB"/>
        </w:rPr>
        <w:t> </w:t>
      </w:r>
      <w:r w:rsidRPr="00032DA6">
        <w:rPr>
          <w:rFonts w:cstheme="majorBidi"/>
          <w:i/>
          <w:iCs/>
          <w:color w:val="222222"/>
          <w:lang w:val="en-GB"/>
        </w:rPr>
        <w:t>Journal of Housing Economics</w:t>
      </w:r>
      <w:r w:rsidRPr="00032DA6">
        <w:rPr>
          <w:rFonts w:cstheme="majorBidi"/>
          <w:color w:val="222222"/>
          <w:shd w:val="clear" w:color="auto" w:fill="FFFFFF"/>
          <w:lang w:val="en-GB"/>
        </w:rPr>
        <w:t>,</w:t>
      </w:r>
      <w:r w:rsidRPr="00032DA6">
        <w:rPr>
          <w:rStyle w:val="apple-converted-space"/>
          <w:rFonts w:cstheme="majorBidi"/>
          <w:color w:val="222222"/>
          <w:shd w:val="clear" w:color="auto" w:fill="FFFFFF"/>
          <w:lang w:val="en-GB"/>
        </w:rPr>
        <w:t> </w:t>
      </w:r>
      <w:r w:rsidRPr="00032DA6">
        <w:rPr>
          <w:rFonts w:cstheme="majorBidi"/>
          <w:i/>
          <w:iCs/>
          <w:color w:val="222222"/>
          <w:lang w:val="en-GB"/>
        </w:rPr>
        <w:t>20</w:t>
      </w:r>
      <w:r w:rsidRPr="00032DA6">
        <w:rPr>
          <w:rFonts w:cstheme="majorBidi"/>
          <w:color w:val="222222"/>
          <w:shd w:val="clear" w:color="auto" w:fill="FFFFFF"/>
          <w:lang w:val="en-GB"/>
        </w:rPr>
        <w:t>(3), 171-190.</w:t>
      </w:r>
    </w:p>
    <w:p w14:paraId="530EA833"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Akerlof, G. A., &amp; Shiller, R. J. (2010). </w:t>
      </w:r>
      <w:r w:rsidRPr="00032DA6">
        <w:rPr>
          <w:rFonts w:cstheme="majorBidi"/>
          <w:i/>
          <w:iCs/>
          <w:color w:val="222222"/>
          <w:lang w:val="en-GB"/>
        </w:rPr>
        <w:t>Animal spirits: How human psychology drives the economy, and why it matters for global capitalism</w:t>
      </w:r>
      <w:r w:rsidRPr="00032DA6">
        <w:rPr>
          <w:rFonts w:cstheme="majorBidi"/>
          <w:color w:val="222222"/>
          <w:shd w:val="clear" w:color="auto" w:fill="FFFFFF"/>
          <w:lang w:val="en-GB"/>
        </w:rPr>
        <w:t>. Princeton university press.</w:t>
      </w:r>
    </w:p>
    <w:p w14:paraId="74577C79"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Alkali, M. A., Sipan, I., &amp; Razali, M. N. (2018). An overview of macro-economic determinants of real estate price in Nigeria.</w:t>
      </w:r>
      <w:r w:rsidRPr="00032DA6">
        <w:rPr>
          <w:rStyle w:val="apple-converted-space"/>
          <w:rFonts w:cstheme="majorBidi"/>
          <w:color w:val="222222"/>
          <w:shd w:val="clear" w:color="auto" w:fill="FFFFFF"/>
          <w:lang w:val="en-GB"/>
        </w:rPr>
        <w:t> </w:t>
      </w:r>
      <w:r w:rsidRPr="00032DA6">
        <w:rPr>
          <w:rFonts w:cstheme="majorBidi"/>
          <w:i/>
          <w:iCs/>
          <w:color w:val="222222"/>
          <w:lang w:val="en-GB"/>
        </w:rPr>
        <w:t>International Journal of Engineering &amp; Technology</w:t>
      </w:r>
      <w:r w:rsidRPr="00032DA6">
        <w:rPr>
          <w:rFonts w:cstheme="majorBidi"/>
          <w:color w:val="222222"/>
          <w:shd w:val="clear" w:color="auto" w:fill="FFFFFF"/>
          <w:lang w:val="en-GB"/>
        </w:rPr>
        <w:t>,</w:t>
      </w:r>
      <w:r w:rsidRPr="00032DA6">
        <w:rPr>
          <w:rStyle w:val="apple-converted-space"/>
          <w:rFonts w:cstheme="majorBidi"/>
          <w:color w:val="222222"/>
          <w:shd w:val="clear" w:color="auto" w:fill="FFFFFF"/>
          <w:lang w:val="en-GB"/>
        </w:rPr>
        <w:t> </w:t>
      </w:r>
      <w:r w:rsidRPr="00032DA6">
        <w:rPr>
          <w:rFonts w:cstheme="majorBidi"/>
          <w:i/>
          <w:iCs/>
          <w:color w:val="222222"/>
          <w:lang w:val="en-GB"/>
        </w:rPr>
        <w:t>7</w:t>
      </w:r>
      <w:r w:rsidRPr="00032DA6">
        <w:rPr>
          <w:rFonts w:cstheme="majorBidi"/>
          <w:color w:val="222222"/>
          <w:shd w:val="clear" w:color="auto" w:fill="FFFFFF"/>
          <w:lang w:val="en-GB"/>
        </w:rPr>
        <w:t>(3.30), 484-488.</w:t>
      </w:r>
    </w:p>
    <w:p w14:paraId="5B4F26E4"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Andersen, P. S., &amp; Kennedy, N. (1994).</w:t>
      </w:r>
      <w:r w:rsidRPr="00032DA6">
        <w:rPr>
          <w:rStyle w:val="apple-converted-space"/>
          <w:rFonts w:cstheme="majorBidi"/>
          <w:color w:val="222222"/>
          <w:shd w:val="clear" w:color="auto" w:fill="FFFFFF"/>
          <w:lang w:val="en-GB"/>
        </w:rPr>
        <w:t> </w:t>
      </w:r>
      <w:r w:rsidRPr="00032DA6">
        <w:rPr>
          <w:rFonts w:cstheme="majorBidi"/>
          <w:i/>
          <w:iCs/>
          <w:color w:val="222222"/>
          <w:lang w:val="en-GB"/>
        </w:rPr>
        <w:t>Household saving and real house prices: an international perspective</w:t>
      </w:r>
      <w:r w:rsidRPr="00032DA6">
        <w:rPr>
          <w:rStyle w:val="apple-converted-space"/>
          <w:rFonts w:cstheme="majorBidi"/>
          <w:color w:val="222222"/>
          <w:shd w:val="clear" w:color="auto" w:fill="FFFFFF"/>
          <w:lang w:val="en-GB"/>
        </w:rPr>
        <w:t> </w:t>
      </w:r>
      <w:r w:rsidRPr="00032DA6">
        <w:rPr>
          <w:rFonts w:cstheme="majorBidi"/>
          <w:color w:val="222222"/>
          <w:shd w:val="clear" w:color="auto" w:fill="FFFFFF"/>
          <w:lang w:val="en-GB"/>
        </w:rPr>
        <w:t>(No. 20). Bank for International Settlements.</w:t>
      </w:r>
    </w:p>
    <w:p w14:paraId="0693D944"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Apergis, N. (2003). Housing prices and macroeconomic factors: prospects within the European Monetary Union.</w:t>
      </w:r>
      <w:r w:rsidRPr="00032DA6">
        <w:rPr>
          <w:rStyle w:val="apple-converted-space"/>
          <w:rFonts w:cstheme="majorBidi"/>
          <w:color w:val="222222"/>
          <w:shd w:val="clear" w:color="auto" w:fill="FFFFFF"/>
          <w:lang w:val="en-GB"/>
        </w:rPr>
        <w:t> </w:t>
      </w:r>
      <w:r w:rsidRPr="00032DA6">
        <w:rPr>
          <w:rFonts w:cstheme="majorBidi"/>
          <w:i/>
          <w:iCs/>
          <w:color w:val="222222"/>
          <w:lang w:val="en-GB"/>
        </w:rPr>
        <w:t>International real estate review</w:t>
      </w:r>
      <w:r w:rsidRPr="00032DA6">
        <w:rPr>
          <w:rFonts w:cstheme="majorBidi"/>
          <w:color w:val="222222"/>
          <w:shd w:val="clear" w:color="auto" w:fill="FFFFFF"/>
          <w:lang w:val="en-GB"/>
        </w:rPr>
        <w:t>,</w:t>
      </w:r>
      <w:r w:rsidRPr="00032DA6">
        <w:rPr>
          <w:rStyle w:val="apple-converted-space"/>
          <w:rFonts w:cstheme="majorBidi"/>
          <w:color w:val="222222"/>
          <w:shd w:val="clear" w:color="auto" w:fill="FFFFFF"/>
          <w:lang w:val="en-GB"/>
        </w:rPr>
        <w:t> </w:t>
      </w:r>
      <w:r w:rsidRPr="00032DA6">
        <w:rPr>
          <w:rFonts w:cstheme="majorBidi"/>
          <w:i/>
          <w:iCs/>
          <w:color w:val="222222"/>
          <w:lang w:val="en-GB"/>
        </w:rPr>
        <w:t>6</w:t>
      </w:r>
      <w:r w:rsidRPr="00032DA6">
        <w:rPr>
          <w:rFonts w:cstheme="majorBidi"/>
          <w:color w:val="222222"/>
          <w:shd w:val="clear" w:color="auto" w:fill="FFFFFF"/>
          <w:lang w:val="en-GB"/>
        </w:rPr>
        <w:t>(1), 63-74.</w:t>
      </w:r>
    </w:p>
    <w:p w14:paraId="7102B069"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Arimah, B. C. (1997). The determinants of housing tenure choice in Ibadan, Nigeria. </w:t>
      </w:r>
      <w:r w:rsidRPr="00032DA6">
        <w:rPr>
          <w:rFonts w:cstheme="majorBidi"/>
          <w:i/>
          <w:iCs/>
          <w:color w:val="222222"/>
          <w:lang w:val="en-GB"/>
        </w:rPr>
        <w:t>Urban Studies</w:t>
      </w:r>
      <w:r w:rsidRPr="00032DA6">
        <w:rPr>
          <w:rFonts w:cstheme="majorBidi"/>
          <w:color w:val="222222"/>
          <w:shd w:val="clear" w:color="auto" w:fill="FFFFFF"/>
          <w:lang w:val="en-GB"/>
        </w:rPr>
        <w:t>, </w:t>
      </w:r>
      <w:r w:rsidRPr="00032DA6">
        <w:rPr>
          <w:rFonts w:cstheme="majorBidi"/>
          <w:i/>
          <w:iCs/>
          <w:color w:val="222222"/>
          <w:lang w:val="en-GB"/>
        </w:rPr>
        <w:t>34</w:t>
      </w:r>
      <w:r w:rsidRPr="00032DA6">
        <w:rPr>
          <w:rFonts w:cstheme="majorBidi"/>
          <w:color w:val="222222"/>
          <w:shd w:val="clear" w:color="auto" w:fill="FFFFFF"/>
          <w:lang w:val="en-GB"/>
        </w:rPr>
        <w:t>(1), 105-124.</w:t>
      </w:r>
    </w:p>
    <w:p w14:paraId="0F369A84"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Baffoe-Bonnie, J. (1998). The dynamic impact of macroeconomic aggregates on housing prices and stock of houses: a national and regional analysis.</w:t>
      </w:r>
      <w:r w:rsidRPr="00032DA6">
        <w:rPr>
          <w:rStyle w:val="apple-converted-space"/>
          <w:rFonts w:cstheme="majorBidi"/>
          <w:color w:val="222222"/>
          <w:shd w:val="clear" w:color="auto" w:fill="FFFFFF"/>
          <w:lang w:val="en-GB"/>
        </w:rPr>
        <w:t> </w:t>
      </w:r>
      <w:r w:rsidRPr="00032DA6">
        <w:rPr>
          <w:rFonts w:cstheme="majorBidi"/>
          <w:i/>
          <w:iCs/>
          <w:color w:val="222222"/>
          <w:lang w:val="en-GB"/>
        </w:rPr>
        <w:t>The Journal of Real Estate Finance and Economics</w:t>
      </w:r>
      <w:r w:rsidRPr="00032DA6">
        <w:rPr>
          <w:rFonts w:cstheme="majorBidi"/>
          <w:color w:val="222222"/>
          <w:shd w:val="clear" w:color="auto" w:fill="FFFFFF"/>
          <w:lang w:val="en-GB"/>
        </w:rPr>
        <w:t>,</w:t>
      </w:r>
      <w:r w:rsidRPr="00032DA6">
        <w:rPr>
          <w:rStyle w:val="apple-converted-space"/>
          <w:rFonts w:cstheme="majorBidi"/>
          <w:color w:val="222222"/>
          <w:shd w:val="clear" w:color="auto" w:fill="FFFFFF"/>
          <w:lang w:val="en-GB"/>
        </w:rPr>
        <w:t> </w:t>
      </w:r>
      <w:r w:rsidRPr="00032DA6">
        <w:rPr>
          <w:rFonts w:cstheme="majorBidi"/>
          <w:i/>
          <w:iCs/>
          <w:color w:val="222222"/>
          <w:lang w:val="en-GB"/>
        </w:rPr>
        <w:t>17</w:t>
      </w:r>
      <w:r w:rsidRPr="00032DA6">
        <w:rPr>
          <w:rFonts w:cstheme="majorBidi"/>
          <w:color w:val="222222"/>
          <w:shd w:val="clear" w:color="auto" w:fill="FFFFFF"/>
          <w:lang w:val="en-GB"/>
        </w:rPr>
        <w:t>(2), 179-197.</w:t>
      </w:r>
    </w:p>
    <w:p w14:paraId="3CD282DC"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Bakshi, G. S., &amp; Chen, Z. (1994). Baby boom, population aging, and capital markets.</w:t>
      </w:r>
      <w:r w:rsidRPr="00032DA6">
        <w:rPr>
          <w:rStyle w:val="apple-converted-space"/>
          <w:rFonts w:cstheme="majorBidi"/>
          <w:color w:val="222222"/>
          <w:shd w:val="clear" w:color="auto" w:fill="FFFFFF"/>
          <w:lang w:val="en-GB"/>
        </w:rPr>
        <w:t> </w:t>
      </w:r>
      <w:r w:rsidRPr="00032DA6">
        <w:rPr>
          <w:rFonts w:cstheme="majorBidi"/>
          <w:i/>
          <w:iCs/>
          <w:color w:val="222222"/>
          <w:lang w:val="en-GB"/>
        </w:rPr>
        <w:t>Journal of business</w:t>
      </w:r>
      <w:r w:rsidRPr="00032DA6">
        <w:rPr>
          <w:rFonts w:cstheme="majorBidi"/>
          <w:color w:val="222222"/>
          <w:shd w:val="clear" w:color="auto" w:fill="FFFFFF"/>
          <w:lang w:val="en-GB"/>
        </w:rPr>
        <w:t>, 67(2), 165-202.</w:t>
      </w:r>
    </w:p>
    <w:p w14:paraId="72F301A5"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Belke, A., &amp; Keil, J. (2018). Fundamental determinants of real estate prices: A panel study of German regions.</w:t>
      </w:r>
      <w:r w:rsidRPr="00032DA6">
        <w:rPr>
          <w:rStyle w:val="apple-converted-space"/>
          <w:rFonts w:cstheme="majorBidi"/>
          <w:color w:val="222222"/>
          <w:shd w:val="clear" w:color="auto" w:fill="FFFFFF"/>
          <w:lang w:val="en-GB"/>
        </w:rPr>
        <w:t> </w:t>
      </w:r>
      <w:r w:rsidRPr="00032DA6">
        <w:rPr>
          <w:rFonts w:cstheme="majorBidi"/>
          <w:i/>
          <w:iCs/>
          <w:color w:val="222222"/>
          <w:lang w:val="en-GB"/>
        </w:rPr>
        <w:t>International Advances in Economic Research</w:t>
      </w:r>
      <w:r w:rsidRPr="00032DA6">
        <w:rPr>
          <w:rFonts w:cstheme="majorBidi"/>
          <w:color w:val="222222"/>
          <w:shd w:val="clear" w:color="auto" w:fill="FFFFFF"/>
          <w:lang w:val="en-GB"/>
        </w:rPr>
        <w:t>,</w:t>
      </w:r>
      <w:r w:rsidRPr="00032DA6">
        <w:rPr>
          <w:rStyle w:val="apple-converted-space"/>
          <w:rFonts w:cstheme="majorBidi"/>
          <w:color w:val="222222"/>
          <w:shd w:val="clear" w:color="auto" w:fill="FFFFFF"/>
          <w:lang w:val="en-GB"/>
        </w:rPr>
        <w:t> </w:t>
      </w:r>
      <w:r w:rsidRPr="00032DA6">
        <w:rPr>
          <w:rFonts w:cstheme="majorBidi"/>
          <w:i/>
          <w:iCs/>
          <w:color w:val="222222"/>
          <w:lang w:val="en-GB"/>
        </w:rPr>
        <w:t>24</w:t>
      </w:r>
      <w:r w:rsidRPr="00032DA6">
        <w:rPr>
          <w:rFonts w:cstheme="majorBidi"/>
          <w:color w:val="222222"/>
          <w:shd w:val="clear" w:color="auto" w:fill="FFFFFF"/>
          <w:lang w:val="en-GB"/>
        </w:rPr>
        <w:t>(1), 25-45.</w:t>
      </w:r>
    </w:p>
    <w:p w14:paraId="6F92FAF8"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Bernanke, B. S., &amp; Gertler, M. (1995). Inside the black box: the credit channel of monetary policy transmission.</w:t>
      </w:r>
      <w:r w:rsidRPr="00032DA6">
        <w:rPr>
          <w:rStyle w:val="apple-converted-space"/>
          <w:rFonts w:cstheme="majorBidi"/>
          <w:color w:val="222222"/>
          <w:shd w:val="clear" w:color="auto" w:fill="FFFFFF"/>
          <w:lang w:val="en-GB"/>
        </w:rPr>
        <w:t> </w:t>
      </w:r>
      <w:r w:rsidRPr="00032DA6">
        <w:rPr>
          <w:rFonts w:cstheme="majorBidi"/>
          <w:i/>
          <w:iCs/>
          <w:color w:val="222222"/>
          <w:lang w:val="en-GB"/>
        </w:rPr>
        <w:t>Journal of Economic perspectives</w:t>
      </w:r>
      <w:r w:rsidRPr="00032DA6">
        <w:rPr>
          <w:rFonts w:cstheme="majorBidi"/>
          <w:color w:val="222222"/>
          <w:shd w:val="clear" w:color="auto" w:fill="FFFFFF"/>
          <w:lang w:val="en-GB"/>
        </w:rPr>
        <w:t>,</w:t>
      </w:r>
      <w:r w:rsidRPr="00032DA6">
        <w:rPr>
          <w:rStyle w:val="apple-converted-space"/>
          <w:rFonts w:cstheme="majorBidi"/>
          <w:color w:val="222222"/>
          <w:shd w:val="clear" w:color="auto" w:fill="FFFFFF"/>
          <w:lang w:val="en-GB"/>
        </w:rPr>
        <w:t> </w:t>
      </w:r>
      <w:r w:rsidRPr="00032DA6">
        <w:rPr>
          <w:rFonts w:cstheme="majorBidi"/>
          <w:i/>
          <w:iCs/>
          <w:color w:val="222222"/>
          <w:lang w:val="en-GB"/>
        </w:rPr>
        <w:t>9</w:t>
      </w:r>
      <w:r w:rsidRPr="00032DA6">
        <w:rPr>
          <w:rFonts w:cstheme="majorBidi"/>
          <w:color w:val="222222"/>
          <w:shd w:val="clear" w:color="auto" w:fill="FFFFFF"/>
          <w:lang w:val="en-GB"/>
        </w:rPr>
        <w:t>(4), 27-48.</w:t>
      </w:r>
    </w:p>
    <w:p w14:paraId="74B2E8D0"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 xml:space="preserve">Case, K. E., &amp; Shiller, R. J. (1988). </w:t>
      </w:r>
      <w:r w:rsidRPr="00032DA6">
        <w:rPr>
          <w:rFonts w:cstheme="majorBidi"/>
          <w:i/>
          <w:iCs/>
          <w:color w:val="222222"/>
          <w:shd w:val="clear" w:color="auto" w:fill="FFFFFF"/>
          <w:lang w:val="en-GB"/>
        </w:rPr>
        <w:t xml:space="preserve">The behavior of home buyers in boom and post-boom markets. </w:t>
      </w:r>
      <w:r w:rsidRPr="00032DA6">
        <w:rPr>
          <w:rFonts w:cstheme="majorBidi"/>
          <w:color w:val="222222"/>
          <w:shd w:val="clear" w:color="auto" w:fill="FFFFFF"/>
          <w:lang w:val="en-GB"/>
        </w:rPr>
        <w:t xml:space="preserve">Working Paper No. 2748. National Bureau of Economic Research. </w:t>
      </w:r>
    </w:p>
    <w:p w14:paraId="0E9A62FC"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Case, K. E., &amp; Shiller, R. J. (2003). Is there a bubble in the housing market?.</w:t>
      </w:r>
      <w:r w:rsidRPr="00032DA6">
        <w:rPr>
          <w:rStyle w:val="apple-converted-space"/>
          <w:rFonts w:cstheme="majorBidi"/>
          <w:color w:val="222222"/>
          <w:shd w:val="clear" w:color="auto" w:fill="FFFFFF"/>
          <w:lang w:val="en-GB"/>
        </w:rPr>
        <w:t> </w:t>
      </w:r>
      <w:r w:rsidRPr="00032DA6">
        <w:rPr>
          <w:rFonts w:cstheme="majorBidi"/>
          <w:i/>
          <w:iCs/>
          <w:color w:val="222222"/>
          <w:lang w:val="en-GB"/>
        </w:rPr>
        <w:t>Brookings papers on economic activity</w:t>
      </w:r>
      <w:r w:rsidRPr="00032DA6">
        <w:rPr>
          <w:rFonts w:cstheme="majorBidi"/>
          <w:color w:val="222222"/>
          <w:shd w:val="clear" w:color="auto" w:fill="FFFFFF"/>
          <w:lang w:val="en-GB"/>
        </w:rPr>
        <w:t>,</w:t>
      </w:r>
      <w:r w:rsidRPr="00032DA6">
        <w:rPr>
          <w:rStyle w:val="apple-converted-space"/>
          <w:rFonts w:cstheme="majorBidi"/>
          <w:color w:val="222222"/>
          <w:shd w:val="clear" w:color="auto" w:fill="FFFFFF"/>
          <w:lang w:val="en-GB"/>
        </w:rPr>
        <w:t> </w:t>
      </w:r>
      <w:r w:rsidRPr="00032DA6">
        <w:rPr>
          <w:rFonts w:cstheme="majorBidi"/>
          <w:i/>
          <w:iCs/>
          <w:color w:val="222222"/>
          <w:lang w:val="en-GB"/>
        </w:rPr>
        <w:t>2003</w:t>
      </w:r>
      <w:r w:rsidRPr="00032DA6">
        <w:rPr>
          <w:rFonts w:cstheme="majorBidi"/>
          <w:color w:val="222222"/>
          <w:shd w:val="clear" w:color="auto" w:fill="FFFFFF"/>
          <w:lang w:val="en-GB"/>
        </w:rPr>
        <w:t>(2), 299-362.</w:t>
      </w:r>
    </w:p>
    <w:p w14:paraId="53D414EB"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Chu, Y. (2014). Credit constraints, inelastic supply, and the housing boom.</w:t>
      </w:r>
      <w:r w:rsidRPr="00032DA6">
        <w:rPr>
          <w:rStyle w:val="apple-converted-space"/>
          <w:rFonts w:cstheme="majorBidi"/>
          <w:color w:val="222222"/>
          <w:shd w:val="clear" w:color="auto" w:fill="FFFFFF"/>
          <w:lang w:val="en-GB"/>
        </w:rPr>
        <w:t> </w:t>
      </w:r>
      <w:r w:rsidRPr="00032DA6">
        <w:rPr>
          <w:rFonts w:cstheme="majorBidi"/>
          <w:i/>
          <w:iCs/>
          <w:color w:val="222222"/>
          <w:lang w:val="en-GB"/>
        </w:rPr>
        <w:t>Review of Economic Dynamics</w:t>
      </w:r>
      <w:r w:rsidRPr="00032DA6">
        <w:rPr>
          <w:rFonts w:cstheme="majorBidi"/>
          <w:color w:val="222222"/>
          <w:shd w:val="clear" w:color="auto" w:fill="FFFFFF"/>
          <w:lang w:val="en-GB"/>
        </w:rPr>
        <w:t>,</w:t>
      </w:r>
      <w:r w:rsidRPr="00032DA6">
        <w:rPr>
          <w:rStyle w:val="apple-converted-space"/>
          <w:rFonts w:cstheme="majorBidi"/>
          <w:color w:val="222222"/>
          <w:shd w:val="clear" w:color="auto" w:fill="FFFFFF"/>
          <w:lang w:val="en-GB"/>
        </w:rPr>
        <w:t> </w:t>
      </w:r>
      <w:r w:rsidRPr="00032DA6">
        <w:rPr>
          <w:rFonts w:cstheme="majorBidi"/>
          <w:i/>
          <w:iCs/>
          <w:color w:val="222222"/>
          <w:lang w:val="en-GB"/>
        </w:rPr>
        <w:t>17</w:t>
      </w:r>
      <w:r w:rsidRPr="00032DA6">
        <w:rPr>
          <w:rFonts w:cstheme="majorBidi"/>
          <w:color w:val="222222"/>
          <w:shd w:val="clear" w:color="auto" w:fill="FFFFFF"/>
          <w:lang w:val="en-GB"/>
        </w:rPr>
        <w:t>(1), 52-69.</w:t>
      </w:r>
    </w:p>
    <w:p w14:paraId="0A335E21"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Cohen, V., &amp; Karpaviciute, L. (2017). The analysis of the determinants of housing prices.</w:t>
      </w:r>
      <w:r w:rsidRPr="00032DA6">
        <w:rPr>
          <w:rStyle w:val="apple-converted-space"/>
          <w:rFonts w:cstheme="majorBidi"/>
          <w:color w:val="222222"/>
          <w:shd w:val="clear" w:color="auto" w:fill="FFFFFF"/>
          <w:lang w:val="en-GB"/>
        </w:rPr>
        <w:t> </w:t>
      </w:r>
      <w:r w:rsidRPr="00032DA6">
        <w:rPr>
          <w:rFonts w:cstheme="majorBidi"/>
          <w:i/>
          <w:iCs/>
          <w:color w:val="222222"/>
          <w:lang w:val="en-GB"/>
        </w:rPr>
        <w:t>Independent journal of management &amp; production</w:t>
      </w:r>
      <w:r w:rsidRPr="00032DA6">
        <w:rPr>
          <w:rFonts w:cstheme="majorBidi"/>
          <w:color w:val="222222"/>
          <w:shd w:val="clear" w:color="auto" w:fill="FFFFFF"/>
          <w:lang w:val="en-GB"/>
        </w:rPr>
        <w:t>,</w:t>
      </w:r>
      <w:r w:rsidRPr="00032DA6">
        <w:rPr>
          <w:rStyle w:val="apple-converted-space"/>
          <w:rFonts w:cstheme="majorBidi"/>
          <w:color w:val="222222"/>
          <w:shd w:val="clear" w:color="auto" w:fill="FFFFFF"/>
          <w:lang w:val="en-GB"/>
        </w:rPr>
        <w:t> </w:t>
      </w:r>
      <w:r w:rsidRPr="00032DA6">
        <w:rPr>
          <w:rFonts w:cstheme="majorBidi"/>
          <w:i/>
          <w:iCs/>
          <w:color w:val="222222"/>
          <w:lang w:val="en-GB"/>
        </w:rPr>
        <w:t>8</w:t>
      </w:r>
      <w:r w:rsidRPr="00032DA6">
        <w:rPr>
          <w:rFonts w:cstheme="majorBidi"/>
          <w:color w:val="222222"/>
          <w:shd w:val="clear" w:color="auto" w:fill="FFFFFF"/>
          <w:lang w:val="en-GB"/>
        </w:rPr>
        <w:t>(1), 49-63.</w:t>
      </w:r>
    </w:p>
    <w:p w14:paraId="6FAEDAE6"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Crowe, C., Dell’Ariccia, G., Igan, D., &amp; Rabanal, P. (2013). How to deal with real estate booms: Lessons from country experiences.</w:t>
      </w:r>
      <w:r w:rsidRPr="00032DA6">
        <w:rPr>
          <w:rStyle w:val="apple-converted-space"/>
          <w:rFonts w:cstheme="majorBidi"/>
          <w:color w:val="222222"/>
          <w:shd w:val="clear" w:color="auto" w:fill="FFFFFF"/>
          <w:lang w:val="en-GB"/>
        </w:rPr>
        <w:t> </w:t>
      </w:r>
      <w:r w:rsidRPr="00032DA6">
        <w:rPr>
          <w:rFonts w:cstheme="majorBidi"/>
          <w:i/>
          <w:iCs/>
          <w:color w:val="222222"/>
          <w:lang w:val="en-GB"/>
        </w:rPr>
        <w:t>Journal of Financial Stability</w:t>
      </w:r>
      <w:r w:rsidRPr="00032DA6">
        <w:rPr>
          <w:rFonts w:cstheme="majorBidi"/>
          <w:color w:val="222222"/>
          <w:shd w:val="clear" w:color="auto" w:fill="FFFFFF"/>
          <w:lang w:val="en-GB"/>
        </w:rPr>
        <w:t>,</w:t>
      </w:r>
      <w:r w:rsidRPr="00032DA6">
        <w:rPr>
          <w:rStyle w:val="apple-converted-space"/>
          <w:rFonts w:cstheme="majorBidi"/>
          <w:color w:val="222222"/>
          <w:shd w:val="clear" w:color="auto" w:fill="FFFFFF"/>
          <w:lang w:val="en-GB"/>
        </w:rPr>
        <w:t> </w:t>
      </w:r>
      <w:r w:rsidRPr="00032DA6">
        <w:rPr>
          <w:rFonts w:cstheme="majorBidi"/>
          <w:i/>
          <w:iCs/>
          <w:color w:val="222222"/>
          <w:lang w:val="en-GB"/>
        </w:rPr>
        <w:t>9</w:t>
      </w:r>
      <w:r w:rsidRPr="00032DA6">
        <w:rPr>
          <w:rFonts w:cstheme="majorBidi"/>
          <w:color w:val="222222"/>
          <w:shd w:val="clear" w:color="auto" w:fill="FFFFFF"/>
          <w:lang w:val="en-GB"/>
        </w:rPr>
        <w:t>(3), 300-319.</w:t>
      </w:r>
    </w:p>
    <w:p w14:paraId="22108B43"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Demary, M. (2010). The interplay between output, inflation, interest rates and house prices: international evidence.</w:t>
      </w:r>
      <w:r w:rsidRPr="00032DA6">
        <w:rPr>
          <w:rStyle w:val="apple-converted-space"/>
          <w:rFonts w:cstheme="majorBidi"/>
          <w:color w:val="222222"/>
          <w:shd w:val="clear" w:color="auto" w:fill="FFFFFF"/>
          <w:lang w:val="en-GB"/>
        </w:rPr>
        <w:t> </w:t>
      </w:r>
      <w:r w:rsidRPr="00032DA6">
        <w:rPr>
          <w:rFonts w:cstheme="majorBidi"/>
          <w:i/>
          <w:iCs/>
          <w:color w:val="222222"/>
          <w:lang w:val="en-GB"/>
        </w:rPr>
        <w:t>Journal of Property Research</w:t>
      </w:r>
      <w:r w:rsidRPr="00032DA6">
        <w:rPr>
          <w:rFonts w:cstheme="majorBidi"/>
          <w:color w:val="222222"/>
          <w:shd w:val="clear" w:color="auto" w:fill="FFFFFF"/>
          <w:lang w:val="en-GB"/>
        </w:rPr>
        <w:t>,</w:t>
      </w:r>
      <w:r w:rsidRPr="00032DA6">
        <w:rPr>
          <w:rStyle w:val="apple-converted-space"/>
          <w:rFonts w:cstheme="majorBidi"/>
          <w:color w:val="222222"/>
          <w:shd w:val="clear" w:color="auto" w:fill="FFFFFF"/>
          <w:lang w:val="en-GB"/>
        </w:rPr>
        <w:t> </w:t>
      </w:r>
      <w:r w:rsidRPr="00032DA6">
        <w:rPr>
          <w:rFonts w:cstheme="majorBidi"/>
          <w:i/>
          <w:iCs/>
          <w:color w:val="222222"/>
          <w:lang w:val="en-GB"/>
        </w:rPr>
        <w:t>27</w:t>
      </w:r>
      <w:r w:rsidRPr="00032DA6">
        <w:rPr>
          <w:rFonts w:cstheme="majorBidi"/>
          <w:color w:val="222222"/>
          <w:shd w:val="clear" w:color="auto" w:fill="FFFFFF"/>
          <w:lang w:val="en-GB"/>
        </w:rPr>
        <w:t>(1), 1-17.</w:t>
      </w:r>
    </w:p>
    <w:p w14:paraId="6FBB5DC8"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DeWeaver, M. A., &amp; Shannon, R. (2010). Waning vigilance and the disposition effect: Evidence from Thailand on individual investor decision making. </w:t>
      </w:r>
      <w:r w:rsidRPr="00032DA6">
        <w:rPr>
          <w:rFonts w:cstheme="majorBidi"/>
          <w:i/>
          <w:iCs/>
          <w:color w:val="222222"/>
          <w:lang w:val="en-GB"/>
        </w:rPr>
        <w:t>The Journal of Socio-Economics</w:t>
      </w:r>
      <w:r w:rsidRPr="00032DA6">
        <w:rPr>
          <w:rFonts w:cstheme="majorBidi"/>
          <w:color w:val="222222"/>
          <w:shd w:val="clear" w:color="auto" w:fill="FFFFFF"/>
          <w:lang w:val="en-GB"/>
        </w:rPr>
        <w:t>, </w:t>
      </w:r>
      <w:r w:rsidRPr="00032DA6">
        <w:rPr>
          <w:rFonts w:cstheme="majorBidi"/>
          <w:i/>
          <w:iCs/>
          <w:color w:val="222222"/>
          <w:lang w:val="en-GB"/>
        </w:rPr>
        <w:t>39</w:t>
      </w:r>
      <w:r w:rsidRPr="00032DA6">
        <w:rPr>
          <w:rFonts w:cstheme="majorBidi"/>
          <w:color w:val="222222"/>
          <w:shd w:val="clear" w:color="auto" w:fill="FFFFFF"/>
          <w:lang w:val="en-GB"/>
        </w:rPr>
        <w:t>(1), 18-23.</w:t>
      </w:r>
    </w:p>
    <w:p w14:paraId="0209B6B3"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Elsinga, M., &amp; Hoekstra, J. S. C. M. (2004). Homeownership and housing satisfaction: a study of the literature and an analysis of the European Community Household Panel. In </w:t>
      </w:r>
      <w:r w:rsidRPr="00032DA6">
        <w:rPr>
          <w:rFonts w:cstheme="majorBidi"/>
          <w:i/>
          <w:iCs/>
          <w:color w:val="222222"/>
          <w:lang w:val="en-GB"/>
        </w:rPr>
        <w:t>ENHR International Housing Conference: Housing, Growth and Regeneration</w:t>
      </w:r>
      <w:r w:rsidRPr="00032DA6">
        <w:rPr>
          <w:rFonts w:cstheme="majorBidi"/>
          <w:color w:val="222222"/>
          <w:shd w:val="clear" w:color="auto" w:fill="FFFFFF"/>
          <w:lang w:val="en-GB"/>
        </w:rPr>
        <w:t> (pp. 1-15). University of Cambridge.</w:t>
      </w:r>
    </w:p>
    <w:p w14:paraId="49B29A03"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Erdogan, S., Mercam, D., &amp; Gedikli, A. (2019). An analysis on the housing price channel: The case of BRICT.</w:t>
      </w:r>
      <w:r w:rsidRPr="00032DA6">
        <w:rPr>
          <w:rStyle w:val="apple-converted-space"/>
          <w:rFonts w:cstheme="majorBidi"/>
          <w:color w:val="222222"/>
          <w:shd w:val="clear" w:color="auto" w:fill="FFFFFF"/>
          <w:lang w:val="en-GB"/>
        </w:rPr>
        <w:t> </w:t>
      </w:r>
      <w:r w:rsidRPr="00032DA6">
        <w:rPr>
          <w:rFonts w:cstheme="majorBidi"/>
          <w:i/>
          <w:iCs/>
          <w:color w:val="222222"/>
          <w:lang w:val="en-GB"/>
        </w:rPr>
        <w:t>Journal of Economics Library</w:t>
      </w:r>
      <w:r w:rsidRPr="00032DA6">
        <w:rPr>
          <w:rFonts w:cstheme="majorBidi"/>
          <w:color w:val="222222"/>
          <w:shd w:val="clear" w:color="auto" w:fill="FFFFFF"/>
          <w:lang w:val="en-GB"/>
        </w:rPr>
        <w:t>,</w:t>
      </w:r>
      <w:r w:rsidRPr="00032DA6">
        <w:rPr>
          <w:rStyle w:val="apple-converted-space"/>
          <w:rFonts w:cstheme="majorBidi"/>
          <w:color w:val="222222"/>
          <w:shd w:val="clear" w:color="auto" w:fill="FFFFFF"/>
          <w:lang w:val="en-GB"/>
        </w:rPr>
        <w:t> </w:t>
      </w:r>
      <w:r w:rsidRPr="00032DA6">
        <w:rPr>
          <w:rFonts w:cstheme="majorBidi"/>
          <w:i/>
          <w:iCs/>
          <w:color w:val="222222"/>
          <w:lang w:val="en-GB"/>
        </w:rPr>
        <w:t>5</w:t>
      </w:r>
      <w:r w:rsidRPr="00032DA6">
        <w:rPr>
          <w:rFonts w:cstheme="majorBidi"/>
          <w:color w:val="222222"/>
          <w:shd w:val="clear" w:color="auto" w:fill="FFFFFF"/>
          <w:lang w:val="en-GB"/>
        </w:rPr>
        <w:t>(4), 358-370.</w:t>
      </w:r>
    </w:p>
    <w:p w14:paraId="3677914F" w14:textId="5BB579BA" w:rsidR="649E9A85" w:rsidRDefault="5C110B79" w:rsidP="1330B4F7">
      <w:pPr>
        <w:spacing w:line="257" w:lineRule="auto"/>
      </w:pPr>
      <w:r w:rsidRPr="6612470B">
        <w:rPr>
          <w:rFonts w:ascii="Times New Roman" w:eastAsia="Times New Roman" w:hAnsi="Times New Roman" w:cs="Times New Roman"/>
          <w:color w:val="222222"/>
          <w:sz w:val="24"/>
          <w:szCs w:val="24"/>
          <w:lang w:val="en-GB"/>
        </w:rPr>
        <w:t>Hosmer Jr, D. W., Lemeshow, S., &amp; Sturdivant, R. X. (2013). Applied logistic regression (Vol.  398). John Wiley &amp; Sons.</w:t>
      </w:r>
      <w:r w:rsidRPr="6612470B">
        <w:rPr>
          <w:rFonts w:ascii="Times New Roman" w:eastAsia="Times New Roman" w:hAnsi="Times New Roman" w:cs="Times New Roman"/>
          <w:color w:val="222222"/>
          <w:sz w:val="24"/>
          <w:szCs w:val="24"/>
          <w:rtl/>
          <w:lang w:val="en-GB"/>
        </w:rPr>
        <w:t>‏</w:t>
      </w:r>
    </w:p>
    <w:p w14:paraId="63CB4CA4"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Feldstein, M. S. (1992). Comment on James M. Poterba’s paper: tax reform and the housing market in the late 1980s: who knew what, and when did they know it. In </w:t>
      </w:r>
      <w:r w:rsidRPr="00032DA6">
        <w:rPr>
          <w:rFonts w:cstheme="majorBidi"/>
          <w:i/>
          <w:iCs/>
          <w:color w:val="222222"/>
          <w:lang w:val="en-GB"/>
        </w:rPr>
        <w:t>Real Estate and Credit Crunch, Federal Reserve Bank of Boston Conference Series</w:t>
      </w:r>
      <w:r w:rsidRPr="00032DA6">
        <w:rPr>
          <w:rFonts w:cstheme="majorBidi"/>
          <w:color w:val="222222"/>
          <w:shd w:val="clear" w:color="auto" w:fill="FFFFFF"/>
          <w:lang w:val="en-GB"/>
        </w:rPr>
        <w:t> (Vol. 36, pp. 252-257).</w:t>
      </w:r>
    </w:p>
    <w:p w14:paraId="09482179"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Geng, M. N. (2018).</w:t>
      </w:r>
      <w:r w:rsidRPr="00032DA6">
        <w:rPr>
          <w:rStyle w:val="apple-converted-space"/>
          <w:rFonts w:cstheme="majorBidi"/>
          <w:color w:val="222222"/>
          <w:shd w:val="clear" w:color="auto" w:fill="FFFFFF"/>
          <w:lang w:val="en-GB"/>
        </w:rPr>
        <w:t> </w:t>
      </w:r>
      <w:r w:rsidRPr="00032DA6">
        <w:rPr>
          <w:rFonts w:cstheme="majorBidi"/>
          <w:i/>
          <w:iCs/>
          <w:color w:val="222222"/>
          <w:lang w:val="en-GB"/>
        </w:rPr>
        <w:t>Fundamental drivers of house prices in advanced economies</w:t>
      </w:r>
      <w:r w:rsidRPr="00032DA6">
        <w:rPr>
          <w:rFonts w:cstheme="majorBidi"/>
          <w:color w:val="222222"/>
          <w:shd w:val="clear" w:color="auto" w:fill="FFFFFF"/>
          <w:lang w:val="en-GB"/>
        </w:rPr>
        <w:t>. International Monetary Fund.</w:t>
      </w:r>
    </w:p>
    <w:p w14:paraId="2F38D608"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Gholipour, H. F., Al-Mulali, U., &amp; Mohammed, A. H. (2014). Foreign investments in real estate, economic growth and property prices: Evidence from OECD countries.</w:t>
      </w:r>
      <w:r w:rsidRPr="00032DA6">
        <w:rPr>
          <w:rFonts w:cstheme="majorBidi"/>
          <w:lang w:val="en-GB"/>
        </w:rPr>
        <w:t> </w:t>
      </w:r>
      <w:r w:rsidRPr="00032DA6">
        <w:rPr>
          <w:rFonts w:cstheme="majorBidi"/>
          <w:color w:val="222222"/>
          <w:shd w:val="clear" w:color="auto" w:fill="FFFFFF"/>
          <w:lang w:val="en-GB"/>
        </w:rPr>
        <w:t>Journal of Economic Policy Reform,</w:t>
      </w:r>
      <w:r w:rsidRPr="00032DA6">
        <w:rPr>
          <w:rFonts w:cstheme="majorBidi"/>
          <w:lang w:val="en-GB"/>
        </w:rPr>
        <w:t> </w:t>
      </w:r>
      <w:r w:rsidRPr="00032DA6">
        <w:rPr>
          <w:rFonts w:cstheme="majorBidi"/>
          <w:color w:val="222222"/>
          <w:shd w:val="clear" w:color="auto" w:fill="FFFFFF"/>
          <w:lang w:val="en-GB"/>
        </w:rPr>
        <w:t>17(1), 33-45.</w:t>
      </w:r>
    </w:p>
    <w:p w14:paraId="3277B7CA"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Głuszak, M. (2015). Multinomial logit model of housing demand in Poland. </w:t>
      </w:r>
      <w:r w:rsidRPr="00032DA6">
        <w:rPr>
          <w:rFonts w:cstheme="majorBidi"/>
          <w:i/>
          <w:iCs/>
          <w:color w:val="222222"/>
          <w:lang w:val="en-GB"/>
        </w:rPr>
        <w:t>Real Estate Management and Valuation</w:t>
      </w:r>
      <w:r w:rsidRPr="00032DA6">
        <w:rPr>
          <w:rFonts w:cstheme="majorBidi"/>
          <w:color w:val="222222"/>
          <w:shd w:val="clear" w:color="auto" w:fill="FFFFFF"/>
          <w:lang w:val="en-GB"/>
        </w:rPr>
        <w:t>, </w:t>
      </w:r>
      <w:r w:rsidRPr="00032DA6">
        <w:rPr>
          <w:rFonts w:cstheme="majorBidi"/>
          <w:i/>
          <w:iCs/>
          <w:color w:val="222222"/>
          <w:lang w:val="en-GB"/>
        </w:rPr>
        <w:t>23</w:t>
      </w:r>
      <w:r w:rsidRPr="00032DA6">
        <w:rPr>
          <w:rFonts w:cstheme="majorBidi"/>
          <w:color w:val="222222"/>
          <w:shd w:val="clear" w:color="auto" w:fill="FFFFFF"/>
          <w:lang w:val="en-GB"/>
        </w:rPr>
        <w:t>(1), 84-89.</w:t>
      </w:r>
    </w:p>
    <w:p w14:paraId="35D293C7" w14:textId="77777777" w:rsidR="00DB00BE" w:rsidRPr="00032DA6" w:rsidRDefault="00DB00BE" w:rsidP="00DE108C">
      <w:pPr>
        <w:spacing w:line="276" w:lineRule="auto"/>
        <w:jc w:val="both"/>
        <w:rPr>
          <w:rFonts w:cstheme="majorBidi"/>
          <w:lang w:val="en-GB"/>
        </w:rPr>
      </w:pPr>
      <w:r w:rsidRPr="00032DA6">
        <w:rPr>
          <w:rFonts w:cstheme="majorBidi"/>
          <w:color w:val="222222"/>
          <w:shd w:val="clear" w:color="auto" w:fill="FFFFFF"/>
          <w:lang w:val="en-GB"/>
        </w:rPr>
        <w:t>Harris, I., &amp; Young, S. (1983). Buyer motivations: human needs. </w:t>
      </w:r>
      <w:r w:rsidRPr="00032DA6">
        <w:rPr>
          <w:rFonts w:cstheme="majorBidi"/>
          <w:i/>
          <w:iCs/>
          <w:color w:val="222222"/>
          <w:lang w:val="en-GB"/>
        </w:rPr>
        <w:t>Real Estate Today</w:t>
      </w:r>
      <w:r w:rsidRPr="00032DA6">
        <w:rPr>
          <w:rFonts w:cstheme="majorBidi"/>
          <w:color w:val="222222"/>
          <w:shd w:val="clear" w:color="auto" w:fill="FFFFFF"/>
          <w:lang w:val="en-GB"/>
        </w:rPr>
        <w:t>, </w:t>
      </w:r>
      <w:r w:rsidRPr="00032DA6">
        <w:rPr>
          <w:rFonts w:cstheme="majorBidi"/>
          <w:i/>
          <w:iCs/>
          <w:color w:val="222222"/>
          <w:lang w:val="en-GB"/>
        </w:rPr>
        <w:t>16</w:t>
      </w:r>
      <w:r w:rsidRPr="00032DA6">
        <w:rPr>
          <w:rFonts w:cstheme="majorBidi"/>
          <w:color w:val="222222"/>
          <w:shd w:val="clear" w:color="auto" w:fill="FFFFFF"/>
          <w:lang w:val="en-GB"/>
        </w:rPr>
        <w:t>, 29-30.</w:t>
      </w:r>
    </w:p>
    <w:p w14:paraId="6A7C1980" w14:textId="77777777" w:rsidR="00DB00BE" w:rsidRPr="00032DA6" w:rsidRDefault="00DB00BE" w:rsidP="00DE108C">
      <w:pPr>
        <w:spacing w:line="276" w:lineRule="auto"/>
        <w:ind w:left="851" w:hanging="851"/>
        <w:jc w:val="both"/>
        <w:rPr>
          <w:rFonts w:cstheme="majorBidi"/>
          <w:lang w:val="en-GB"/>
        </w:rPr>
      </w:pPr>
      <w:r w:rsidRPr="00032DA6">
        <w:rPr>
          <w:rFonts w:cstheme="majorBidi"/>
          <w:color w:val="222222"/>
          <w:shd w:val="clear" w:color="auto" w:fill="FFFFFF"/>
          <w:lang w:val="en-GB"/>
        </w:rPr>
        <w:t xml:space="preserve">Hlaváček, M., &amp; Komárek, L. (2011). Regional analysis of housing price bubbles and their determinants in the Czech Republic. </w:t>
      </w:r>
      <w:r w:rsidRPr="00032DA6">
        <w:rPr>
          <w:rFonts w:cstheme="majorBidi"/>
          <w:i/>
          <w:iCs/>
          <w:lang w:val="en-GB"/>
        </w:rPr>
        <w:t>Czech Journal of Economics and Finance, 61</w:t>
      </w:r>
      <w:r w:rsidRPr="00032DA6">
        <w:rPr>
          <w:rFonts w:cstheme="majorBidi"/>
          <w:lang w:val="en-GB"/>
        </w:rPr>
        <w:t>(1), 67-91.</w:t>
      </w:r>
    </w:p>
    <w:p w14:paraId="35EB2608"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Hwang, M., &amp; Quigley, J. M. (2006). Economic fundamentals in local housing markets: evidence from US metropolitan regions.</w:t>
      </w:r>
      <w:r w:rsidRPr="00032DA6">
        <w:rPr>
          <w:rStyle w:val="apple-converted-space"/>
          <w:rFonts w:cstheme="majorBidi"/>
          <w:color w:val="222222"/>
          <w:shd w:val="clear" w:color="auto" w:fill="FFFFFF"/>
          <w:lang w:val="en-GB"/>
        </w:rPr>
        <w:t> </w:t>
      </w:r>
      <w:r w:rsidRPr="00032DA6">
        <w:rPr>
          <w:rFonts w:cstheme="majorBidi"/>
          <w:i/>
          <w:iCs/>
          <w:color w:val="222222"/>
          <w:lang w:val="en-GB"/>
        </w:rPr>
        <w:t>Journal of regional science</w:t>
      </w:r>
      <w:r w:rsidRPr="00032DA6">
        <w:rPr>
          <w:rFonts w:cstheme="majorBidi"/>
          <w:color w:val="222222"/>
          <w:shd w:val="clear" w:color="auto" w:fill="FFFFFF"/>
          <w:lang w:val="en-GB"/>
        </w:rPr>
        <w:t>,</w:t>
      </w:r>
      <w:r w:rsidRPr="00032DA6">
        <w:rPr>
          <w:rStyle w:val="apple-converted-space"/>
          <w:rFonts w:cstheme="majorBidi"/>
          <w:color w:val="222222"/>
          <w:shd w:val="clear" w:color="auto" w:fill="FFFFFF"/>
          <w:lang w:val="en-GB"/>
        </w:rPr>
        <w:t> </w:t>
      </w:r>
      <w:r w:rsidRPr="00032DA6">
        <w:rPr>
          <w:rFonts w:cstheme="majorBidi"/>
          <w:i/>
          <w:iCs/>
          <w:color w:val="222222"/>
          <w:lang w:val="en-GB"/>
        </w:rPr>
        <w:t>46</w:t>
      </w:r>
      <w:r w:rsidRPr="00032DA6">
        <w:rPr>
          <w:rFonts w:cstheme="majorBidi"/>
          <w:color w:val="222222"/>
          <w:shd w:val="clear" w:color="auto" w:fill="FFFFFF"/>
          <w:lang w:val="en-GB"/>
        </w:rPr>
        <w:t>(3), 425-453.</w:t>
      </w:r>
    </w:p>
    <w:p w14:paraId="191ED547"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 xml:space="preserve">Iacoviello, M. (2000). House prices and the macroeconomy in Europe: results from a structural VAR analysis. Working Paper No. 18. </w:t>
      </w:r>
      <w:r w:rsidRPr="00032DA6">
        <w:rPr>
          <w:rFonts w:cstheme="majorBidi"/>
          <w:i/>
          <w:iCs/>
          <w:color w:val="505050"/>
          <w:shd w:val="clear" w:color="auto" w:fill="FFFFFF"/>
          <w:lang w:val="en-GB"/>
        </w:rPr>
        <w:t>European Central Bank.</w:t>
      </w:r>
    </w:p>
    <w:p w14:paraId="4EE8CC80"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Iwarere, L. (1991). A micro-market analysis of tenure choice using the logit model. </w:t>
      </w:r>
      <w:r w:rsidRPr="00032DA6">
        <w:rPr>
          <w:rFonts w:cstheme="majorBidi"/>
          <w:i/>
          <w:iCs/>
          <w:color w:val="222222"/>
          <w:lang w:val="en-GB"/>
        </w:rPr>
        <w:t>Journal of Real Estate Research</w:t>
      </w:r>
      <w:r w:rsidRPr="00032DA6">
        <w:rPr>
          <w:rFonts w:cstheme="majorBidi"/>
          <w:color w:val="222222"/>
          <w:shd w:val="clear" w:color="auto" w:fill="FFFFFF"/>
          <w:lang w:val="en-GB"/>
        </w:rPr>
        <w:t>, </w:t>
      </w:r>
      <w:r w:rsidRPr="00032DA6">
        <w:rPr>
          <w:rFonts w:cstheme="majorBidi"/>
          <w:i/>
          <w:iCs/>
          <w:color w:val="222222"/>
          <w:lang w:val="en-GB"/>
        </w:rPr>
        <w:t>6</w:t>
      </w:r>
      <w:r w:rsidRPr="00032DA6">
        <w:rPr>
          <w:rFonts w:cstheme="majorBidi"/>
          <w:color w:val="222222"/>
          <w:shd w:val="clear" w:color="auto" w:fill="FFFFFF"/>
          <w:lang w:val="en-GB"/>
        </w:rPr>
        <w:t>(3), 327-339.</w:t>
      </w:r>
    </w:p>
    <w:p w14:paraId="53FA1DD2"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lang w:val="en-GB"/>
        </w:rPr>
        <w:t xml:space="preserve">Kahneman, D., &amp; Tversky, A. (1979). Prospect Theory: An analysis of decision under risk. </w:t>
      </w:r>
      <w:r w:rsidRPr="00032DA6">
        <w:rPr>
          <w:rFonts w:cstheme="majorBidi"/>
          <w:i/>
          <w:iCs/>
          <w:lang w:val="en-GB"/>
        </w:rPr>
        <w:t>Econometrica, 47</w:t>
      </w:r>
      <w:r w:rsidRPr="00032DA6">
        <w:rPr>
          <w:rFonts w:cstheme="majorBidi"/>
          <w:lang w:val="en-GB"/>
        </w:rPr>
        <w:t xml:space="preserve">(2), 263-92. http://dx.doi.org/10.2307/1914185 </w:t>
      </w:r>
    </w:p>
    <w:p w14:paraId="3D56DA87"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lang w:val="en-GB"/>
        </w:rPr>
        <w:t xml:space="preserve">Kahneman, D., Knetsch, J., &amp; Thaler, R. (1990). Experimental Tests of the Endowment Effect and the Coase Theorem. </w:t>
      </w:r>
      <w:r w:rsidRPr="00032DA6">
        <w:rPr>
          <w:rFonts w:cstheme="majorBidi"/>
          <w:i/>
          <w:iCs/>
          <w:lang w:val="en-GB"/>
        </w:rPr>
        <w:t>Journal of Political Economy, 98</w:t>
      </w:r>
      <w:r w:rsidRPr="00032DA6">
        <w:rPr>
          <w:rFonts w:cstheme="majorBidi"/>
          <w:lang w:val="en-GB"/>
        </w:rPr>
        <w:t xml:space="preserve">(6), 1325-47. http://dx.doi.org/10.1086/261737 </w:t>
      </w:r>
    </w:p>
    <w:p w14:paraId="480A53B2"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Kosfeld, R. (2002). Asset Price Channel and Financial Markets/Vermögenstheoretischer Transmissionsmechanismus und Finanzmärkte. </w:t>
      </w:r>
      <w:r w:rsidRPr="00032DA6">
        <w:rPr>
          <w:rFonts w:cstheme="majorBidi"/>
          <w:i/>
          <w:iCs/>
          <w:color w:val="222222"/>
          <w:lang w:val="en-GB"/>
        </w:rPr>
        <w:t>Jahrbücher für Nationalökonomie und Statistik</w:t>
      </w:r>
      <w:r w:rsidRPr="00032DA6">
        <w:rPr>
          <w:rFonts w:cstheme="majorBidi"/>
          <w:color w:val="222222"/>
          <w:shd w:val="clear" w:color="auto" w:fill="FFFFFF"/>
          <w:lang w:val="en-GB"/>
        </w:rPr>
        <w:t>, </w:t>
      </w:r>
      <w:r w:rsidRPr="00032DA6">
        <w:rPr>
          <w:rFonts w:cstheme="majorBidi"/>
          <w:i/>
          <w:iCs/>
          <w:color w:val="222222"/>
          <w:lang w:val="en-GB"/>
        </w:rPr>
        <w:t>222</w:t>
      </w:r>
      <w:r w:rsidRPr="00032DA6">
        <w:rPr>
          <w:rFonts w:cstheme="majorBidi"/>
          <w:color w:val="222222"/>
          <w:shd w:val="clear" w:color="auto" w:fill="FFFFFF"/>
          <w:lang w:val="en-GB"/>
        </w:rPr>
        <w:t>(4), 440-462.</w:t>
      </w:r>
    </w:p>
    <w:p w14:paraId="4F39A7A8"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Lambertini, L., Mendicino, C., &amp; Punzi, M. T. (2013). Leaning against boom–bust cycles in credit and housing prices.</w:t>
      </w:r>
      <w:r w:rsidRPr="00032DA6">
        <w:rPr>
          <w:rStyle w:val="apple-converted-space"/>
          <w:rFonts w:cstheme="majorBidi"/>
          <w:color w:val="222222"/>
          <w:shd w:val="clear" w:color="auto" w:fill="FFFFFF"/>
          <w:lang w:val="en-GB"/>
        </w:rPr>
        <w:t> </w:t>
      </w:r>
      <w:r w:rsidRPr="00032DA6">
        <w:rPr>
          <w:rFonts w:cstheme="majorBidi"/>
          <w:i/>
          <w:iCs/>
          <w:color w:val="222222"/>
          <w:lang w:val="en-GB"/>
        </w:rPr>
        <w:t>Journal of Economic dynamics and Control</w:t>
      </w:r>
      <w:r w:rsidRPr="00032DA6">
        <w:rPr>
          <w:rFonts w:cstheme="majorBidi"/>
          <w:color w:val="222222"/>
          <w:shd w:val="clear" w:color="auto" w:fill="FFFFFF"/>
          <w:lang w:val="en-GB"/>
        </w:rPr>
        <w:t>,</w:t>
      </w:r>
      <w:r w:rsidRPr="00032DA6">
        <w:rPr>
          <w:rStyle w:val="apple-converted-space"/>
          <w:rFonts w:cstheme="majorBidi"/>
          <w:color w:val="222222"/>
          <w:shd w:val="clear" w:color="auto" w:fill="FFFFFF"/>
          <w:lang w:val="en-GB"/>
        </w:rPr>
        <w:t> </w:t>
      </w:r>
      <w:r w:rsidRPr="00032DA6">
        <w:rPr>
          <w:rFonts w:cstheme="majorBidi"/>
          <w:i/>
          <w:iCs/>
          <w:color w:val="222222"/>
          <w:lang w:val="en-GB"/>
        </w:rPr>
        <w:t>37</w:t>
      </w:r>
      <w:r w:rsidRPr="00032DA6">
        <w:rPr>
          <w:rFonts w:cstheme="majorBidi"/>
          <w:color w:val="222222"/>
          <w:shd w:val="clear" w:color="auto" w:fill="FFFFFF"/>
          <w:lang w:val="en-GB"/>
        </w:rPr>
        <w:t>(8), 1500-1522.</w:t>
      </w:r>
    </w:p>
    <w:p w14:paraId="71E1C99F"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Lastrapes, W. D. (2002). The real price of housing and money supply shocks: time series evidence and theoretical simulations.</w:t>
      </w:r>
      <w:r w:rsidRPr="00032DA6">
        <w:rPr>
          <w:rStyle w:val="apple-converted-space"/>
          <w:rFonts w:cstheme="majorBidi"/>
          <w:color w:val="222222"/>
          <w:shd w:val="clear" w:color="auto" w:fill="FFFFFF"/>
          <w:lang w:val="en-GB"/>
        </w:rPr>
        <w:t> </w:t>
      </w:r>
      <w:r w:rsidRPr="00032DA6">
        <w:rPr>
          <w:rFonts w:cstheme="majorBidi"/>
          <w:i/>
          <w:iCs/>
          <w:color w:val="222222"/>
          <w:lang w:val="en-GB"/>
        </w:rPr>
        <w:t>Journal of Housing Economics</w:t>
      </w:r>
      <w:r w:rsidRPr="00032DA6">
        <w:rPr>
          <w:rFonts w:cstheme="majorBidi"/>
          <w:color w:val="222222"/>
          <w:shd w:val="clear" w:color="auto" w:fill="FFFFFF"/>
          <w:lang w:val="en-GB"/>
        </w:rPr>
        <w:t>,</w:t>
      </w:r>
      <w:r w:rsidRPr="00032DA6">
        <w:rPr>
          <w:rStyle w:val="apple-converted-space"/>
          <w:rFonts w:cstheme="majorBidi"/>
          <w:color w:val="222222"/>
          <w:shd w:val="clear" w:color="auto" w:fill="FFFFFF"/>
          <w:lang w:val="en-GB"/>
        </w:rPr>
        <w:t> </w:t>
      </w:r>
      <w:r w:rsidRPr="00032DA6">
        <w:rPr>
          <w:rFonts w:cstheme="majorBidi"/>
          <w:i/>
          <w:iCs/>
          <w:color w:val="222222"/>
          <w:lang w:val="en-GB"/>
        </w:rPr>
        <w:t>11</w:t>
      </w:r>
      <w:r w:rsidRPr="00032DA6">
        <w:rPr>
          <w:rFonts w:cstheme="majorBidi"/>
          <w:color w:val="222222"/>
          <w:shd w:val="clear" w:color="auto" w:fill="FFFFFF"/>
          <w:lang w:val="en-GB"/>
        </w:rPr>
        <w:t>(1), 40-74.</w:t>
      </w:r>
    </w:p>
    <w:p w14:paraId="7E00C0AF"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Lecat, R., &amp; Mesonnier, J. S. (2005). What role do financial factors play in house price dynamics.</w:t>
      </w:r>
      <w:r w:rsidRPr="00032DA6">
        <w:rPr>
          <w:rStyle w:val="apple-converted-space"/>
          <w:rFonts w:cstheme="majorBidi"/>
          <w:color w:val="222222"/>
          <w:shd w:val="clear" w:color="auto" w:fill="FFFFFF"/>
          <w:lang w:val="en-GB"/>
        </w:rPr>
        <w:t> </w:t>
      </w:r>
      <w:r w:rsidRPr="00032DA6">
        <w:rPr>
          <w:rFonts w:cstheme="majorBidi"/>
          <w:i/>
          <w:iCs/>
          <w:color w:val="222222"/>
          <w:lang w:val="en-GB"/>
        </w:rPr>
        <w:t>Banque de France Bulletin Digest</w:t>
      </w:r>
      <w:r w:rsidRPr="00032DA6">
        <w:rPr>
          <w:rFonts w:cstheme="majorBidi"/>
          <w:color w:val="222222"/>
          <w:shd w:val="clear" w:color="auto" w:fill="FFFFFF"/>
          <w:lang w:val="en-GB"/>
        </w:rPr>
        <w:t>,</w:t>
      </w:r>
      <w:r w:rsidRPr="00032DA6">
        <w:rPr>
          <w:rStyle w:val="apple-converted-space"/>
          <w:rFonts w:cstheme="majorBidi"/>
          <w:color w:val="222222"/>
          <w:shd w:val="clear" w:color="auto" w:fill="FFFFFF"/>
          <w:lang w:val="en-GB"/>
        </w:rPr>
        <w:t> </w:t>
      </w:r>
      <w:r w:rsidRPr="00032DA6">
        <w:rPr>
          <w:rFonts w:cstheme="majorBidi"/>
          <w:i/>
          <w:iCs/>
          <w:color w:val="222222"/>
          <w:lang w:val="en-GB"/>
        </w:rPr>
        <w:t>134</w:t>
      </w:r>
      <w:r w:rsidRPr="00032DA6">
        <w:rPr>
          <w:rFonts w:cstheme="majorBidi"/>
          <w:color w:val="222222"/>
          <w:shd w:val="clear" w:color="auto" w:fill="FFFFFF"/>
          <w:lang w:val="en-GB"/>
        </w:rPr>
        <w:t>, 1-37.</w:t>
      </w:r>
    </w:p>
    <w:p w14:paraId="7DECF760"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Mallick, H. (2011). Monetary policy, construction sector output and housing prices in India: an emerging economy perspective.</w:t>
      </w:r>
      <w:r w:rsidRPr="00032DA6">
        <w:rPr>
          <w:rStyle w:val="apple-converted-space"/>
          <w:rFonts w:cstheme="majorBidi"/>
          <w:color w:val="222222"/>
          <w:shd w:val="clear" w:color="auto" w:fill="FFFFFF"/>
          <w:lang w:val="en-GB"/>
        </w:rPr>
        <w:t> </w:t>
      </w:r>
      <w:r w:rsidRPr="00032DA6">
        <w:rPr>
          <w:rFonts w:cstheme="majorBidi"/>
          <w:i/>
          <w:iCs/>
          <w:color w:val="222222"/>
          <w:lang w:val="en-GB"/>
        </w:rPr>
        <w:t>Applied Econometrics and International Development</w:t>
      </w:r>
      <w:r w:rsidRPr="00032DA6">
        <w:rPr>
          <w:rFonts w:cstheme="majorBidi"/>
          <w:color w:val="222222"/>
          <w:shd w:val="clear" w:color="auto" w:fill="FFFFFF"/>
          <w:lang w:val="en-GB"/>
        </w:rPr>
        <w:t>,</w:t>
      </w:r>
      <w:r w:rsidRPr="00032DA6">
        <w:rPr>
          <w:rStyle w:val="apple-converted-space"/>
          <w:rFonts w:cstheme="majorBidi"/>
          <w:color w:val="222222"/>
          <w:shd w:val="clear" w:color="auto" w:fill="FFFFFF"/>
          <w:lang w:val="en-GB"/>
        </w:rPr>
        <w:t> </w:t>
      </w:r>
      <w:r w:rsidRPr="00032DA6">
        <w:rPr>
          <w:rFonts w:cstheme="majorBidi"/>
          <w:i/>
          <w:iCs/>
          <w:color w:val="222222"/>
          <w:lang w:val="en-GB"/>
        </w:rPr>
        <w:t>11</w:t>
      </w:r>
      <w:r w:rsidRPr="00032DA6">
        <w:rPr>
          <w:rFonts w:cstheme="majorBidi"/>
          <w:color w:val="222222"/>
          <w:shd w:val="clear" w:color="auto" w:fill="FFFFFF"/>
          <w:lang w:val="en-GB"/>
        </w:rPr>
        <w:t>(1), 195-207.</w:t>
      </w:r>
    </w:p>
    <w:p w14:paraId="06DB1D2F"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Mankiw, N. G., &amp; Weil, D. N. (1989). The baby boom, the baby bust, and the housing market.</w:t>
      </w:r>
      <w:r w:rsidRPr="00032DA6">
        <w:rPr>
          <w:rStyle w:val="apple-converted-space"/>
          <w:rFonts w:cstheme="majorBidi"/>
          <w:color w:val="222222"/>
          <w:shd w:val="clear" w:color="auto" w:fill="FFFFFF"/>
          <w:lang w:val="en-GB"/>
        </w:rPr>
        <w:t> </w:t>
      </w:r>
      <w:r w:rsidRPr="00032DA6">
        <w:rPr>
          <w:rFonts w:cstheme="majorBidi"/>
          <w:i/>
          <w:iCs/>
          <w:color w:val="222222"/>
          <w:lang w:val="en-GB"/>
        </w:rPr>
        <w:t>Regional science and urban economics</w:t>
      </w:r>
      <w:r w:rsidRPr="00032DA6">
        <w:rPr>
          <w:rFonts w:cstheme="majorBidi"/>
          <w:color w:val="222222"/>
          <w:shd w:val="clear" w:color="auto" w:fill="FFFFFF"/>
          <w:lang w:val="en-GB"/>
        </w:rPr>
        <w:t>,</w:t>
      </w:r>
      <w:r w:rsidRPr="00032DA6">
        <w:rPr>
          <w:rStyle w:val="apple-converted-space"/>
          <w:rFonts w:cstheme="majorBidi"/>
          <w:color w:val="222222"/>
          <w:shd w:val="clear" w:color="auto" w:fill="FFFFFF"/>
          <w:lang w:val="en-GB"/>
        </w:rPr>
        <w:t> </w:t>
      </w:r>
      <w:r w:rsidRPr="00032DA6">
        <w:rPr>
          <w:rFonts w:cstheme="majorBidi"/>
          <w:i/>
          <w:iCs/>
          <w:color w:val="222222"/>
          <w:lang w:val="en-GB"/>
        </w:rPr>
        <w:t>19</w:t>
      </w:r>
      <w:r w:rsidRPr="00032DA6">
        <w:rPr>
          <w:rFonts w:cstheme="majorBidi"/>
          <w:color w:val="222222"/>
          <w:shd w:val="clear" w:color="auto" w:fill="FFFFFF"/>
          <w:lang w:val="en-GB"/>
        </w:rPr>
        <w:t>(2), 235-258.</w:t>
      </w:r>
    </w:p>
    <w:p w14:paraId="1EFB3891"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Mayer, C. (2011). Housing bubbles: A survey. </w:t>
      </w:r>
      <w:r w:rsidRPr="00032DA6">
        <w:rPr>
          <w:rFonts w:cstheme="majorBidi"/>
          <w:i/>
          <w:iCs/>
          <w:color w:val="222222"/>
          <w:lang w:val="en-GB"/>
        </w:rPr>
        <w:t>Annual Review of Economics.</w:t>
      </w:r>
      <w:r w:rsidRPr="00032DA6">
        <w:rPr>
          <w:rFonts w:cstheme="majorBidi"/>
          <w:color w:val="222222"/>
          <w:shd w:val="clear" w:color="auto" w:fill="FFFFFF"/>
          <w:lang w:val="en-GB"/>
        </w:rPr>
        <w:t>, </w:t>
      </w:r>
      <w:r w:rsidRPr="00032DA6">
        <w:rPr>
          <w:rFonts w:cstheme="majorBidi"/>
          <w:i/>
          <w:iCs/>
          <w:color w:val="222222"/>
          <w:lang w:val="en-GB"/>
        </w:rPr>
        <w:t>3</w:t>
      </w:r>
      <w:r w:rsidRPr="00032DA6">
        <w:rPr>
          <w:rFonts w:cstheme="majorBidi"/>
          <w:color w:val="222222"/>
          <w:shd w:val="clear" w:color="auto" w:fill="FFFFFF"/>
          <w:lang w:val="en-GB"/>
        </w:rPr>
        <w:t>(1), 559-577.</w:t>
      </w:r>
    </w:p>
    <w:p w14:paraId="26B5D7C3"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Milcheva, S., &amp; Sebastian, S. (2010). Housing channels of monetary policy transmission in European industrial and transition countries.</w:t>
      </w:r>
      <w:r w:rsidRPr="00032DA6">
        <w:rPr>
          <w:rStyle w:val="apple-converted-space"/>
          <w:rFonts w:cstheme="majorBidi"/>
          <w:color w:val="222222"/>
          <w:shd w:val="clear" w:color="auto" w:fill="FFFFFF"/>
          <w:lang w:val="en-GB"/>
        </w:rPr>
        <w:t> </w:t>
      </w:r>
      <w:r w:rsidRPr="00032DA6">
        <w:rPr>
          <w:rFonts w:cstheme="majorBidi"/>
          <w:i/>
          <w:iCs/>
          <w:color w:val="222222"/>
          <w:lang w:val="en-GB"/>
        </w:rPr>
        <w:t>European Real Estate Society</w:t>
      </w:r>
      <w:r w:rsidRPr="00032DA6">
        <w:rPr>
          <w:rFonts w:cstheme="majorBidi"/>
          <w:color w:val="222222"/>
          <w:shd w:val="clear" w:color="auto" w:fill="FFFFFF"/>
          <w:lang w:val="en-GB"/>
        </w:rPr>
        <w:t>,</w:t>
      </w:r>
      <w:r w:rsidRPr="00032DA6">
        <w:rPr>
          <w:rStyle w:val="apple-converted-space"/>
          <w:rFonts w:cstheme="majorBidi"/>
          <w:color w:val="222222"/>
          <w:shd w:val="clear" w:color="auto" w:fill="FFFFFF"/>
          <w:lang w:val="en-GB"/>
        </w:rPr>
        <w:t> </w:t>
      </w:r>
      <w:r w:rsidRPr="00032DA6">
        <w:rPr>
          <w:rFonts w:cstheme="majorBidi"/>
          <w:i/>
          <w:iCs/>
          <w:color w:val="222222"/>
          <w:lang w:val="en-GB"/>
        </w:rPr>
        <w:t>159</w:t>
      </w:r>
      <w:r w:rsidRPr="00032DA6">
        <w:rPr>
          <w:rFonts w:cstheme="majorBidi"/>
          <w:color w:val="222222"/>
          <w:shd w:val="clear" w:color="auto" w:fill="FFFFFF"/>
          <w:lang w:val="en-GB"/>
        </w:rPr>
        <w:t>, 1-67.</w:t>
      </w:r>
    </w:p>
    <w:p w14:paraId="29231973"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Mishkin, F. S. (1995). Symposium on the monetary transmission mechanism. </w:t>
      </w:r>
      <w:r w:rsidRPr="00032DA6">
        <w:rPr>
          <w:rFonts w:cstheme="majorBidi"/>
          <w:i/>
          <w:iCs/>
          <w:color w:val="222222"/>
          <w:lang w:val="en-GB"/>
        </w:rPr>
        <w:t>Journal of Economic perspectives</w:t>
      </w:r>
      <w:r w:rsidRPr="00032DA6">
        <w:rPr>
          <w:rFonts w:cstheme="majorBidi"/>
          <w:color w:val="222222"/>
          <w:shd w:val="clear" w:color="auto" w:fill="FFFFFF"/>
          <w:lang w:val="en-GB"/>
        </w:rPr>
        <w:t>, </w:t>
      </w:r>
      <w:r w:rsidRPr="00032DA6">
        <w:rPr>
          <w:rFonts w:cstheme="majorBidi"/>
          <w:i/>
          <w:iCs/>
          <w:color w:val="222222"/>
          <w:lang w:val="en-GB"/>
        </w:rPr>
        <w:t>9</w:t>
      </w:r>
      <w:r w:rsidRPr="00032DA6">
        <w:rPr>
          <w:rFonts w:cstheme="majorBidi"/>
          <w:color w:val="222222"/>
          <w:shd w:val="clear" w:color="auto" w:fill="FFFFFF"/>
          <w:lang w:val="en-GB"/>
        </w:rPr>
        <w:t>(4), 3-10.</w:t>
      </w:r>
    </w:p>
    <w:p w14:paraId="429420CD"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Mishkin, F. S. (2007). Housing and the monetary transmission mechanism. Working Paper 13518. National Bureau of Economic Research.</w:t>
      </w:r>
    </w:p>
    <w:p w14:paraId="47BB3203" w14:textId="77777777" w:rsidR="00DB00BE" w:rsidRPr="00032DA6" w:rsidRDefault="00DB00BE" w:rsidP="00DE108C">
      <w:pPr>
        <w:spacing w:line="276" w:lineRule="auto"/>
        <w:ind w:left="851" w:hanging="851"/>
        <w:jc w:val="both"/>
        <w:rPr>
          <w:rFonts w:cstheme="majorBidi"/>
          <w:color w:val="000000"/>
          <w:lang w:val="en-GB"/>
        </w:rPr>
      </w:pPr>
      <w:r w:rsidRPr="00032DA6">
        <w:rPr>
          <w:rFonts w:cstheme="majorBidi"/>
          <w:color w:val="000000"/>
          <w:lang w:val="en-GB"/>
        </w:rPr>
        <w:t>Modigliani, F. (1986). Life Cycle, Individual Thrift, and the Wealth of Nations. </w:t>
      </w:r>
      <w:r w:rsidRPr="00032DA6">
        <w:rPr>
          <w:rFonts w:cstheme="majorBidi"/>
          <w:i/>
          <w:iCs/>
          <w:color w:val="000000"/>
          <w:lang w:val="en-GB"/>
        </w:rPr>
        <w:t>The American Economic Review</w:t>
      </w:r>
      <w:r w:rsidRPr="00032DA6">
        <w:rPr>
          <w:rFonts w:cstheme="majorBidi"/>
          <w:color w:val="000000"/>
          <w:lang w:val="en-GB"/>
        </w:rPr>
        <w:t>, </w:t>
      </w:r>
      <w:r w:rsidRPr="00032DA6">
        <w:rPr>
          <w:rFonts w:cstheme="majorBidi"/>
          <w:i/>
          <w:iCs/>
          <w:color w:val="000000"/>
          <w:lang w:val="en-GB"/>
        </w:rPr>
        <w:t>76</w:t>
      </w:r>
      <w:r w:rsidRPr="00032DA6">
        <w:rPr>
          <w:rFonts w:cstheme="majorBidi"/>
          <w:color w:val="000000"/>
          <w:lang w:val="en-GB"/>
        </w:rPr>
        <w:t xml:space="preserve">(3), 297–313. </w:t>
      </w:r>
      <w:hyperlink r:id="rId15" w:history="1">
        <w:r w:rsidRPr="00032DA6">
          <w:rPr>
            <w:rStyle w:val="Hyperlink"/>
            <w:rFonts w:cstheme="majorBidi"/>
            <w:lang w:val="en-GB"/>
          </w:rPr>
          <w:t>http://www.jstor.org/stable/1813352</w:t>
        </w:r>
      </w:hyperlink>
    </w:p>
    <w:p w14:paraId="737A7940"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Modigliani, F., &amp; Brumberg, R. (1954). Utility analysis and the consumption function: An interpretation of cross-section data.</w:t>
      </w:r>
      <w:r w:rsidRPr="00032DA6">
        <w:rPr>
          <w:rStyle w:val="apple-converted-space"/>
          <w:rFonts w:cstheme="majorBidi"/>
          <w:color w:val="222222"/>
          <w:shd w:val="clear" w:color="auto" w:fill="FFFFFF"/>
          <w:lang w:val="en-GB"/>
        </w:rPr>
        <w:t xml:space="preserve"> In </w:t>
      </w:r>
      <w:r w:rsidRPr="00032DA6">
        <w:rPr>
          <w:rStyle w:val="apple-converted-space"/>
          <w:rFonts w:cstheme="majorBidi"/>
          <w:i/>
          <w:iCs/>
          <w:color w:val="222222"/>
          <w:shd w:val="clear" w:color="auto" w:fill="FFFFFF"/>
          <w:lang w:val="en-GB"/>
        </w:rPr>
        <w:t xml:space="preserve">The Collected Papers of </w:t>
      </w:r>
      <w:r w:rsidRPr="00032DA6">
        <w:rPr>
          <w:rFonts w:cstheme="majorBidi"/>
          <w:i/>
          <w:iCs/>
          <w:color w:val="222222"/>
          <w:lang w:val="en-GB"/>
        </w:rPr>
        <w:t>Franco Modigliani</w:t>
      </w:r>
      <w:r w:rsidRPr="00032DA6">
        <w:rPr>
          <w:rFonts w:cstheme="majorBidi"/>
          <w:color w:val="222222"/>
          <w:shd w:val="clear" w:color="auto" w:fill="FFFFFF"/>
          <w:lang w:val="en-GB"/>
        </w:rPr>
        <w:t xml:space="preserve"> (6</w:t>
      </w:r>
      <w:r w:rsidRPr="00032DA6">
        <w:rPr>
          <w:rFonts w:cstheme="majorBidi"/>
          <w:color w:val="222222"/>
          <w:shd w:val="clear" w:color="auto" w:fill="FFFFFF"/>
          <w:vertAlign w:val="superscript"/>
          <w:lang w:val="en-GB"/>
        </w:rPr>
        <w:t>th</w:t>
      </w:r>
      <w:r w:rsidRPr="00032DA6">
        <w:rPr>
          <w:rFonts w:cstheme="majorBidi"/>
          <w:color w:val="222222"/>
          <w:shd w:val="clear" w:color="auto" w:fill="FFFFFF"/>
          <w:lang w:val="en-GB"/>
        </w:rPr>
        <w:t xml:space="preserve"> ed.), 3-45.</w:t>
      </w:r>
      <w:r w:rsidRPr="00032DA6">
        <w:rPr>
          <w:rFonts w:cstheme="majorBidi"/>
          <w:lang w:val="en-GB"/>
        </w:rPr>
        <w:t xml:space="preserve"> London: Massachusetts Institute of Technology. </w:t>
      </w:r>
    </w:p>
    <w:p w14:paraId="3C8A7620"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Oktay, E., Karaaslan, A., Alkan, Ö., &amp; Çelik, A. K. (2014). Determinants of housing demand in the Erzurum province, Turkey.</w:t>
      </w:r>
      <w:r w:rsidRPr="00032DA6">
        <w:rPr>
          <w:rStyle w:val="apple-converted-space"/>
          <w:rFonts w:cstheme="majorBidi"/>
          <w:color w:val="222222"/>
          <w:shd w:val="clear" w:color="auto" w:fill="FFFFFF"/>
          <w:lang w:val="en-GB"/>
        </w:rPr>
        <w:t> </w:t>
      </w:r>
      <w:r w:rsidRPr="00032DA6">
        <w:rPr>
          <w:rFonts w:cstheme="majorBidi"/>
          <w:i/>
          <w:iCs/>
          <w:color w:val="222222"/>
          <w:lang w:val="en-GB"/>
        </w:rPr>
        <w:t>International Journal of Housing Markets and Analysis</w:t>
      </w:r>
      <w:r w:rsidRPr="00032DA6">
        <w:rPr>
          <w:rFonts w:cstheme="majorBidi"/>
          <w:color w:val="222222"/>
          <w:shd w:val="clear" w:color="auto" w:fill="FFFFFF"/>
          <w:lang w:val="en-GB"/>
        </w:rPr>
        <w:t>, 7(4),</w:t>
      </w:r>
      <w:r w:rsidRPr="00032DA6">
        <w:rPr>
          <w:rFonts w:cstheme="majorBidi"/>
          <w:i/>
          <w:iCs/>
          <w:color w:val="222222"/>
          <w:shd w:val="clear" w:color="auto" w:fill="FFFFFF"/>
          <w:lang w:val="en-GB"/>
        </w:rPr>
        <w:t xml:space="preserve"> </w:t>
      </w:r>
      <w:r w:rsidRPr="00032DA6">
        <w:rPr>
          <w:rFonts w:cstheme="majorBidi"/>
          <w:color w:val="222222"/>
          <w:shd w:val="clear" w:color="auto" w:fill="FFFFFF"/>
          <w:lang w:val="en-GB"/>
        </w:rPr>
        <w:t xml:space="preserve">586 – 602. </w:t>
      </w:r>
    </w:p>
    <w:p w14:paraId="26E2766E"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Paciorek, A. (2013). Supply constraints and housing market dynamics.</w:t>
      </w:r>
      <w:r w:rsidRPr="00032DA6">
        <w:rPr>
          <w:rStyle w:val="apple-converted-space"/>
          <w:rFonts w:cstheme="majorBidi"/>
          <w:color w:val="222222"/>
          <w:shd w:val="clear" w:color="auto" w:fill="FFFFFF"/>
          <w:lang w:val="en-GB"/>
        </w:rPr>
        <w:t> </w:t>
      </w:r>
      <w:r w:rsidRPr="00032DA6">
        <w:rPr>
          <w:rFonts w:cstheme="majorBidi"/>
          <w:i/>
          <w:iCs/>
          <w:color w:val="222222"/>
          <w:lang w:val="en-GB"/>
        </w:rPr>
        <w:t>Journal of Urban Economics</w:t>
      </w:r>
      <w:r w:rsidRPr="00032DA6">
        <w:rPr>
          <w:rFonts w:cstheme="majorBidi"/>
          <w:color w:val="222222"/>
          <w:shd w:val="clear" w:color="auto" w:fill="FFFFFF"/>
          <w:lang w:val="en-GB"/>
        </w:rPr>
        <w:t>,</w:t>
      </w:r>
      <w:r w:rsidRPr="00032DA6">
        <w:rPr>
          <w:rStyle w:val="apple-converted-space"/>
          <w:rFonts w:cstheme="majorBidi"/>
          <w:color w:val="222222"/>
          <w:shd w:val="clear" w:color="auto" w:fill="FFFFFF"/>
          <w:lang w:val="en-GB"/>
        </w:rPr>
        <w:t> </w:t>
      </w:r>
      <w:r w:rsidRPr="00032DA6">
        <w:rPr>
          <w:rFonts w:cstheme="majorBidi"/>
          <w:i/>
          <w:iCs/>
          <w:color w:val="222222"/>
          <w:lang w:val="en-GB"/>
        </w:rPr>
        <w:t>77</w:t>
      </w:r>
      <w:r w:rsidRPr="00032DA6">
        <w:rPr>
          <w:rFonts w:cstheme="majorBidi"/>
          <w:color w:val="222222"/>
          <w:shd w:val="clear" w:color="auto" w:fill="FFFFFF"/>
          <w:lang w:val="en-GB"/>
        </w:rPr>
        <w:t>, 11-26.</w:t>
      </w:r>
    </w:p>
    <w:p w14:paraId="58E61467"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Piazzesi, M., &amp; Schneider, M. (2016). Housing and macroeconomics. </w:t>
      </w:r>
      <w:r w:rsidRPr="00032DA6">
        <w:rPr>
          <w:rFonts w:cstheme="majorBidi"/>
          <w:i/>
          <w:iCs/>
          <w:color w:val="222222"/>
          <w:lang w:val="en-GB"/>
        </w:rPr>
        <w:t>Handbook of macroeconomics</w:t>
      </w:r>
      <w:r w:rsidRPr="00032DA6">
        <w:rPr>
          <w:rFonts w:cstheme="majorBidi"/>
          <w:color w:val="222222"/>
          <w:shd w:val="clear" w:color="auto" w:fill="FFFFFF"/>
          <w:lang w:val="en-GB"/>
        </w:rPr>
        <w:t>, </w:t>
      </w:r>
      <w:r w:rsidRPr="00032DA6">
        <w:rPr>
          <w:rFonts w:cstheme="majorBidi"/>
          <w:i/>
          <w:iCs/>
          <w:color w:val="222222"/>
          <w:lang w:val="en-GB"/>
        </w:rPr>
        <w:t>2</w:t>
      </w:r>
      <w:r w:rsidRPr="00032DA6">
        <w:rPr>
          <w:rFonts w:cstheme="majorBidi"/>
          <w:color w:val="222222"/>
          <w:shd w:val="clear" w:color="auto" w:fill="FFFFFF"/>
          <w:lang w:val="en-GB"/>
        </w:rPr>
        <w:t>, 1547-1640.</w:t>
      </w:r>
    </w:p>
    <w:p w14:paraId="0DA9A756" w14:textId="5D69A522"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Poterba, J. M. (1992). Tax Refarm and Haus~ ng Market the Late 1980s: Who Knew What, and When Did They Knaw It</w:t>
      </w:r>
      <w:r w:rsidR="63469828" w:rsidRPr="6EA7D7CB">
        <w:rPr>
          <w:rFonts w:cstheme="majorBidi"/>
          <w:color w:val="222222"/>
          <w:shd w:val="clear" w:color="auto" w:fill="FFFFFF"/>
          <w:lang w:val="en-GB"/>
        </w:rPr>
        <w:t>?</w:t>
      </w:r>
      <w:r w:rsidRPr="00032DA6">
        <w:rPr>
          <w:rFonts w:cstheme="majorBidi"/>
          <w:color w:val="222222"/>
          <w:shd w:val="clear" w:color="auto" w:fill="FFFFFF"/>
          <w:lang w:val="en-GB"/>
        </w:rPr>
        <w:t> </w:t>
      </w:r>
      <w:r w:rsidRPr="00032DA6">
        <w:rPr>
          <w:rFonts w:cstheme="majorBidi"/>
          <w:i/>
          <w:iCs/>
          <w:color w:val="222222"/>
          <w:lang w:val="en-GB"/>
        </w:rPr>
        <w:t>Credit Crunch</w:t>
      </w:r>
      <w:r w:rsidRPr="00032DA6">
        <w:rPr>
          <w:rFonts w:cstheme="majorBidi"/>
          <w:color w:val="222222"/>
          <w:shd w:val="clear" w:color="auto" w:fill="FFFFFF"/>
          <w:lang w:val="en-GB"/>
        </w:rPr>
        <w:t>, </w:t>
      </w:r>
      <w:r w:rsidRPr="00032DA6">
        <w:rPr>
          <w:rFonts w:cstheme="majorBidi"/>
          <w:i/>
          <w:iCs/>
          <w:color w:val="222222"/>
          <w:lang w:val="en-GB"/>
        </w:rPr>
        <w:t>230</w:t>
      </w:r>
      <w:r w:rsidRPr="00032DA6">
        <w:rPr>
          <w:rFonts w:cstheme="majorBidi"/>
          <w:color w:val="222222"/>
          <w:shd w:val="clear" w:color="auto" w:fill="FFFFFF"/>
          <w:lang w:val="en-GB"/>
        </w:rPr>
        <w:t>.</w:t>
      </w:r>
    </w:p>
    <w:p w14:paraId="408541A5"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Shiller, R. C. (2000). Irrational exuberance.</w:t>
      </w:r>
      <w:r w:rsidRPr="00032DA6">
        <w:rPr>
          <w:rStyle w:val="apple-converted-space"/>
          <w:rFonts w:cstheme="majorBidi"/>
          <w:color w:val="222222"/>
          <w:shd w:val="clear" w:color="auto" w:fill="FFFFFF"/>
          <w:lang w:val="en-GB"/>
        </w:rPr>
        <w:t> </w:t>
      </w:r>
      <w:r w:rsidRPr="00032DA6">
        <w:rPr>
          <w:rFonts w:cstheme="majorBidi"/>
          <w:i/>
          <w:iCs/>
          <w:color w:val="222222"/>
          <w:lang w:val="en-GB"/>
        </w:rPr>
        <w:t>Philosophy and Public Policy Quarterly</w:t>
      </w:r>
      <w:r w:rsidRPr="00032DA6">
        <w:rPr>
          <w:rFonts w:cstheme="majorBidi"/>
          <w:color w:val="222222"/>
          <w:shd w:val="clear" w:color="auto" w:fill="FFFFFF"/>
          <w:lang w:val="en-GB"/>
        </w:rPr>
        <w:t>,</w:t>
      </w:r>
      <w:r w:rsidRPr="00032DA6">
        <w:rPr>
          <w:rStyle w:val="apple-converted-space"/>
          <w:rFonts w:cstheme="majorBidi"/>
          <w:color w:val="222222"/>
          <w:shd w:val="clear" w:color="auto" w:fill="FFFFFF"/>
          <w:lang w:val="en-GB"/>
        </w:rPr>
        <w:t> </w:t>
      </w:r>
      <w:r w:rsidRPr="00032DA6">
        <w:rPr>
          <w:rFonts w:cstheme="majorBidi"/>
          <w:i/>
          <w:iCs/>
          <w:color w:val="222222"/>
          <w:lang w:val="en-GB"/>
        </w:rPr>
        <w:t>20</w:t>
      </w:r>
      <w:r w:rsidRPr="00032DA6">
        <w:rPr>
          <w:rFonts w:cstheme="majorBidi"/>
          <w:color w:val="222222"/>
          <w:shd w:val="clear" w:color="auto" w:fill="FFFFFF"/>
          <w:lang w:val="en-GB"/>
        </w:rPr>
        <w:t>(1), 18-23.</w:t>
      </w:r>
    </w:p>
    <w:p w14:paraId="533421A5"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 xml:space="preserve">Shiller, R. J. (2007). </w:t>
      </w:r>
      <w:r w:rsidRPr="00032DA6">
        <w:rPr>
          <w:rFonts w:cstheme="majorBidi"/>
          <w:i/>
          <w:iCs/>
          <w:color w:val="222222"/>
          <w:shd w:val="clear" w:color="auto" w:fill="FFFFFF"/>
          <w:lang w:val="en-GB"/>
        </w:rPr>
        <w:t>Understanding recent trends in house prices and home ownership.</w:t>
      </w:r>
      <w:r w:rsidRPr="00032DA6">
        <w:rPr>
          <w:rFonts w:cstheme="majorBidi"/>
          <w:color w:val="222222"/>
          <w:shd w:val="clear" w:color="auto" w:fill="FFFFFF"/>
          <w:lang w:val="en-GB"/>
        </w:rPr>
        <w:t xml:space="preserve"> Working Paper 13553. National Bureau of Economic Research. </w:t>
      </w:r>
    </w:p>
    <w:p w14:paraId="11FB9474"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Simo-Kengne, B., Gupta, R., &amp; Aye, G. (2014). Macro shocks and house prices in South Africa.</w:t>
      </w:r>
      <w:r w:rsidRPr="00032DA6">
        <w:rPr>
          <w:rStyle w:val="apple-converted-space"/>
          <w:rFonts w:cstheme="majorBidi"/>
          <w:color w:val="222222"/>
          <w:shd w:val="clear" w:color="auto" w:fill="FFFFFF"/>
          <w:lang w:val="en-GB"/>
        </w:rPr>
        <w:t> </w:t>
      </w:r>
      <w:r w:rsidRPr="00032DA6">
        <w:rPr>
          <w:rFonts w:cstheme="majorBidi"/>
          <w:i/>
          <w:iCs/>
          <w:color w:val="222222"/>
          <w:lang w:val="en-GB"/>
        </w:rPr>
        <w:t>Journal of Real Estate Literature</w:t>
      </w:r>
      <w:r w:rsidRPr="00032DA6">
        <w:rPr>
          <w:rFonts w:cstheme="majorBidi"/>
          <w:color w:val="222222"/>
          <w:shd w:val="clear" w:color="auto" w:fill="FFFFFF"/>
          <w:lang w:val="en-GB"/>
        </w:rPr>
        <w:t>,</w:t>
      </w:r>
      <w:r w:rsidRPr="00032DA6">
        <w:rPr>
          <w:rStyle w:val="apple-converted-space"/>
          <w:rFonts w:cstheme="majorBidi"/>
          <w:color w:val="222222"/>
          <w:shd w:val="clear" w:color="auto" w:fill="FFFFFF"/>
          <w:lang w:val="en-GB"/>
        </w:rPr>
        <w:t> </w:t>
      </w:r>
      <w:r w:rsidRPr="00032DA6">
        <w:rPr>
          <w:rFonts w:cstheme="majorBidi"/>
          <w:i/>
          <w:iCs/>
          <w:color w:val="222222"/>
          <w:lang w:val="en-GB"/>
        </w:rPr>
        <w:t>20</w:t>
      </w:r>
      <w:r w:rsidRPr="00032DA6">
        <w:rPr>
          <w:rFonts w:cstheme="majorBidi"/>
          <w:color w:val="222222"/>
          <w:shd w:val="clear" w:color="auto" w:fill="FFFFFF"/>
          <w:lang w:val="en-GB"/>
        </w:rPr>
        <w:t>(3), 179-193.</w:t>
      </w:r>
    </w:p>
    <w:p w14:paraId="7B7AF3FD"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Stiglitz, J. E. (1990). Symposium on bubbles. </w:t>
      </w:r>
      <w:r w:rsidRPr="00032DA6">
        <w:rPr>
          <w:rFonts w:cstheme="majorBidi"/>
          <w:i/>
          <w:iCs/>
          <w:color w:val="222222"/>
          <w:lang w:val="en-GB"/>
        </w:rPr>
        <w:t>Journal of economic perspectives</w:t>
      </w:r>
      <w:r w:rsidRPr="00032DA6">
        <w:rPr>
          <w:rFonts w:cstheme="majorBidi"/>
          <w:color w:val="222222"/>
          <w:shd w:val="clear" w:color="auto" w:fill="FFFFFF"/>
          <w:lang w:val="en-GB"/>
        </w:rPr>
        <w:t>, </w:t>
      </w:r>
      <w:r w:rsidRPr="00032DA6">
        <w:rPr>
          <w:rFonts w:cstheme="majorBidi"/>
          <w:i/>
          <w:iCs/>
          <w:color w:val="222222"/>
          <w:lang w:val="en-GB"/>
        </w:rPr>
        <w:t>4</w:t>
      </w:r>
      <w:r w:rsidRPr="00032DA6">
        <w:rPr>
          <w:rFonts w:cstheme="majorBidi"/>
          <w:color w:val="222222"/>
          <w:shd w:val="clear" w:color="auto" w:fill="FFFFFF"/>
          <w:lang w:val="en-GB"/>
        </w:rPr>
        <w:t>(2), 13-18.</w:t>
      </w:r>
    </w:p>
    <w:p w14:paraId="36EF268C"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Stoykova, P., &amp; Chou, L. (2013). Housing prices and cultural values: A cross-nation empirical analysis. </w:t>
      </w:r>
      <w:r w:rsidRPr="00032DA6">
        <w:rPr>
          <w:rFonts w:cstheme="majorBidi"/>
          <w:i/>
          <w:iCs/>
          <w:color w:val="222222"/>
          <w:lang w:val="en-GB"/>
        </w:rPr>
        <w:t>Zagreb International Review of Economics &amp; Business</w:t>
      </w:r>
      <w:r w:rsidRPr="00032DA6">
        <w:rPr>
          <w:rFonts w:cstheme="majorBidi"/>
          <w:color w:val="222222"/>
          <w:shd w:val="clear" w:color="auto" w:fill="FFFFFF"/>
          <w:lang w:val="en-GB"/>
        </w:rPr>
        <w:t>, </w:t>
      </w:r>
      <w:r w:rsidRPr="00032DA6">
        <w:rPr>
          <w:rFonts w:cstheme="majorBidi"/>
          <w:i/>
          <w:iCs/>
          <w:color w:val="222222"/>
          <w:lang w:val="en-GB"/>
        </w:rPr>
        <w:t>16</w:t>
      </w:r>
      <w:r w:rsidRPr="00032DA6">
        <w:rPr>
          <w:rFonts w:cstheme="majorBidi"/>
          <w:color w:val="222222"/>
          <w:shd w:val="clear" w:color="auto" w:fill="FFFFFF"/>
          <w:lang w:val="en-GB"/>
        </w:rPr>
        <w:t>(1), 1-15.</w:t>
      </w:r>
    </w:p>
    <w:p w14:paraId="0FA6A998"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Summers, L. H. (1980).</w:t>
      </w:r>
      <w:r w:rsidRPr="00032DA6">
        <w:rPr>
          <w:rStyle w:val="apple-converted-space"/>
          <w:rFonts w:cstheme="majorBidi"/>
          <w:color w:val="222222"/>
          <w:shd w:val="clear" w:color="auto" w:fill="FFFFFF"/>
          <w:lang w:val="en-GB"/>
        </w:rPr>
        <w:t> </w:t>
      </w:r>
      <w:r w:rsidRPr="00032DA6">
        <w:rPr>
          <w:rFonts w:cstheme="majorBidi"/>
          <w:i/>
          <w:iCs/>
          <w:color w:val="222222"/>
          <w:lang w:val="en-GB"/>
        </w:rPr>
        <w:t>Inflation, the stock market, and owner-occupied housing</w:t>
      </w:r>
      <w:r w:rsidRPr="00032DA6">
        <w:rPr>
          <w:rStyle w:val="apple-converted-space"/>
          <w:rFonts w:cstheme="majorBidi"/>
          <w:color w:val="222222"/>
          <w:shd w:val="clear" w:color="auto" w:fill="FFFFFF"/>
          <w:lang w:val="en-GB"/>
        </w:rPr>
        <w:t> </w:t>
      </w:r>
      <w:r w:rsidRPr="00032DA6">
        <w:rPr>
          <w:rFonts w:cstheme="majorBidi"/>
          <w:color w:val="222222"/>
          <w:shd w:val="clear" w:color="auto" w:fill="FFFFFF"/>
          <w:lang w:val="en-GB"/>
        </w:rPr>
        <w:t>(No. w0606). National Bureau of Economic Research.</w:t>
      </w:r>
    </w:p>
    <w:p w14:paraId="07C4F2CE"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Takáts, E. (2012). Aging and house prices.</w:t>
      </w:r>
      <w:r w:rsidRPr="00032DA6">
        <w:rPr>
          <w:rStyle w:val="apple-converted-space"/>
          <w:rFonts w:cstheme="majorBidi"/>
          <w:color w:val="222222"/>
          <w:shd w:val="clear" w:color="auto" w:fill="FFFFFF"/>
          <w:lang w:val="en-GB"/>
        </w:rPr>
        <w:t> </w:t>
      </w:r>
      <w:r w:rsidRPr="00032DA6">
        <w:rPr>
          <w:rFonts w:cstheme="majorBidi"/>
          <w:i/>
          <w:iCs/>
          <w:color w:val="222222"/>
          <w:lang w:val="en-GB"/>
        </w:rPr>
        <w:t>Journal of housing economics</w:t>
      </w:r>
      <w:r w:rsidRPr="00032DA6">
        <w:rPr>
          <w:rFonts w:cstheme="majorBidi"/>
          <w:color w:val="222222"/>
          <w:shd w:val="clear" w:color="auto" w:fill="FFFFFF"/>
          <w:lang w:val="en-GB"/>
        </w:rPr>
        <w:t>,</w:t>
      </w:r>
      <w:r w:rsidRPr="00032DA6">
        <w:rPr>
          <w:rStyle w:val="apple-converted-space"/>
          <w:rFonts w:cstheme="majorBidi"/>
          <w:color w:val="222222"/>
          <w:shd w:val="clear" w:color="auto" w:fill="FFFFFF"/>
          <w:lang w:val="en-GB"/>
        </w:rPr>
        <w:t> </w:t>
      </w:r>
      <w:r w:rsidRPr="00032DA6">
        <w:rPr>
          <w:rFonts w:cstheme="majorBidi"/>
          <w:i/>
          <w:iCs/>
          <w:color w:val="222222"/>
          <w:lang w:val="en-GB"/>
        </w:rPr>
        <w:t>21</w:t>
      </w:r>
      <w:r w:rsidRPr="00032DA6">
        <w:rPr>
          <w:rFonts w:cstheme="majorBidi"/>
          <w:color w:val="222222"/>
          <w:shd w:val="clear" w:color="auto" w:fill="FFFFFF"/>
          <w:lang w:val="en-GB"/>
        </w:rPr>
        <w:t>(2), 131-141.</w:t>
      </w:r>
    </w:p>
    <w:p w14:paraId="29A3805C"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 xml:space="preserve">Toome, A. (2018). </w:t>
      </w:r>
      <w:r w:rsidRPr="00032DA6">
        <w:rPr>
          <w:rFonts w:cstheme="majorBidi"/>
          <w:i/>
          <w:iCs/>
          <w:color w:val="222222"/>
          <w:shd w:val="clear" w:color="auto" w:fill="FFFFFF"/>
          <w:lang w:val="en-GB"/>
        </w:rPr>
        <w:t xml:space="preserve">Determinants of Housing Prices in Real-Estate Market Cycles. </w:t>
      </w:r>
      <w:r w:rsidRPr="00032DA6">
        <w:rPr>
          <w:rFonts w:cstheme="majorBidi"/>
          <w:color w:val="222222"/>
          <w:shd w:val="clear" w:color="auto" w:fill="FFFFFF"/>
          <w:lang w:val="en-GB"/>
        </w:rPr>
        <w:t>Tallin University of Technology.</w:t>
      </w:r>
    </w:p>
    <w:p w14:paraId="008013C1"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Tsatsaronis, K., &amp; Zhu, H. (2004). What drives housing price dynamics: cross-country evidence.</w:t>
      </w:r>
      <w:r w:rsidRPr="00032DA6">
        <w:rPr>
          <w:rStyle w:val="apple-converted-space"/>
          <w:rFonts w:cstheme="majorBidi"/>
          <w:color w:val="222222"/>
          <w:shd w:val="clear" w:color="auto" w:fill="FFFFFF"/>
          <w:lang w:val="en-GB"/>
        </w:rPr>
        <w:t> </w:t>
      </w:r>
      <w:r w:rsidRPr="00032DA6">
        <w:rPr>
          <w:rFonts w:cstheme="majorBidi"/>
          <w:i/>
          <w:iCs/>
          <w:color w:val="222222"/>
          <w:lang w:val="en-GB"/>
        </w:rPr>
        <w:t>BIS Quarterly Review, March</w:t>
      </w:r>
      <w:r w:rsidRPr="00032DA6">
        <w:rPr>
          <w:rFonts w:cstheme="majorBidi"/>
          <w:color w:val="222222"/>
          <w:shd w:val="clear" w:color="auto" w:fill="FFFFFF"/>
          <w:lang w:val="en-GB"/>
        </w:rPr>
        <w:t>.</w:t>
      </w:r>
    </w:p>
    <w:p w14:paraId="4C828DC8"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Whittle, R., Davies, T., Gobey, M., &amp; Simister, J. (2014). Behavioural economics and house prices: A literature review. </w:t>
      </w:r>
      <w:r w:rsidRPr="00032DA6">
        <w:rPr>
          <w:rFonts w:cstheme="majorBidi"/>
          <w:i/>
          <w:iCs/>
          <w:color w:val="222222"/>
          <w:lang w:val="en-GB"/>
        </w:rPr>
        <w:t>Business and Management Horizons</w:t>
      </w:r>
      <w:r w:rsidRPr="00032DA6">
        <w:rPr>
          <w:rFonts w:cstheme="majorBidi"/>
          <w:color w:val="222222"/>
          <w:shd w:val="clear" w:color="auto" w:fill="FFFFFF"/>
          <w:lang w:val="en-GB"/>
        </w:rPr>
        <w:t>, </w:t>
      </w:r>
      <w:r w:rsidRPr="00032DA6">
        <w:rPr>
          <w:rFonts w:cstheme="majorBidi"/>
          <w:i/>
          <w:iCs/>
          <w:color w:val="222222"/>
          <w:lang w:val="en-GB"/>
        </w:rPr>
        <w:t>2</w:t>
      </w:r>
      <w:r w:rsidRPr="00032DA6">
        <w:rPr>
          <w:rFonts w:cstheme="majorBidi"/>
          <w:color w:val="222222"/>
          <w:shd w:val="clear" w:color="auto" w:fill="FFFFFF"/>
          <w:lang w:val="en-GB"/>
        </w:rPr>
        <w:t>(2), 15.</w:t>
      </w:r>
    </w:p>
    <w:p w14:paraId="4786141D"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 xml:space="preserve">Williams, J. C. (2016). </w:t>
      </w:r>
      <w:r w:rsidRPr="00032DA6">
        <w:rPr>
          <w:rFonts w:cstheme="majorBidi"/>
          <w:i/>
          <w:iCs/>
          <w:color w:val="222222"/>
          <w:shd w:val="clear" w:color="auto" w:fill="FFFFFF"/>
          <w:lang w:val="en-GB"/>
        </w:rPr>
        <w:t>Measuring the effects of monetary policy on house prices and the economy (No.88).</w:t>
      </w:r>
      <w:r w:rsidRPr="00032DA6">
        <w:rPr>
          <w:rFonts w:cstheme="majorBidi"/>
          <w:color w:val="222222"/>
          <w:shd w:val="clear" w:color="auto" w:fill="FFFFFF"/>
          <w:lang w:val="en-GB"/>
        </w:rPr>
        <w:t> </w:t>
      </w:r>
      <w:r w:rsidRPr="00032DA6">
        <w:rPr>
          <w:rFonts w:cstheme="majorBidi"/>
          <w:color w:val="222222"/>
          <w:lang w:val="en-GB"/>
        </w:rPr>
        <w:t xml:space="preserve">Bank for International Settlements. </w:t>
      </w:r>
    </w:p>
    <w:p w14:paraId="7DBE7566" w14:textId="2E4977F3"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Xhignesse, G., Bianchet, B., Cools, M., Gathon, H. J., Jurion, B., &amp; Teller, J. (2014). An econometric analysis of homeownership determinants in Belgium. In</w:t>
      </w:r>
      <w:r w:rsidRPr="00032DA6">
        <w:rPr>
          <w:rStyle w:val="apple-converted-space"/>
          <w:rFonts w:cstheme="majorBidi"/>
          <w:color w:val="222222"/>
          <w:shd w:val="clear" w:color="auto" w:fill="FFFFFF"/>
          <w:lang w:val="en-GB"/>
        </w:rPr>
        <w:t> </w:t>
      </w:r>
      <w:r w:rsidRPr="00032DA6">
        <w:rPr>
          <w:rFonts w:cstheme="majorBidi"/>
          <w:i/>
          <w:iCs/>
          <w:color w:val="222222"/>
          <w:lang w:val="en-GB"/>
        </w:rPr>
        <w:t>International Conference on Computational Science and Its Applications</w:t>
      </w:r>
      <w:r w:rsidR="210ABDBF" w:rsidRPr="6EA7D7CB">
        <w:rPr>
          <w:rFonts w:cstheme="majorBidi"/>
          <w:i/>
          <w:iCs/>
          <w:color w:val="222222"/>
          <w:lang w:val="en-GB"/>
        </w:rPr>
        <w:t xml:space="preserve"> </w:t>
      </w:r>
      <w:r w:rsidRPr="6EA7D7CB">
        <w:rPr>
          <w:rFonts w:cstheme="majorBidi"/>
          <w:i/>
          <w:iCs/>
          <w:color w:val="222222"/>
          <w:lang w:val="en-GB"/>
        </w:rPr>
        <w:t>(</w:t>
      </w:r>
      <w:r w:rsidRPr="00032DA6">
        <w:rPr>
          <w:rFonts w:cstheme="majorBidi"/>
          <w:color w:val="222222"/>
          <w:shd w:val="clear" w:color="auto" w:fill="FFFFFF"/>
          <w:lang w:val="en-GB"/>
        </w:rPr>
        <w:t>pp. 65-79). Springer, Cham.</w:t>
      </w:r>
    </w:p>
    <w:p w14:paraId="0EAAB43B"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Zhang, H., Li, L., Hui, E. C. M., &amp; Li, V. (2016). Comparisons of the relations between housing prices and the macroeconomy in China’s first-, second-and third-tier cities.</w:t>
      </w:r>
      <w:r w:rsidRPr="00032DA6">
        <w:rPr>
          <w:rStyle w:val="apple-converted-space"/>
          <w:rFonts w:cstheme="majorBidi"/>
          <w:color w:val="222222"/>
          <w:shd w:val="clear" w:color="auto" w:fill="FFFFFF"/>
          <w:lang w:val="en-GB"/>
        </w:rPr>
        <w:t> </w:t>
      </w:r>
      <w:r w:rsidRPr="00032DA6">
        <w:rPr>
          <w:rFonts w:cstheme="majorBidi"/>
          <w:i/>
          <w:iCs/>
          <w:color w:val="222222"/>
          <w:lang w:val="en-GB"/>
        </w:rPr>
        <w:t>Habitat International</w:t>
      </w:r>
      <w:r w:rsidRPr="00032DA6">
        <w:rPr>
          <w:rFonts w:cstheme="majorBidi"/>
          <w:color w:val="222222"/>
          <w:shd w:val="clear" w:color="auto" w:fill="FFFFFF"/>
          <w:lang w:val="en-GB"/>
        </w:rPr>
        <w:t>,</w:t>
      </w:r>
      <w:r w:rsidRPr="00032DA6">
        <w:rPr>
          <w:rStyle w:val="apple-converted-space"/>
          <w:rFonts w:cstheme="majorBidi"/>
          <w:color w:val="222222"/>
          <w:shd w:val="clear" w:color="auto" w:fill="FFFFFF"/>
          <w:lang w:val="en-GB"/>
        </w:rPr>
        <w:t> </w:t>
      </w:r>
      <w:r w:rsidRPr="00032DA6">
        <w:rPr>
          <w:rFonts w:cstheme="majorBidi"/>
          <w:i/>
          <w:iCs/>
          <w:color w:val="222222"/>
          <w:lang w:val="en-GB"/>
        </w:rPr>
        <w:t>57</w:t>
      </w:r>
      <w:r w:rsidRPr="00032DA6">
        <w:rPr>
          <w:rFonts w:cstheme="majorBidi"/>
          <w:color w:val="222222"/>
          <w:shd w:val="clear" w:color="auto" w:fill="FFFFFF"/>
          <w:lang w:val="en-GB"/>
        </w:rPr>
        <w:t>, 24-42.</w:t>
      </w:r>
    </w:p>
    <w:p w14:paraId="5A7F3DFD" w14:textId="1F3C3A1F" w:rsidR="4C208209" w:rsidRDefault="05723FEE" w:rsidP="4C208209">
      <w:pPr>
        <w:spacing w:line="276" w:lineRule="auto"/>
        <w:ind w:left="851" w:hanging="851"/>
        <w:jc w:val="both"/>
        <w:rPr>
          <w:rFonts w:eastAsiaTheme="minorEastAsia" w:cstheme="majorBidi"/>
          <w:i/>
          <w:iCs/>
          <w:color w:val="222222"/>
          <w:lang w:val="en-GB"/>
        </w:rPr>
      </w:pPr>
      <w:r w:rsidRPr="053B9F3F">
        <w:rPr>
          <w:rFonts w:eastAsiaTheme="minorEastAsia" w:cstheme="majorBidi"/>
          <w:color w:val="222222"/>
          <w:lang w:val="en-GB"/>
        </w:rPr>
        <w:t xml:space="preserve">Zhang, Z. (2016). Missing data imputation: focusing on single imputation. </w:t>
      </w:r>
      <w:r w:rsidRPr="053B9F3F">
        <w:rPr>
          <w:rFonts w:eastAsiaTheme="minorEastAsia" w:cstheme="majorBidi"/>
          <w:i/>
          <w:iCs/>
          <w:color w:val="222222"/>
          <w:lang w:val="en-GB"/>
        </w:rPr>
        <w:t>Annals of translational medicine, 4(1).</w:t>
      </w:r>
    </w:p>
    <w:p w14:paraId="45D0FDBF" w14:textId="77777777" w:rsidR="00DB00BE" w:rsidRPr="00032DA6" w:rsidRDefault="00DB00BE" w:rsidP="00DE108C">
      <w:pPr>
        <w:spacing w:line="276" w:lineRule="auto"/>
        <w:ind w:left="851" w:hanging="851"/>
        <w:jc w:val="both"/>
        <w:rPr>
          <w:rFonts w:cstheme="majorBidi"/>
          <w:color w:val="222222"/>
          <w:shd w:val="clear" w:color="auto" w:fill="FFFFFF"/>
          <w:lang w:val="en-GB"/>
        </w:rPr>
      </w:pPr>
      <w:r w:rsidRPr="00032DA6">
        <w:rPr>
          <w:rFonts w:cstheme="majorBidi"/>
          <w:color w:val="222222"/>
          <w:shd w:val="clear" w:color="auto" w:fill="FFFFFF"/>
          <w:lang w:val="en-GB"/>
        </w:rPr>
        <w:t>Zhang, Y., Hua, X., &amp; Zhao, L. (2012). Exploring determinants of housing prices: A case study of Chinese experience in 1999–2010.</w:t>
      </w:r>
      <w:r w:rsidRPr="00032DA6">
        <w:rPr>
          <w:rStyle w:val="apple-converted-space"/>
          <w:rFonts w:cstheme="majorBidi"/>
          <w:color w:val="222222"/>
          <w:shd w:val="clear" w:color="auto" w:fill="FFFFFF"/>
          <w:lang w:val="en-GB"/>
        </w:rPr>
        <w:t> </w:t>
      </w:r>
      <w:r w:rsidRPr="00032DA6">
        <w:rPr>
          <w:rFonts w:cstheme="majorBidi"/>
          <w:i/>
          <w:iCs/>
          <w:color w:val="222222"/>
          <w:lang w:val="en-GB"/>
        </w:rPr>
        <w:t>Economic modelling</w:t>
      </w:r>
      <w:r w:rsidRPr="00032DA6">
        <w:rPr>
          <w:rFonts w:cstheme="majorBidi"/>
          <w:color w:val="222222"/>
          <w:shd w:val="clear" w:color="auto" w:fill="FFFFFF"/>
          <w:lang w:val="en-GB"/>
        </w:rPr>
        <w:t>,</w:t>
      </w:r>
      <w:r w:rsidRPr="00032DA6">
        <w:rPr>
          <w:rStyle w:val="apple-converted-space"/>
          <w:rFonts w:cstheme="majorBidi"/>
          <w:color w:val="222222"/>
          <w:shd w:val="clear" w:color="auto" w:fill="FFFFFF"/>
          <w:lang w:val="en-GB"/>
        </w:rPr>
        <w:t> </w:t>
      </w:r>
      <w:r w:rsidRPr="00032DA6">
        <w:rPr>
          <w:rFonts w:cstheme="majorBidi"/>
          <w:i/>
          <w:iCs/>
          <w:color w:val="222222"/>
          <w:lang w:val="en-GB"/>
        </w:rPr>
        <w:t>29</w:t>
      </w:r>
      <w:r w:rsidRPr="00032DA6">
        <w:rPr>
          <w:rFonts w:cstheme="majorBidi"/>
          <w:color w:val="222222"/>
          <w:shd w:val="clear" w:color="auto" w:fill="FFFFFF"/>
          <w:lang w:val="en-GB"/>
        </w:rPr>
        <w:t>(6), 2349-2361.</w:t>
      </w:r>
    </w:p>
    <w:p w14:paraId="7DA358B5" w14:textId="77777777" w:rsidR="00DB00BE" w:rsidRDefault="00DB00BE" w:rsidP="00DE108C">
      <w:pPr>
        <w:spacing w:line="276" w:lineRule="auto"/>
        <w:jc w:val="both"/>
        <w:rPr>
          <w:rFonts w:cstheme="majorBidi"/>
          <w:color w:val="000000" w:themeColor="text1"/>
          <w:lang w:val="en-GB"/>
        </w:rPr>
      </w:pPr>
    </w:p>
    <w:p w14:paraId="74B2CD82" w14:textId="4CAEB747" w:rsidR="001A5572" w:rsidRDefault="001A5572">
      <w:pPr>
        <w:rPr>
          <w:rFonts w:cstheme="majorBidi"/>
          <w:color w:val="000000" w:themeColor="text1"/>
          <w:lang w:val="en-GB"/>
        </w:rPr>
      </w:pPr>
      <w:r>
        <w:rPr>
          <w:rFonts w:cstheme="majorBidi"/>
          <w:color w:val="000000" w:themeColor="text1"/>
          <w:lang w:val="en-GB"/>
        </w:rPr>
        <w:br w:type="page"/>
      </w:r>
    </w:p>
    <w:p w14:paraId="2C2ABD84" w14:textId="77777777" w:rsidR="001A5572" w:rsidRPr="001A5572" w:rsidRDefault="001A5572" w:rsidP="001A5572">
      <w:pPr>
        <w:pStyle w:val="Heading3"/>
        <w:spacing w:before="0" w:line="240" w:lineRule="auto"/>
        <w:jc w:val="center"/>
        <w:rPr>
          <w:b/>
          <w:bCs/>
          <w:i w:val="0"/>
          <w:iCs/>
          <w:color w:val="auto"/>
          <w:sz w:val="24"/>
          <w:szCs w:val="28"/>
        </w:rPr>
      </w:pPr>
      <w:bookmarkStart w:id="67" w:name="_Toc81565135"/>
      <w:bookmarkStart w:id="68" w:name="_Toc91438060"/>
      <w:r w:rsidRPr="001A5572">
        <w:rPr>
          <w:b/>
          <w:bCs/>
          <w:i w:val="0"/>
          <w:iCs/>
          <w:color w:val="auto"/>
          <w:sz w:val="24"/>
          <w:szCs w:val="28"/>
        </w:rPr>
        <w:t>Annex (1)</w:t>
      </w:r>
      <w:bookmarkEnd w:id="68"/>
    </w:p>
    <w:p w14:paraId="7EB52BFE" w14:textId="77777777" w:rsidR="001A5572" w:rsidRPr="001A5572" w:rsidRDefault="001A5572" w:rsidP="001A5572">
      <w:pPr>
        <w:pStyle w:val="Heading3"/>
        <w:spacing w:before="0" w:line="240" w:lineRule="auto"/>
        <w:jc w:val="center"/>
        <w:rPr>
          <w:b/>
          <w:bCs/>
          <w:i w:val="0"/>
          <w:iCs/>
          <w:color w:val="auto"/>
          <w:sz w:val="24"/>
          <w:szCs w:val="28"/>
        </w:rPr>
      </w:pPr>
      <w:bookmarkStart w:id="69" w:name="_Toc91438061"/>
      <w:r w:rsidRPr="001A5572">
        <w:rPr>
          <w:b/>
          <w:bCs/>
          <w:i w:val="0"/>
          <w:iCs/>
          <w:color w:val="auto"/>
          <w:sz w:val="24"/>
          <w:szCs w:val="28"/>
        </w:rPr>
        <w:t>Survey design</w:t>
      </w:r>
      <w:bookmarkEnd w:id="67"/>
      <w:bookmarkEnd w:id="69"/>
    </w:p>
    <w:p w14:paraId="4CF9F1A3" w14:textId="77777777" w:rsidR="001A5572" w:rsidRPr="001A5572" w:rsidRDefault="001A5572" w:rsidP="001A5572">
      <w:pPr>
        <w:spacing w:line="276" w:lineRule="auto"/>
        <w:jc w:val="both"/>
        <w:rPr>
          <w:rFonts w:cstheme="majorBidi"/>
          <w:sz w:val="6"/>
          <w:szCs w:val="6"/>
        </w:rPr>
      </w:pPr>
    </w:p>
    <w:p w14:paraId="0765B493" w14:textId="4A420CAC" w:rsidR="001A5572" w:rsidRDefault="001A5572" w:rsidP="001A5572">
      <w:pPr>
        <w:spacing w:line="276" w:lineRule="auto"/>
        <w:jc w:val="both"/>
        <w:rPr>
          <w:rFonts w:cstheme="majorBidi"/>
          <w:sz w:val="24"/>
          <w:szCs w:val="24"/>
        </w:rPr>
      </w:pPr>
      <w:r>
        <w:rPr>
          <w:rFonts w:cstheme="majorBidi"/>
          <w:sz w:val="24"/>
          <w:szCs w:val="24"/>
        </w:rPr>
        <w:t xml:space="preserve">Two </w:t>
      </w:r>
      <w:r w:rsidRPr="00AE76C5">
        <w:rPr>
          <w:rFonts w:cstheme="majorBidi"/>
          <w:sz w:val="24"/>
          <w:szCs w:val="24"/>
        </w:rPr>
        <w:t>questionnaires are conducted which are, developer questionnaire and buyer and seller questionnaire. The study is conducted on a sample of  developer questionnaire/ buyer and seller in the following governorates: (</w:t>
      </w:r>
      <w:r w:rsidRPr="00A33781">
        <w:rPr>
          <w:rFonts w:cstheme="majorBidi"/>
          <w:sz w:val="24"/>
          <w:szCs w:val="24"/>
        </w:rPr>
        <w:t>Cairo</w:t>
      </w:r>
      <w:r w:rsidRPr="00AE76C5">
        <w:rPr>
          <w:rFonts w:cstheme="majorBidi"/>
          <w:sz w:val="24"/>
          <w:szCs w:val="24"/>
        </w:rPr>
        <w:t xml:space="preserve"> - Alexandria - Damietta - </w:t>
      </w:r>
      <w:r w:rsidR="00D55F39">
        <w:rPr>
          <w:rFonts w:cstheme="majorBidi"/>
          <w:sz w:val="24"/>
          <w:szCs w:val="24"/>
        </w:rPr>
        <w:t>Suhag</w:t>
      </w:r>
      <w:r w:rsidRPr="00AE76C5">
        <w:rPr>
          <w:rFonts w:cstheme="majorBidi"/>
          <w:sz w:val="24"/>
          <w:szCs w:val="24"/>
        </w:rPr>
        <w:t xml:space="preserve">). A pre-test was conducted for the two study tools by contacting about 25 individual sellers and buyers and about 25 developers. Based on the pretest the survey of sellers and buyers has been rearranged better. The questionnaire was written in Arabic since Arabic is the official language in Egypt. Demographic data was collected on age, gender, education and marital status. </w:t>
      </w:r>
    </w:p>
    <w:p w14:paraId="4FF56619" w14:textId="77777777" w:rsidR="001A5572" w:rsidRPr="00EF78DF" w:rsidRDefault="001A5572" w:rsidP="001A5572">
      <w:pPr>
        <w:pStyle w:val="Heading3"/>
        <w:spacing w:line="480" w:lineRule="auto"/>
        <w:rPr>
          <w:b/>
          <w:bCs/>
          <w:color w:val="auto"/>
        </w:rPr>
      </w:pPr>
      <w:bookmarkStart w:id="70" w:name="_Toc91438062"/>
      <w:r w:rsidRPr="00EF78DF">
        <w:rPr>
          <w:b/>
          <w:bCs/>
          <w:color w:val="auto"/>
        </w:rPr>
        <w:t>3.</w:t>
      </w:r>
      <w:r>
        <w:rPr>
          <w:b/>
          <w:bCs/>
          <w:color w:val="auto"/>
        </w:rPr>
        <w:t>2</w:t>
      </w:r>
      <w:r w:rsidRPr="00EF78DF">
        <w:rPr>
          <w:b/>
          <w:bCs/>
          <w:color w:val="auto"/>
        </w:rPr>
        <w:t xml:space="preserve"> </w:t>
      </w:r>
      <w:r>
        <w:rPr>
          <w:b/>
          <w:bCs/>
          <w:color w:val="auto"/>
        </w:rPr>
        <w:t>Sampling</w:t>
      </w:r>
      <w:bookmarkEnd w:id="70"/>
    </w:p>
    <w:p w14:paraId="145AB0AA" w14:textId="77777777" w:rsidR="001A5572" w:rsidRPr="00B01394" w:rsidRDefault="001A5572" w:rsidP="001A5572">
      <w:pPr>
        <w:jc w:val="both"/>
        <w:rPr>
          <w:rFonts w:cstheme="majorBidi"/>
          <w:sz w:val="24"/>
          <w:szCs w:val="24"/>
        </w:rPr>
      </w:pPr>
      <w:r>
        <w:rPr>
          <w:rFonts w:cstheme="majorBidi"/>
          <w:sz w:val="24"/>
          <w:szCs w:val="24"/>
        </w:rPr>
        <w:t>As mentioned above, t</w:t>
      </w:r>
      <w:r w:rsidRPr="00B01394">
        <w:rPr>
          <w:rFonts w:cstheme="majorBidi"/>
          <w:sz w:val="24"/>
          <w:szCs w:val="24"/>
        </w:rPr>
        <w:t>he sample for this study was drawn from</w:t>
      </w:r>
      <w:r>
        <w:rPr>
          <w:rFonts w:cstheme="majorBidi"/>
          <w:sz w:val="24"/>
          <w:szCs w:val="24"/>
        </w:rPr>
        <w:t xml:space="preserve"> both</w:t>
      </w:r>
      <w:r w:rsidRPr="00B01394">
        <w:rPr>
          <w:rFonts w:cstheme="majorBidi"/>
          <w:sz w:val="24"/>
          <w:szCs w:val="24"/>
        </w:rPr>
        <w:t xml:space="preserve"> </w:t>
      </w:r>
      <w:r>
        <w:rPr>
          <w:rFonts w:cstheme="majorBidi"/>
          <w:sz w:val="24"/>
          <w:szCs w:val="24"/>
        </w:rPr>
        <w:t xml:space="preserve">developer/ buyer and seller. So, we determine the relevant sample size from both of them. </w:t>
      </w:r>
      <w:r w:rsidRPr="00B01394">
        <w:rPr>
          <w:rFonts w:cstheme="majorBidi"/>
          <w:sz w:val="24"/>
          <w:szCs w:val="24"/>
        </w:rPr>
        <w:t>Sample size determination is the act of choosing the number of observations or replicates to include in a statistical sample</w:t>
      </w:r>
      <w:r>
        <w:rPr>
          <w:rFonts w:cstheme="majorBidi"/>
          <w:sz w:val="24"/>
          <w:szCs w:val="24"/>
        </w:rPr>
        <w:t>. It</w:t>
      </w:r>
      <w:r w:rsidRPr="00B01394">
        <w:rPr>
          <w:rFonts w:cstheme="majorBidi"/>
          <w:sz w:val="24"/>
          <w:szCs w:val="24"/>
        </w:rPr>
        <w:t xml:space="preserve"> depends on a number of factors including the purpose of the study, population size, sampling error permitted etc. The appropriate sample size </w:t>
      </w:r>
      <w:r>
        <w:rPr>
          <w:rFonts w:cstheme="majorBidi"/>
          <w:sz w:val="24"/>
          <w:szCs w:val="24"/>
        </w:rPr>
        <w:t xml:space="preserve">is determined based </w:t>
      </w:r>
      <w:r w:rsidRPr="00B01394">
        <w:rPr>
          <w:rFonts w:cstheme="majorBidi"/>
          <w:sz w:val="24"/>
          <w:szCs w:val="24"/>
        </w:rPr>
        <w:t xml:space="preserve">on the </w:t>
      </w:r>
      <w:r>
        <w:rPr>
          <w:rFonts w:cstheme="majorBidi"/>
          <w:sz w:val="24"/>
          <w:szCs w:val="24"/>
        </w:rPr>
        <w:t>following formula:</w:t>
      </w:r>
    </w:p>
    <w:p w14:paraId="76382C97" w14:textId="77777777" w:rsidR="001A5572" w:rsidRPr="00B01394" w:rsidRDefault="001A5572" w:rsidP="001A5572">
      <w:pPr>
        <w:jc w:val="both"/>
        <w:rPr>
          <w:rFonts w:cstheme="majorBidi"/>
          <w:sz w:val="24"/>
          <w:szCs w:val="24"/>
          <w:lang w:bidi="ar-EG"/>
        </w:rPr>
      </w:pPr>
      <w:r w:rsidRPr="00B01394">
        <w:rPr>
          <w:rFonts w:cstheme="majorBidi"/>
          <w:sz w:val="24"/>
          <w:szCs w:val="24"/>
          <w:lang w:bidi="ar-EG"/>
        </w:rPr>
        <w:t>n</w:t>
      </w:r>
      <w:r w:rsidRPr="00B01394">
        <w:rPr>
          <w:rFonts w:cstheme="majorBidi"/>
          <w:sz w:val="24"/>
          <w:szCs w:val="24"/>
          <w:vertAlign w:val="subscript"/>
          <w:lang w:bidi="ar-EG"/>
        </w:rPr>
        <w:t>0</w:t>
      </w:r>
      <w:r w:rsidRPr="00B01394">
        <w:rPr>
          <w:rFonts w:cstheme="majorBidi"/>
          <w:sz w:val="24"/>
          <w:szCs w:val="24"/>
          <w:lang w:bidi="ar-EG"/>
        </w:rPr>
        <w:t xml:space="preserve"> =</w:t>
      </w:r>
      <m:oMath>
        <m:r>
          <w:rPr>
            <w:rFonts w:ascii="Cambria Math" w:hAnsi="Cambria Math" w:cstheme="majorBidi"/>
            <w:sz w:val="24"/>
            <w:szCs w:val="24"/>
            <w:lang w:bidi="ar-EG"/>
          </w:rPr>
          <m:t xml:space="preserve"> </m:t>
        </m:r>
        <m:f>
          <m:fPr>
            <m:ctrlPr>
              <w:rPr>
                <w:rFonts w:ascii="Cambria Math" w:hAnsi="Cambria Math" w:cstheme="majorBidi"/>
                <w:i/>
                <w:sz w:val="24"/>
                <w:szCs w:val="24"/>
                <w:lang w:bidi="ar-EG"/>
              </w:rPr>
            </m:ctrlPr>
          </m:fPr>
          <m:num>
            <m:sSup>
              <m:sSupPr>
                <m:ctrlPr>
                  <w:rPr>
                    <w:rFonts w:ascii="Cambria Math" w:eastAsiaTheme="minorEastAsia" w:hAnsi="Cambria Math" w:cstheme="majorBidi"/>
                    <w:sz w:val="24"/>
                    <w:szCs w:val="24"/>
                    <w:vertAlign w:val="superscript"/>
                    <w:lang w:bidi="ar-EG"/>
                  </w:rPr>
                </m:ctrlPr>
              </m:sSupPr>
              <m:e>
                <m:r>
                  <w:rPr>
                    <w:rFonts w:ascii="Cambria Math" w:hAnsi="Cambria Math" w:cstheme="majorBidi"/>
                    <w:sz w:val="24"/>
                    <w:szCs w:val="24"/>
                    <w:lang w:bidi="ar-EG"/>
                  </w:rPr>
                  <m:t>(</m:t>
                </m:r>
                <m:sSub>
                  <m:sSubPr>
                    <m:ctrlPr>
                      <w:rPr>
                        <w:rFonts w:ascii="Cambria Math" w:hAnsi="Cambria Math" w:cstheme="majorBidi"/>
                        <w:i/>
                        <w:sz w:val="24"/>
                        <w:szCs w:val="24"/>
                        <w:lang w:bidi="ar-EG"/>
                      </w:rPr>
                    </m:ctrlPr>
                  </m:sSubPr>
                  <m:e>
                    <m:r>
                      <w:rPr>
                        <w:rFonts w:ascii="Cambria Math" w:hAnsi="Cambria Math" w:cstheme="majorBidi"/>
                        <w:sz w:val="24"/>
                        <w:szCs w:val="24"/>
                        <w:lang w:bidi="ar-EG"/>
                      </w:rPr>
                      <m:t>Z</m:t>
                    </m:r>
                  </m:e>
                  <m:sub>
                    <m:f>
                      <m:fPr>
                        <m:ctrlPr>
                          <w:rPr>
                            <w:rFonts w:ascii="Cambria Math" w:hAnsi="Cambria Math" w:cstheme="majorBidi"/>
                            <w:i/>
                            <w:sz w:val="24"/>
                            <w:szCs w:val="24"/>
                            <w:lang w:bidi="ar-EG"/>
                          </w:rPr>
                        </m:ctrlPr>
                      </m:fPr>
                      <m:num>
                        <m:r>
                          <w:rPr>
                            <w:rFonts w:ascii="Cambria Math" w:hAnsi="Cambria Math" w:cstheme="majorBidi"/>
                            <w:sz w:val="24"/>
                            <w:szCs w:val="24"/>
                            <w:lang w:bidi="ar-EG"/>
                          </w:rPr>
                          <m:t>α</m:t>
                        </m:r>
                      </m:num>
                      <m:den>
                        <m:r>
                          <w:rPr>
                            <w:rFonts w:ascii="Cambria Math" w:hAnsi="Cambria Math" w:cstheme="majorBidi"/>
                            <w:sz w:val="24"/>
                            <w:szCs w:val="24"/>
                            <w:lang w:bidi="ar-EG"/>
                          </w:rPr>
                          <m:t>2</m:t>
                        </m:r>
                      </m:den>
                    </m:f>
                  </m:sub>
                </m:sSub>
                <m:r>
                  <w:rPr>
                    <w:rFonts w:ascii="Cambria Math" w:hAnsi="Cambria Math" w:cstheme="majorBidi"/>
                    <w:sz w:val="24"/>
                    <w:szCs w:val="24"/>
                    <w:lang w:bidi="ar-EG"/>
                  </w:rPr>
                  <m:t>)</m:t>
                </m:r>
              </m:e>
              <m:sup>
                <m:r>
                  <w:rPr>
                    <w:rFonts w:ascii="Cambria Math" w:eastAsiaTheme="minorEastAsia" w:hAnsi="Cambria Math" w:cstheme="majorBidi"/>
                    <w:sz w:val="24"/>
                    <w:szCs w:val="24"/>
                    <w:vertAlign w:val="superscript"/>
                    <w:lang w:bidi="ar-EG"/>
                  </w:rPr>
                  <m:t>2</m:t>
                </m:r>
              </m:sup>
            </m:sSup>
            <m:r>
              <m:rPr>
                <m:sty m:val="p"/>
              </m:rPr>
              <w:rPr>
                <w:rFonts w:ascii="Cambria Math" w:eastAsiaTheme="minorEastAsia" w:hAnsi="Cambria Math" w:cstheme="majorBidi"/>
                <w:sz w:val="24"/>
                <w:szCs w:val="24"/>
                <w:lang w:bidi="ar-EG"/>
              </w:rPr>
              <m:t xml:space="preserve"> p(1-p) </m:t>
            </m:r>
          </m:num>
          <m:den>
            <m:sSup>
              <m:sSupPr>
                <m:ctrlPr>
                  <w:rPr>
                    <w:rFonts w:ascii="Cambria Math" w:eastAsiaTheme="minorEastAsia" w:hAnsi="Cambria Math" w:cstheme="majorBidi"/>
                    <w:sz w:val="24"/>
                    <w:szCs w:val="24"/>
                    <w:lang w:bidi="ar-EG"/>
                  </w:rPr>
                </m:ctrlPr>
              </m:sSupPr>
              <m:e>
                <m:r>
                  <m:rPr>
                    <m:sty m:val="p"/>
                  </m:rPr>
                  <w:rPr>
                    <w:rFonts w:ascii="Cambria Math" w:eastAsiaTheme="minorEastAsia" w:hAnsi="Cambria Math" w:cstheme="majorBidi"/>
                    <w:sz w:val="24"/>
                    <w:szCs w:val="24"/>
                    <w:lang w:bidi="ar-EG"/>
                  </w:rPr>
                  <m:t>e</m:t>
                </m:r>
              </m:e>
              <m:sup>
                <m:r>
                  <w:rPr>
                    <w:rFonts w:ascii="Cambria Math" w:eastAsiaTheme="minorEastAsia" w:hAnsi="Cambria Math" w:cstheme="majorBidi"/>
                    <w:sz w:val="24"/>
                    <w:szCs w:val="24"/>
                    <w:lang w:bidi="ar-EG"/>
                  </w:rPr>
                  <m:t>2</m:t>
                </m:r>
              </m:sup>
            </m:sSup>
          </m:den>
        </m:f>
      </m:oMath>
    </w:p>
    <w:p w14:paraId="64139DF4" w14:textId="77777777" w:rsidR="001A5572" w:rsidRPr="00B01394" w:rsidRDefault="001A5572" w:rsidP="001A5572">
      <w:pPr>
        <w:jc w:val="both"/>
        <w:rPr>
          <w:rFonts w:cstheme="majorBidi"/>
          <w:sz w:val="24"/>
          <w:szCs w:val="24"/>
          <w:lang w:bidi="ar-EG"/>
        </w:rPr>
      </w:pPr>
      <w:r w:rsidRPr="00B01394">
        <w:rPr>
          <w:rFonts w:cstheme="majorBidi"/>
          <w:sz w:val="24"/>
          <w:szCs w:val="24"/>
          <w:lang w:bidi="ar-EG"/>
        </w:rPr>
        <w:t>where:</w:t>
      </w:r>
    </w:p>
    <w:p w14:paraId="5F9F98A4" w14:textId="77777777" w:rsidR="001A5572" w:rsidRPr="00B01394" w:rsidRDefault="001A5572" w:rsidP="001A5572">
      <w:pPr>
        <w:jc w:val="both"/>
        <w:rPr>
          <w:rFonts w:cstheme="majorBidi"/>
          <w:sz w:val="24"/>
          <w:szCs w:val="24"/>
          <w:lang w:bidi="ar-EG"/>
        </w:rPr>
      </w:pPr>
      <w:r w:rsidRPr="00B01394">
        <w:rPr>
          <w:rFonts w:cstheme="majorBidi"/>
          <w:sz w:val="24"/>
          <w:szCs w:val="24"/>
          <w:lang w:bidi="ar-EG"/>
        </w:rPr>
        <w:t>Z</w:t>
      </w:r>
      <w:r w:rsidRPr="00B01394">
        <w:rPr>
          <w:rFonts w:cstheme="majorBidi"/>
          <w:sz w:val="24"/>
          <w:szCs w:val="24"/>
          <w:vertAlign w:val="subscript"/>
          <w:lang w:bidi="ar-EG"/>
        </w:rPr>
        <w:t>α/2 </w:t>
      </w:r>
      <w:r w:rsidRPr="00B01394">
        <w:rPr>
          <w:rFonts w:cstheme="majorBidi"/>
          <w:sz w:val="24"/>
          <w:szCs w:val="24"/>
          <w:lang w:bidi="ar-EG"/>
        </w:rPr>
        <w:t>is the critical value of the Normal distribution at α/2 (e.g. for a confidence level of 95%, α is 0.05 and the critical value is 1.96)</w:t>
      </w:r>
    </w:p>
    <w:p w14:paraId="08AFC737" w14:textId="77777777" w:rsidR="001A5572" w:rsidRPr="00B01394" w:rsidRDefault="001A5572" w:rsidP="001A5572">
      <w:pPr>
        <w:jc w:val="both"/>
        <w:rPr>
          <w:rFonts w:cstheme="majorBidi"/>
          <w:sz w:val="24"/>
          <w:szCs w:val="24"/>
          <w:lang w:bidi="ar-EG"/>
        </w:rPr>
      </w:pPr>
      <w:r w:rsidRPr="00B01394">
        <w:rPr>
          <w:rFonts w:cstheme="majorBidi"/>
          <w:sz w:val="24"/>
          <w:szCs w:val="24"/>
          <w:lang w:bidi="ar-EG"/>
        </w:rPr>
        <w:t xml:space="preserve"> e is the margin of error and it is approximated to be 0.05</w:t>
      </w:r>
    </w:p>
    <w:p w14:paraId="5A7A3137" w14:textId="77777777" w:rsidR="001A5572" w:rsidRPr="00B01394" w:rsidRDefault="001A5572" w:rsidP="001A5572">
      <w:pPr>
        <w:jc w:val="both"/>
        <w:rPr>
          <w:rFonts w:cstheme="majorBidi"/>
          <w:sz w:val="24"/>
          <w:szCs w:val="24"/>
          <w:lang w:bidi="ar-EG"/>
        </w:rPr>
      </w:pPr>
      <w:r w:rsidRPr="00B01394">
        <w:rPr>
          <w:rFonts w:cstheme="majorBidi"/>
          <w:sz w:val="24"/>
          <w:szCs w:val="24"/>
          <w:lang w:bidi="ar-EG"/>
        </w:rPr>
        <w:t xml:space="preserve">p is the sample proportion </w:t>
      </w:r>
      <w:r>
        <w:rPr>
          <w:rFonts w:cstheme="majorBidi"/>
          <w:sz w:val="24"/>
          <w:szCs w:val="24"/>
          <w:lang w:bidi="ar-EG"/>
        </w:rPr>
        <w:t>and we</w:t>
      </w:r>
      <w:r w:rsidRPr="00B01394">
        <w:rPr>
          <w:rFonts w:cstheme="majorBidi"/>
          <w:sz w:val="24"/>
          <w:szCs w:val="24"/>
          <w:lang w:bidi="ar-EG"/>
        </w:rPr>
        <w:t xml:space="preserve"> use</w:t>
      </w:r>
      <w:r>
        <w:rPr>
          <w:rFonts w:cstheme="majorBidi"/>
          <w:sz w:val="24"/>
          <w:szCs w:val="24"/>
          <w:lang w:bidi="ar-EG"/>
        </w:rPr>
        <w:t>d</w:t>
      </w:r>
      <w:r w:rsidRPr="00B01394">
        <w:rPr>
          <w:rFonts w:cstheme="majorBidi"/>
          <w:sz w:val="24"/>
          <w:szCs w:val="24"/>
          <w:lang w:bidi="ar-EG"/>
        </w:rPr>
        <w:t xml:space="preserve"> 50%, that is conservative and gives the largest sample size.  </w:t>
      </w:r>
    </w:p>
    <w:p w14:paraId="5985485F" w14:textId="53EC501F" w:rsidR="001A5572" w:rsidRDefault="001A5572" w:rsidP="714E5E3D">
      <w:pPr>
        <w:jc w:val="both"/>
        <w:rPr>
          <w:rFonts w:cstheme="majorBidi"/>
          <w:sz w:val="24"/>
          <w:szCs w:val="24"/>
          <w:lang w:bidi="ar-EG"/>
        </w:rPr>
      </w:pPr>
      <w:r w:rsidRPr="00B01394">
        <w:rPr>
          <w:rFonts w:cstheme="majorBidi"/>
          <w:sz w:val="24"/>
          <w:szCs w:val="24"/>
          <w:lang w:bidi="ar-EG"/>
        </w:rPr>
        <w:t>So, n</w:t>
      </w:r>
      <w:r w:rsidRPr="00B01394">
        <w:rPr>
          <w:rFonts w:cstheme="majorBidi"/>
          <w:sz w:val="24"/>
          <w:szCs w:val="24"/>
          <w:vertAlign w:val="subscript"/>
          <w:lang w:bidi="ar-EG"/>
        </w:rPr>
        <w:t>0</w:t>
      </w:r>
      <w:r w:rsidRPr="00B01394">
        <w:rPr>
          <w:rFonts w:cstheme="majorBidi"/>
          <w:sz w:val="24"/>
          <w:szCs w:val="24"/>
          <w:lang w:bidi="ar-EG"/>
        </w:rPr>
        <w:t>= (1.69)</w:t>
      </w:r>
      <w:r w:rsidRPr="00B01394">
        <w:rPr>
          <w:rFonts w:cstheme="majorBidi"/>
          <w:sz w:val="24"/>
          <w:szCs w:val="24"/>
          <w:vertAlign w:val="superscript"/>
          <w:lang w:bidi="ar-EG"/>
        </w:rPr>
        <w:t xml:space="preserve"> 2</w:t>
      </w:r>
      <w:r w:rsidRPr="00B01394">
        <w:rPr>
          <w:rFonts w:cstheme="majorBidi"/>
          <w:sz w:val="24"/>
          <w:szCs w:val="24"/>
          <w:lang w:bidi="ar-EG"/>
        </w:rPr>
        <w:t xml:space="preserve"> (0.5)(1-0.5) / 0.05</w:t>
      </w:r>
      <w:r w:rsidRPr="00B01394">
        <w:rPr>
          <w:rFonts w:cstheme="majorBidi"/>
          <w:sz w:val="24"/>
          <w:szCs w:val="24"/>
          <w:vertAlign w:val="superscript"/>
          <w:lang w:bidi="ar-EG"/>
        </w:rPr>
        <w:t xml:space="preserve">2    </w:t>
      </w:r>
      <w:r w:rsidRPr="00B01394">
        <w:rPr>
          <w:rFonts w:cstheme="majorBidi"/>
          <w:sz w:val="24"/>
          <w:szCs w:val="24"/>
          <w:lang w:bidi="ar-EG"/>
        </w:rPr>
        <w:t>= 385</w:t>
      </w:r>
    </w:p>
    <w:p w14:paraId="6936556D" w14:textId="77777777" w:rsidR="001A5572" w:rsidRDefault="001A5572" w:rsidP="001A5572">
      <w:pPr>
        <w:jc w:val="both"/>
        <w:rPr>
          <w:rFonts w:eastAsiaTheme="minorEastAsia" w:cstheme="majorBidi"/>
          <w:sz w:val="24"/>
          <w:szCs w:val="24"/>
          <w:vertAlign w:val="subscript"/>
          <w:lang w:bidi="ar-EG"/>
        </w:rPr>
      </w:pPr>
    </w:p>
    <w:p w14:paraId="64782C88" w14:textId="77777777" w:rsidR="001A5572" w:rsidRDefault="001A5572" w:rsidP="001A5572">
      <w:pPr>
        <w:jc w:val="both"/>
        <w:rPr>
          <w:rFonts w:cstheme="majorBidi"/>
          <w:sz w:val="24"/>
          <w:szCs w:val="24"/>
          <w:lang w:bidi="ar-EG"/>
        </w:rPr>
      </w:pPr>
      <w:r w:rsidRPr="00D27F7D">
        <w:rPr>
          <w:rFonts w:cstheme="majorBidi"/>
          <w:sz w:val="24"/>
          <w:szCs w:val="24"/>
          <w:lang w:bidi="ar-EG"/>
        </w:rPr>
        <w:t xml:space="preserve">So, we targeted to reach to </w:t>
      </w:r>
      <w:r>
        <w:rPr>
          <w:rFonts w:cstheme="majorBidi"/>
          <w:sz w:val="24"/>
          <w:szCs w:val="24"/>
          <w:lang w:bidi="ar-EG"/>
        </w:rPr>
        <w:t>around 400 for developers and 400 for buyer and seller as well. For developers, 412 are respondent after asking 750. For buyer and seller, 401 are respondent after asking 850. Non response occurs based on some reasons and shown in table 3.1.</w:t>
      </w:r>
    </w:p>
    <w:p w14:paraId="715159DC" w14:textId="77777777" w:rsidR="001A5572" w:rsidRPr="00490B3E" w:rsidRDefault="001A5572" w:rsidP="001A5572">
      <w:pPr>
        <w:rPr>
          <w:rFonts w:cstheme="majorBidi"/>
          <w:b/>
          <w:bCs/>
          <w:sz w:val="24"/>
          <w:szCs w:val="24"/>
          <w:lang w:bidi="ar-EG"/>
        </w:rPr>
      </w:pPr>
      <w:r w:rsidRPr="00490B3E">
        <w:rPr>
          <w:rFonts w:cstheme="majorBidi"/>
          <w:b/>
          <w:bCs/>
          <w:sz w:val="24"/>
          <w:szCs w:val="24"/>
          <w:lang w:bidi="ar-EG"/>
        </w:rPr>
        <w:t xml:space="preserve">Table 3.1: </w:t>
      </w:r>
      <w:r>
        <w:rPr>
          <w:rFonts w:cstheme="majorBidi"/>
          <w:b/>
          <w:bCs/>
          <w:sz w:val="24"/>
          <w:szCs w:val="24"/>
          <w:lang w:bidi="ar-EG"/>
        </w:rPr>
        <w:t xml:space="preserve">Non </w:t>
      </w:r>
      <w:r w:rsidRPr="00490B3E">
        <w:rPr>
          <w:rFonts w:cstheme="majorBidi"/>
          <w:b/>
          <w:bCs/>
          <w:sz w:val="24"/>
          <w:szCs w:val="24"/>
          <w:lang w:bidi="ar-EG"/>
        </w:rPr>
        <w:t>Respondents number across the four governorates</w:t>
      </w:r>
      <w:r>
        <w:rPr>
          <w:rFonts w:cstheme="majorBidi"/>
          <w:b/>
          <w:bCs/>
          <w:sz w:val="24"/>
          <w:szCs w:val="24"/>
          <w:lang w:bidi="ar-EG"/>
        </w:rPr>
        <w:t xml:space="preserve"> for developer /buyer and seller </w:t>
      </w:r>
      <w:r w:rsidRPr="00490B3E">
        <w:rPr>
          <w:rFonts w:cstheme="majorBidi"/>
          <w:b/>
          <w:bCs/>
          <w:sz w:val="24"/>
          <w:szCs w:val="24"/>
          <w:lang w:bidi="ar-EG"/>
        </w:rPr>
        <w:t xml:space="preserve">questionnaire  </w:t>
      </w:r>
    </w:p>
    <w:tbl>
      <w:tblPr>
        <w:tblW w:w="0" w:type="auto"/>
        <w:tblLook w:val="04A0" w:firstRow="1" w:lastRow="0" w:firstColumn="1" w:lastColumn="0" w:noHBand="0" w:noVBand="1"/>
      </w:tblPr>
      <w:tblGrid>
        <w:gridCol w:w="3595"/>
        <w:gridCol w:w="3168"/>
        <w:gridCol w:w="2587"/>
      </w:tblGrid>
      <w:tr w:rsidR="001A5572" w14:paraId="1E7D1D2F" w14:textId="77777777" w:rsidTr="004C4582">
        <w:tc>
          <w:tcPr>
            <w:tcW w:w="3595" w:type="dxa"/>
            <w:shd w:val="clear" w:color="auto" w:fill="A6A6A6" w:themeFill="background1" w:themeFillShade="A6"/>
          </w:tcPr>
          <w:p w14:paraId="58F141CF" w14:textId="77777777" w:rsidR="001A5572" w:rsidRPr="00E82448" w:rsidRDefault="001A5572" w:rsidP="004C4582">
            <w:pPr>
              <w:rPr>
                <w:rFonts w:cstheme="majorBidi"/>
                <w:sz w:val="28"/>
                <w:szCs w:val="28"/>
                <w:lang w:bidi="ar-EG"/>
              </w:rPr>
            </w:pPr>
            <w:r w:rsidRPr="00E82448">
              <w:rPr>
                <w:rFonts w:cstheme="majorBidi"/>
                <w:sz w:val="28"/>
                <w:szCs w:val="28"/>
                <w:lang w:bidi="ar-EG"/>
              </w:rPr>
              <w:t>Governorates</w:t>
            </w:r>
          </w:p>
        </w:tc>
        <w:tc>
          <w:tcPr>
            <w:tcW w:w="3168" w:type="dxa"/>
            <w:shd w:val="clear" w:color="auto" w:fill="A6A6A6" w:themeFill="background1" w:themeFillShade="A6"/>
          </w:tcPr>
          <w:p w14:paraId="3A7689D3" w14:textId="77777777" w:rsidR="001A5572" w:rsidRPr="00E82448" w:rsidRDefault="001A5572" w:rsidP="004C4582">
            <w:pPr>
              <w:rPr>
                <w:rFonts w:cstheme="majorBidi"/>
                <w:sz w:val="28"/>
                <w:szCs w:val="28"/>
                <w:lang w:bidi="ar-EG"/>
              </w:rPr>
            </w:pPr>
            <w:r>
              <w:rPr>
                <w:rFonts w:cstheme="majorBidi"/>
                <w:sz w:val="28"/>
                <w:szCs w:val="28"/>
                <w:lang w:bidi="ar-EG"/>
              </w:rPr>
              <w:t xml:space="preserve">Non </w:t>
            </w:r>
            <w:r w:rsidRPr="00E82448">
              <w:rPr>
                <w:rFonts w:cstheme="majorBidi"/>
                <w:sz w:val="28"/>
                <w:szCs w:val="28"/>
                <w:lang w:bidi="ar-EG"/>
              </w:rPr>
              <w:t>Respondents</w:t>
            </w:r>
            <w:r>
              <w:rPr>
                <w:rFonts w:cstheme="majorBidi"/>
                <w:sz w:val="28"/>
                <w:szCs w:val="28"/>
                <w:lang w:bidi="ar-EG"/>
              </w:rPr>
              <w:t xml:space="preserve"> Developers</w:t>
            </w:r>
          </w:p>
        </w:tc>
        <w:tc>
          <w:tcPr>
            <w:tcW w:w="2587" w:type="dxa"/>
            <w:shd w:val="clear" w:color="auto" w:fill="A6A6A6" w:themeFill="background1" w:themeFillShade="A6"/>
          </w:tcPr>
          <w:p w14:paraId="70924582" w14:textId="77777777" w:rsidR="001A5572" w:rsidRDefault="001A5572" w:rsidP="004C4582">
            <w:pPr>
              <w:rPr>
                <w:rFonts w:cstheme="majorBidi"/>
                <w:sz w:val="28"/>
                <w:szCs w:val="28"/>
                <w:lang w:bidi="ar-EG"/>
              </w:rPr>
            </w:pPr>
            <w:r>
              <w:rPr>
                <w:rFonts w:cstheme="majorBidi"/>
                <w:sz w:val="28"/>
                <w:szCs w:val="28"/>
                <w:lang w:bidi="ar-EG"/>
              </w:rPr>
              <w:t>Non Respondents</w:t>
            </w:r>
          </w:p>
          <w:p w14:paraId="36816E9C" w14:textId="77777777" w:rsidR="001A5572" w:rsidRPr="00E82448" w:rsidRDefault="001A5572" w:rsidP="004C4582">
            <w:pPr>
              <w:rPr>
                <w:rFonts w:cstheme="majorBidi"/>
                <w:sz w:val="28"/>
                <w:szCs w:val="28"/>
                <w:lang w:bidi="ar-EG"/>
              </w:rPr>
            </w:pPr>
            <w:r>
              <w:rPr>
                <w:rFonts w:cstheme="majorBidi"/>
                <w:sz w:val="28"/>
                <w:szCs w:val="28"/>
                <w:lang w:bidi="ar-EG"/>
              </w:rPr>
              <w:t>Buyer and seller</w:t>
            </w:r>
          </w:p>
        </w:tc>
      </w:tr>
      <w:tr w:rsidR="001A5572" w14:paraId="4ED49172" w14:textId="77777777" w:rsidTr="004C4582">
        <w:tc>
          <w:tcPr>
            <w:tcW w:w="3595" w:type="dxa"/>
          </w:tcPr>
          <w:p w14:paraId="40D544A1" w14:textId="77777777" w:rsidR="001A5572" w:rsidRDefault="001A5572" w:rsidP="004C4582">
            <w:pPr>
              <w:rPr>
                <w:rFonts w:cstheme="majorBidi"/>
                <w:sz w:val="24"/>
                <w:szCs w:val="24"/>
                <w:lang w:bidi="ar-EG"/>
              </w:rPr>
            </w:pPr>
            <w:r>
              <w:rPr>
                <w:rFonts w:cstheme="majorBidi"/>
                <w:sz w:val="24"/>
                <w:szCs w:val="24"/>
                <w:lang w:bidi="ar-EG"/>
              </w:rPr>
              <w:t>Reject to respond</w:t>
            </w:r>
          </w:p>
        </w:tc>
        <w:tc>
          <w:tcPr>
            <w:tcW w:w="3168" w:type="dxa"/>
          </w:tcPr>
          <w:p w14:paraId="50B6A2F0" w14:textId="77777777" w:rsidR="001A5572" w:rsidRDefault="001A5572" w:rsidP="004C4582">
            <w:pPr>
              <w:rPr>
                <w:rFonts w:cstheme="majorBidi"/>
                <w:sz w:val="24"/>
                <w:szCs w:val="24"/>
                <w:lang w:bidi="ar-EG"/>
              </w:rPr>
            </w:pPr>
            <w:r>
              <w:rPr>
                <w:rFonts w:cstheme="majorBidi"/>
                <w:sz w:val="24"/>
                <w:szCs w:val="24"/>
                <w:lang w:bidi="ar-EG"/>
              </w:rPr>
              <w:t>110</w:t>
            </w:r>
          </w:p>
        </w:tc>
        <w:tc>
          <w:tcPr>
            <w:tcW w:w="2587" w:type="dxa"/>
          </w:tcPr>
          <w:p w14:paraId="0995B1D9" w14:textId="77777777" w:rsidR="001A5572" w:rsidRDefault="001A5572" w:rsidP="004C4582">
            <w:pPr>
              <w:rPr>
                <w:rFonts w:cstheme="majorBidi"/>
                <w:sz w:val="24"/>
                <w:szCs w:val="24"/>
                <w:lang w:bidi="ar-EG"/>
              </w:rPr>
            </w:pPr>
            <w:r>
              <w:rPr>
                <w:rFonts w:cstheme="majorBidi"/>
                <w:sz w:val="24"/>
                <w:szCs w:val="24"/>
                <w:lang w:bidi="ar-EG"/>
              </w:rPr>
              <w:t>145</w:t>
            </w:r>
          </w:p>
        </w:tc>
      </w:tr>
      <w:tr w:rsidR="001A5572" w14:paraId="68A036F8" w14:textId="77777777" w:rsidTr="004C4582">
        <w:tc>
          <w:tcPr>
            <w:tcW w:w="3595" w:type="dxa"/>
          </w:tcPr>
          <w:p w14:paraId="4BDCA46B" w14:textId="77777777" w:rsidR="001A5572" w:rsidRDefault="001A5572" w:rsidP="004C4582">
            <w:pPr>
              <w:rPr>
                <w:rFonts w:cstheme="majorBidi"/>
                <w:sz w:val="24"/>
                <w:szCs w:val="24"/>
                <w:lang w:bidi="ar-EG"/>
              </w:rPr>
            </w:pPr>
            <w:r w:rsidRPr="00E82448">
              <w:rPr>
                <w:rFonts w:cstheme="majorBidi"/>
                <w:sz w:val="24"/>
                <w:szCs w:val="24"/>
                <w:lang w:bidi="ar-EG"/>
              </w:rPr>
              <w:t>phone number removed from the service</w:t>
            </w:r>
          </w:p>
        </w:tc>
        <w:tc>
          <w:tcPr>
            <w:tcW w:w="3168" w:type="dxa"/>
          </w:tcPr>
          <w:p w14:paraId="6A9C8D30" w14:textId="77777777" w:rsidR="001A5572" w:rsidRDefault="001A5572" w:rsidP="004C4582">
            <w:pPr>
              <w:rPr>
                <w:rFonts w:cstheme="majorBidi"/>
                <w:sz w:val="24"/>
                <w:szCs w:val="24"/>
                <w:lang w:bidi="ar-EG"/>
              </w:rPr>
            </w:pPr>
            <w:r>
              <w:rPr>
                <w:rFonts w:cstheme="majorBidi"/>
                <w:sz w:val="24"/>
                <w:szCs w:val="24"/>
                <w:lang w:bidi="ar-EG"/>
              </w:rPr>
              <w:t>55</w:t>
            </w:r>
          </w:p>
        </w:tc>
        <w:tc>
          <w:tcPr>
            <w:tcW w:w="2587" w:type="dxa"/>
          </w:tcPr>
          <w:p w14:paraId="12E14EFF" w14:textId="77777777" w:rsidR="001A5572" w:rsidRDefault="001A5572" w:rsidP="004C4582">
            <w:pPr>
              <w:rPr>
                <w:rFonts w:cstheme="majorBidi"/>
                <w:sz w:val="24"/>
                <w:szCs w:val="24"/>
                <w:lang w:bidi="ar-EG"/>
              </w:rPr>
            </w:pPr>
            <w:r>
              <w:rPr>
                <w:rFonts w:cstheme="majorBidi"/>
                <w:sz w:val="24"/>
                <w:szCs w:val="24"/>
                <w:lang w:bidi="ar-EG"/>
              </w:rPr>
              <w:t>45</w:t>
            </w:r>
          </w:p>
        </w:tc>
      </w:tr>
      <w:tr w:rsidR="001A5572" w14:paraId="266DAE5C" w14:textId="77777777" w:rsidTr="004C4582">
        <w:tc>
          <w:tcPr>
            <w:tcW w:w="3595" w:type="dxa"/>
          </w:tcPr>
          <w:p w14:paraId="6569B9FC" w14:textId="77777777" w:rsidR="001A5572" w:rsidRDefault="001A5572" w:rsidP="004C4582">
            <w:pPr>
              <w:rPr>
                <w:rFonts w:cstheme="majorBidi"/>
                <w:sz w:val="24"/>
                <w:szCs w:val="24"/>
                <w:lang w:bidi="ar-EG"/>
              </w:rPr>
            </w:pPr>
            <w:r w:rsidRPr="00E82448">
              <w:rPr>
                <w:rFonts w:cstheme="majorBidi"/>
                <w:sz w:val="24"/>
                <w:szCs w:val="24"/>
                <w:lang w:bidi="ar-EG"/>
              </w:rPr>
              <w:t>wrong number</w:t>
            </w:r>
          </w:p>
        </w:tc>
        <w:tc>
          <w:tcPr>
            <w:tcW w:w="3168" w:type="dxa"/>
          </w:tcPr>
          <w:p w14:paraId="2410D5FC" w14:textId="77777777" w:rsidR="001A5572" w:rsidRDefault="001A5572" w:rsidP="004C4582">
            <w:pPr>
              <w:rPr>
                <w:rFonts w:cstheme="majorBidi"/>
                <w:sz w:val="24"/>
                <w:szCs w:val="24"/>
                <w:lang w:bidi="ar-EG"/>
              </w:rPr>
            </w:pPr>
            <w:r>
              <w:rPr>
                <w:rFonts w:cstheme="majorBidi"/>
                <w:sz w:val="24"/>
                <w:szCs w:val="24"/>
                <w:lang w:bidi="ar-EG"/>
              </w:rPr>
              <w:t>35</w:t>
            </w:r>
          </w:p>
        </w:tc>
        <w:tc>
          <w:tcPr>
            <w:tcW w:w="2587" w:type="dxa"/>
          </w:tcPr>
          <w:p w14:paraId="34EDEB6E" w14:textId="77777777" w:rsidR="001A5572" w:rsidRDefault="001A5572" w:rsidP="004C4582">
            <w:pPr>
              <w:rPr>
                <w:rFonts w:cstheme="majorBidi"/>
                <w:sz w:val="24"/>
                <w:szCs w:val="24"/>
                <w:lang w:bidi="ar-EG"/>
              </w:rPr>
            </w:pPr>
            <w:r>
              <w:rPr>
                <w:rFonts w:cstheme="majorBidi"/>
                <w:sz w:val="24"/>
                <w:szCs w:val="24"/>
                <w:lang w:bidi="ar-EG"/>
              </w:rPr>
              <w:t>35</w:t>
            </w:r>
          </w:p>
        </w:tc>
      </w:tr>
      <w:tr w:rsidR="001A5572" w14:paraId="21BB0B54" w14:textId="77777777" w:rsidTr="004C4582">
        <w:tc>
          <w:tcPr>
            <w:tcW w:w="3595" w:type="dxa"/>
          </w:tcPr>
          <w:p w14:paraId="58C6B944" w14:textId="77777777" w:rsidR="001A5572" w:rsidRDefault="001A5572" w:rsidP="004C4582">
            <w:pPr>
              <w:rPr>
                <w:rFonts w:cstheme="majorBidi"/>
                <w:sz w:val="24"/>
                <w:szCs w:val="24"/>
                <w:rtl/>
                <w:lang w:bidi="ar-EG"/>
              </w:rPr>
            </w:pPr>
            <w:r>
              <w:rPr>
                <w:rFonts w:cstheme="majorBidi"/>
                <w:sz w:val="24"/>
                <w:szCs w:val="24"/>
                <w:lang w:bidi="ar-EG"/>
              </w:rPr>
              <w:t>no</w:t>
            </w:r>
            <w:r w:rsidRPr="00E82448">
              <w:rPr>
                <w:rFonts w:cstheme="majorBidi"/>
                <w:sz w:val="24"/>
                <w:szCs w:val="24"/>
                <w:lang w:bidi="ar-EG"/>
              </w:rPr>
              <w:t>t answered (after several attempts)</w:t>
            </w:r>
          </w:p>
        </w:tc>
        <w:tc>
          <w:tcPr>
            <w:tcW w:w="3168" w:type="dxa"/>
          </w:tcPr>
          <w:p w14:paraId="5ABE483C" w14:textId="77777777" w:rsidR="001A5572" w:rsidRDefault="001A5572" w:rsidP="004C4582">
            <w:pPr>
              <w:rPr>
                <w:rFonts w:cstheme="majorBidi"/>
                <w:sz w:val="24"/>
                <w:szCs w:val="24"/>
                <w:lang w:bidi="ar-EG"/>
              </w:rPr>
            </w:pPr>
            <w:r>
              <w:rPr>
                <w:rFonts w:cstheme="majorBidi"/>
                <w:sz w:val="24"/>
                <w:szCs w:val="24"/>
                <w:lang w:bidi="ar-EG"/>
              </w:rPr>
              <w:t>64</w:t>
            </w:r>
          </w:p>
        </w:tc>
        <w:tc>
          <w:tcPr>
            <w:tcW w:w="2587" w:type="dxa"/>
          </w:tcPr>
          <w:p w14:paraId="50E5FA2A" w14:textId="77777777" w:rsidR="001A5572" w:rsidRDefault="001A5572" w:rsidP="004C4582">
            <w:pPr>
              <w:rPr>
                <w:rFonts w:cstheme="majorBidi"/>
                <w:sz w:val="24"/>
                <w:szCs w:val="24"/>
                <w:lang w:bidi="ar-EG"/>
              </w:rPr>
            </w:pPr>
            <w:r>
              <w:rPr>
                <w:rFonts w:cstheme="majorBidi"/>
                <w:sz w:val="24"/>
                <w:szCs w:val="24"/>
                <w:lang w:bidi="ar-EG"/>
              </w:rPr>
              <w:t>60</w:t>
            </w:r>
          </w:p>
        </w:tc>
      </w:tr>
      <w:tr w:rsidR="001A5572" w14:paraId="28A63EBD" w14:textId="77777777" w:rsidTr="004C4582">
        <w:tc>
          <w:tcPr>
            <w:tcW w:w="3595" w:type="dxa"/>
          </w:tcPr>
          <w:p w14:paraId="1FAE68D7" w14:textId="77777777" w:rsidR="001A5572" w:rsidRDefault="001A5572" w:rsidP="004C4582">
            <w:pPr>
              <w:rPr>
                <w:rFonts w:cstheme="majorBidi"/>
                <w:sz w:val="24"/>
                <w:szCs w:val="24"/>
                <w:lang w:bidi="ar-EG"/>
              </w:rPr>
            </w:pPr>
            <w:r w:rsidRPr="00E82448">
              <w:rPr>
                <w:rFonts w:cstheme="majorBidi"/>
                <w:sz w:val="24"/>
                <w:szCs w:val="24"/>
                <w:lang w:bidi="ar-EG"/>
              </w:rPr>
              <w:t>closed / busy all the time and difficulty of access.</w:t>
            </w:r>
          </w:p>
        </w:tc>
        <w:tc>
          <w:tcPr>
            <w:tcW w:w="3168" w:type="dxa"/>
          </w:tcPr>
          <w:p w14:paraId="00F8B2FC" w14:textId="77777777" w:rsidR="001A5572" w:rsidRDefault="001A5572" w:rsidP="004C4582">
            <w:pPr>
              <w:rPr>
                <w:rFonts w:cstheme="majorBidi"/>
                <w:sz w:val="24"/>
                <w:szCs w:val="24"/>
                <w:lang w:bidi="ar-EG"/>
              </w:rPr>
            </w:pPr>
            <w:r>
              <w:rPr>
                <w:rFonts w:cstheme="majorBidi"/>
                <w:sz w:val="24"/>
                <w:szCs w:val="24"/>
                <w:lang w:bidi="ar-EG"/>
              </w:rPr>
              <w:t>74</w:t>
            </w:r>
          </w:p>
        </w:tc>
        <w:tc>
          <w:tcPr>
            <w:tcW w:w="2587" w:type="dxa"/>
          </w:tcPr>
          <w:p w14:paraId="5FF72DD5" w14:textId="77777777" w:rsidR="001A5572" w:rsidRDefault="001A5572" w:rsidP="004C4582">
            <w:pPr>
              <w:rPr>
                <w:rFonts w:cstheme="majorBidi"/>
                <w:sz w:val="24"/>
                <w:szCs w:val="24"/>
                <w:lang w:bidi="ar-EG"/>
              </w:rPr>
            </w:pPr>
            <w:r>
              <w:rPr>
                <w:rFonts w:cstheme="majorBidi"/>
                <w:sz w:val="24"/>
                <w:szCs w:val="24"/>
                <w:lang w:bidi="ar-EG"/>
              </w:rPr>
              <w:t>64</w:t>
            </w:r>
          </w:p>
        </w:tc>
      </w:tr>
      <w:tr w:rsidR="001A5572" w14:paraId="7E648FA8" w14:textId="77777777" w:rsidTr="004C4582">
        <w:tc>
          <w:tcPr>
            <w:tcW w:w="3595" w:type="dxa"/>
            <w:shd w:val="clear" w:color="auto" w:fill="A6A6A6" w:themeFill="background1" w:themeFillShade="A6"/>
          </w:tcPr>
          <w:p w14:paraId="0CC1AF5B" w14:textId="77777777" w:rsidR="001A5572" w:rsidRDefault="001A5572" w:rsidP="004C4582">
            <w:pPr>
              <w:rPr>
                <w:rFonts w:cstheme="majorBidi"/>
                <w:sz w:val="24"/>
                <w:szCs w:val="24"/>
                <w:lang w:bidi="ar-EG"/>
              </w:rPr>
            </w:pPr>
            <w:r>
              <w:rPr>
                <w:rFonts w:cstheme="majorBidi"/>
                <w:sz w:val="24"/>
                <w:szCs w:val="24"/>
                <w:lang w:bidi="ar-EG"/>
              </w:rPr>
              <w:t>Total</w:t>
            </w:r>
          </w:p>
        </w:tc>
        <w:tc>
          <w:tcPr>
            <w:tcW w:w="3168" w:type="dxa"/>
            <w:shd w:val="clear" w:color="auto" w:fill="A6A6A6" w:themeFill="background1" w:themeFillShade="A6"/>
          </w:tcPr>
          <w:p w14:paraId="7D70EF9A" w14:textId="77777777" w:rsidR="001A5572" w:rsidRDefault="001A5572" w:rsidP="004C4582">
            <w:pPr>
              <w:rPr>
                <w:rFonts w:cstheme="majorBidi"/>
                <w:sz w:val="24"/>
                <w:szCs w:val="24"/>
                <w:lang w:bidi="ar-EG"/>
              </w:rPr>
            </w:pPr>
            <w:r>
              <w:rPr>
                <w:rFonts w:cstheme="majorBidi"/>
                <w:sz w:val="24"/>
                <w:szCs w:val="24"/>
                <w:lang w:bidi="ar-EG"/>
              </w:rPr>
              <w:t>338</w:t>
            </w:r>
          </w:p>
        </w:tc>
        <w:tc>
          <w:tcPr>
            <w:tcW w:w="2587" w:type="dxa"/>
            <w:shd w:val="clear" w:color="auto" w:fill="A6A6A6" w:themeFill="background1" w:themeFillShade="A6"/>
          </w:tcPr>
          <w:p w14:paraId="70A4D3F7" w14:textId="77777777" w:rsidR="001A5572" w:rsidRDefault="001A5572" w:rsidP="004C4582">
            <w:pPr>
              <w:rPr>
                <w:rFonts w:cstheme="majorBidi"/>
                <w:sz w:val="24"/>
                <w:szCs w:val="24"/>
                <w:lang w:bidi="ar-EG"/>
              </w:rPr>
            </w:pPr>
            <w:r>
              <w:rPr>
                <w:rFonts w:cstheme="majorBidi"/>
                <w:sz w:val="24"/>
                <w:szCs w:val="24"/>
                <w:lang w:bidi="ar-EG"/>
              </w:rPr>
              <w:t>349</w:t>
            </w:r>
          </w:p>
        </w:tc>
      </w:tr>
    </w:tbl>
    <w:p w14:paraId="72E813A5" w14:textId="77777777" w:rsidR="001A5572" w:rsidRDefault="001A5572" w:rsidP="001A5572">
      <w:pPr>
        <w:rPr>
          <w:rFonts w:cstheme="majorBidi"/>
          <w:sz w:val="24"/>
          <w:szCs w:val="24"/>
          <w:lang w:bidi="ar-EG"/>
        </w:rPr>
      </w:pPr>
    </w:p>
    <w:p w14:paraId="4C468545" w14:textId="77777777" w:rsidR="001A5572" w:rsidRDefault="001A5572" w:rsidP="001A5572">
      <w:pPr>
        <w:rPr>
          <w:rFonts w:cstheme="majorBidi"/>
          <w:sz w:val="24"/>
          <w:szCs w:val="24"/>
          <w:lang w:bidi="ar-EG"/>
        </w:rPr>
      </w:pPr>
      <w:r>
        <w:rPr>
          <w:rFonts w:cstheme="majorBidi"/>
          <w:sz w:val="24"/>
          <w:szCs w:val="24"/>
          <w:lang w:bidi="ar-EG"/>
        </w:rPr>
        <w:t xml:space="preserve">Respondents number across the four governorates in our sample </w:t>
      </w:r>
      <w:r w:rsidRPr="00C00061">
        <w:rPr>
          <w:rFonts w:cstheme="majorBidi"/>
          <w:sz w:val="24"/>
          <w:szCs w:val="24"/>
          <w:lang w:bidi="ar-EG"/>
        </w:rPr>
        <w:t>for developer /buyer and seller</w:t>
      </w:r>
      <w:r>
        <w:rPr>
          <w:rFonts w:cstheme="majorBidi"/>
          <w:sz w:val="24"/>
          <w:szCs w:val="24"/>
          <w:lang w:bidi="ar-EG"/>
        </w:rPr>
        <w:t xml:space="preserve"> are shown in table 3.2.</w:t>
      </w:r>
    </w:p>
    <w:p w14:paraId="138D6479" w14:textId="77777777" w:rsidR="001A5572" w:rsidRPr="00490B3E" w:rsidRDefault="001A5572" w:rsidP="001A5572">
      <w:pPr>
        <w:rPr>
          <w:rFonts w:cstheme="majorBidi"/>
          <w:b/>
          <w:bCs/>
          <w:sz w:val="24"/>
          <w:szCs w:val="24"/>
          <w:lang w:bidi="ar-EG"/>
        </w:rPr>
      </w:pPr>
      <w:r w:rsidRPr="00490B3E">
        <w:rPr>
          <w:rFonts w:cstheme="majorBidi"/>
          <w:b/>
          <w:bCs/>
          <w:sz w:val="24"/>
          <w:szCs w:val="24"/>
          <w:lang w:bidi="ar-EG"/>
        </w:rPr>
        <w:t>Table 3.</w:t>
      </w:r>
      <w:r>
        <w:rPr>
          <w:rFonts w:cstheme="majorBidi"/>
          <w:b/>
          <w:bCs/>
          <w:sz w:val="24"/>
          <w:szCs w:val="24"/>
          <w:lang w:bidi="ar-EG"/>
        </w:rPr>
        <w:t>2</w:t>
      </w:r>
      <w:r w:rsidRPr="00490B3E">
        <w:rPr>
          <w:rFonts w:cstheme="majorBidi"/>
          <w:b/>
          <w:bCs/>
          <w:sz w:val="24"/>
          <w:szCs w:val="24"/>
          <w:lang w:bidi="ar-EG"/>
        </w:rPr>
        <w:t xml:space="preserve">: Respondents number across the four governorates for </w:t>
      </w:r>
      <w:r>
        <w:rPr>
          <w:rFonts w:cstheme="majorBidi"/>
          <w:b/>
          <w:bCs/>
          <w:sz w:val="24"/>
          <w:szCs w:val="24"/>
          <w:lang w:bidi="ar-EG"/>
        </w:rPr>
        <w:t xml:space="preserve">developer /buyer and seller </w:t>
      </w:r>
      <w:r w:rsidRPr="00490B3E">
        <w:rPr>
          <w:rFonts w:cstheme="majorBidi"/>
          <w:b/>
          <w:bCs/>
          <w:sz w:val="24"/>
          <w:szCs w:val="24"/>
          <w:lang w:bidi="ar-EG"/>
        </w:rPr>
        <w:t xml:space="preserve">questionnaire  </w:t>
      </w:r>
    </w:p>
    <w:tbl>
      <w:tblPr>
        <w:tblW w:w="9715" w:type="dxa"/>
        <w:tblLook w:val="04A0" w:firstRow="1" w:lastRow="0" w:firstColumn="1" w:lastColumn="0" w:noHBand="0" w:noVBand="1"/>
      </w:tblPr>
      <w:tblGrid>
        <w:gridCol w:w="2605"/>
        <w:gridCol w:w="3060"/>
        <w:gridCol w:w="4050"/>
      </w:tblGrid>
      <w:tr w:rsidR="001A5572" w14:paraId="241EDE4F" w14:textId="77777777" w:rsidTr="004C4582">
        <w:tc>
          <w:tcPr>
            <w:tcW w:w="2605" w:type="dxa"/>
            <w:shd w:val="clear" w:color="auto" w:fill="A6A6A6" w:themeFill="background1" w:themeFillShade="A6"/>
          </w:tcPr>
          <w:p w14:paraId="325427C9" w14:textId="77777777" w:rsidR="001A5572" w:rsidRPr="00E82448" w:rsidRDefault="001A5572" w:rsidP="004C4582">
            <w:pPr>
              <w:rPr>
                <w:rFonts w:cstheme="majorBidi"/>
                <w:sz w:val="28"/>
                <w:szCs w:val="28"/>
                <w:lang w:bidi="ar-EG"/>
              </w:rPr>
            </w:pPr>
            <w:r w:rsidRPr="00E82448">
              <w:rPr>
                <w:rFonts w:cstheme="majorBidi"/>
                <w:sz w:val="28"/>
                <w:szCs w:val="28"/>
                <w:lang w:bidi="ar-EG"/>
              </w:rPr>
              <w:t>Governorates</w:t>
            </w:r>
          </w:p>
        </w:tc>
        <w:tc>
          <w:tcPr>
            <w:tcW w:w="3060" w:type="dxa"/>
            <w:shd w:val="clear" w:color="auto" w:fill="A6A6A6" w:themeFill="background1" w:themeFillShade="A6"/>
          </w:tcPr>
          <w:p w14:paraId="61871BD7" w14:textId="77777777" w:rsidR="001A5572" w:rsidRPr="00E82448" w:rsidRDefault="001A5572" w:rsidP="004C4582">
            <w:pPr>
              <w:rPr>
                <w:rFonts w:cstheme="majorBidi"/>
                <w:sz w:val="28"/>
                <w:szCs w:val="28"/>
                <w:lang w:bidi="ar-EG"/>
              </w:rPr>
            </w:pPr>
            <w:r>
              <w:rPr>
                <w:rFonts w:cstheme="majorBidi"/>
                <w:sz w:val="28"/>
                <w:szCs w:val="28"/>
                <w:lang w:bidi="ar-EG"/>
              </w:rPr>
              <w:t xml:space="preserve">Developer </w:t>
            </w:r>
            <w:r w:rsidRPr="00E82448">
              <w:rPr>
                <w:rFonts w:cstheme="majorBidi"/>
                <w:sz w:val="28"/>
                <w:szCs w:val="28"/>
                <w:lang w:bidi="ar-EG"/>
              </w:rPr>
              <w:t>Respondents</w:t>
            </w:r>
          </w:p>
        </w:tc>
        <w:tc>
          <w:tcPr>
            <w:tcW w:w="4050" w:type="dxa"/>
            <w:shd w:val="clear" w:color="auto" w:fill="A6A6A6" w:themeFill="background1" w:themeFillShade="A6"/>
          </w:tcPr>
          <w:p w14:paraId="1743EE6F" w14:textId="77777777" w:rsidR="001A5572" w:rsidRPr="00E82448" w:rsidRDefault="001A5572" w:rsidP="004C4582">
            <w:pPr>
              <w:rPr>
                <w:rFonts w:cstheme="majorBidi"/>
                <w:sz w:val="28"/>
                <w:szCs w:val="28"/>
                <w:lang w:bidi="ar-EG"/>
              </w:rPr>
            </w:pPr>
            <w:r>
              <w:rPr>
                <w:rFonts w:cstheme="majorBidi"/>
                <w:sz w:val="28"/>
                <w:szCs w:val="28"/>
                <w:lang w:bidi="ar-EG"/>
              </w:rPr>
              <w:t>Buyer and seller Respondents</w:t>
            </w:r>
          </w:p>
        </w:tc>
      </w:tr>
      <w:tr w:rsidR="001A5572" w14:paraId="7EC7F833" w14:textId="77777777" w:rsidTr="004C4582">
        <w:tc>
          <w:tcPr>
            <w:tcW w:w="2605" w:type="dxa"/>
          </w:tcPr>
          <w:p w14:paraId="4F434933" w14:textId="77777777" w:rsidR="001A5572" w:rsidRDefault="001A5572" w:rsidP="004C4582">
            <w:pPr>
              <w:rPr>
                <w:rFonts w:cstheme="majorBidi"/>
                <w:sz w:val="24"/>
                <w:szCs w:val="24"/>
                <w:lang w:bidi="ar-EG"/>
              </w:rPr>
            </w:pPr>
            <w:r>
              <w:rPr>
                <w:rFonts w:cstheme="majorBidi"/>
                <w:sz w:val="24"/>
                <w:szCs w:val="24"/>
                <w:lang w:bidi="ar-EG"/>
              </w:rPr>
              <w:t>Cairo</w:t>
            </w:r>
          </w:p>
        </w:tc>
        <w:tc>
          <w:tcPr>
            <w:tcW w:w="3060" w:type="dxa"/>
          </w:tcPr>
          <w:p w14:paraId="635C14D3" w14:textId="77777777" w:rsidR="001A5572" w:rsidRDefault="001A5572" w:rsidP="004C4582">
            <w:pPr>
              <w:rPr>
                <w:rFonts w:cstheme="majorBidi"/>
                <w:sz w:val="24"/>
                <w:szCs w:val="24"/>
                <w:lang w:bidi="ar-EG"/>
              </w:rPr>
            </w:pPr>
            <w:r>
              <w:rPr>
                <w:rFonts w:cstheme="majorBidi"/>
                <w:sz w:val="24"/>
                <w:szCs w:val="24"/>
                <w:lang w:bidi="ar-EG"/>
              </w:rPr>
              <w:t>322</w:t>
            </w:r>
          </w:p>
        </w:tc>
        <w:tc>
          <w:tcPr>
            <w:tcW w:w="4050" w:type="dxa"/>
          </w:tcPr>
          <w:p w14:paraId="5E97C0B0" w14:textId="77777777" w:rsidR="001A5572" w:rsidRDefault="001A5572" w:rsidP="004C4582">
            <w:pPr>
              <w:rPr>
                <w:rFonts w:cstheme="majorBidi"/>
                <w:sz w:val="24"/>
                <w:szCs w:val="24"/>
                <w:lang w:bidi="ar-EG"/>
              </w:rPr>
            </w:pPr>
            <w:r>
              <w:rPr>
                <w:rFonts w:cstheme="majorBidi"/>
                <w:sz w:val="24"/>
                <w:szCs w:val="24"/>
                <w:lang w:bidi="ar-EG"/>
              </w:rPr>
              <w:t>337</w:t>
            </w:r>
          </w:p>
        </w:tc>
      </w:tr>
      <w:tr w:rsidR="001A5572" w14:paraId="3E8B0A4E" w14:textId="77777777" w:rsidTr="004C4582">
        <w:tc>
          <w:tcPr>
            <w:tcW w:w="2605" w:type="dxa"/>
          </w:tcPr>
          <w:p w14:paraId="5889BBAE" w14:textId="77777777" w:rsidR="001A5572" w:rsidRDefault="001A5572" w:rsidP="004C4582">
            <w:pPr>
              <w:rPr>
                <w:rFonts w:cstheme="majorBidi"/>
                <w:sz w:val="24"/>
                <w:szCs w:val="24"/>
                <w:lang w:bidi="ar-EG"/>
              </w:rPr>
            </w:pPr>
            <w:r>
              <w:rPr>
                <w:rFonts w:cstheme="majorBidi"/>
                <w:sz w:val="24"/>
                <w:szCs w:val="24"/>
                <w:lang w:bidi="ar-EG"/>
              </w:rPr>
              <w:t>Alexandria</w:t>
            </w:r>
          </w:p>
        </w:tc>
        <w:tc>
          <w:tcPr>
            <w:tcW w:w="3060" w:type="dxa"/>
          </w:tcPr>
          <w:p w14:paraId="36F1E57E" w14:textId="77777777" w:rsidR="001A5572" w:rsidRDefault="001A5572" w:rsidP="004C4582">
            <w:pPr>
              <w:rPr>
                <w:rFonts w:cstheme="majorBidi"/>
                <w:sz w:val="24"/>
                <w:szCs w:val="24"/>
                <w:lang w:bidi="ar-EG"/>
              </w:rPr>
            </w:pPr>
            <w:r>
              <w:rPr>
                <w:rFonts w:cstheme="majorBidi"/>
                <w:sz w:val="24"/>
                <w:szCs w:val="24"/>
                <w:lang w:bidi="ar-EG"/>
              </w:rPr>
              <w:t>54</w:t>
            </w:r>
          </w:p>
        </w:tc>
        <w:tc>
          <w:tcPr>
            <w:tcW w:w="4050" w:type="dxa"/>
          </w:tcPr>
          <w:p w14:paraId="78FDE019" w14:textId="77777777" w:rsidR="001A5572" w:rsidRDefault="001A5572" w:rsidP="004C4582">
            <w:pPr>
              <w:rPr>
                <w:rFonts w:cstheme="majorBidi"/>
                <w:sz w:val="24"/>
                <w:szCs w:val="24"/>
                <w:lang w:bidi="ar-EG"/>
              </w:rPr>
            </w:pPr>
            <w:r>
              <w:rPr>
                <w:rFonts w:cstheme="majorBidi"/>
                <w:sz w:val="24"/>
                <w:szCs w:val="24"/>
                <w:lang w:bidi="ar-EG"/>
              </w:rPr>
              <w:t>39</w:t>
            </w:r>
          </w:p>
        </w:tc>
      </w:tr>
      <w:tr w:rsidR="001A5572" w14:paraId="5285B8EC" w14:textId="77777777" w:rsidTr="004C4582">
        <w:tc>
          <w:tcPr>
            <w:tcW w:w="2605" w:type="dxa"/>
          </w:tcPr>
          <w:p w14:paraId="77172979" w14:textId="77777777" w:rsidR="001A5572" w:rsidRDefault="001A5572" w:rsidP="004C4582">
            <w:pPr>
              <w:rPr>
                <w:rFonts w:cstheme="majorBidi"/>
                <w:sz w:val="24"/>
                <w:szCs w:val="24"/>
                <w:lang w:bidi="ar-EG"/>
              </w:rPr>
            </w:pPr>
            <w:r w:rsidRPr="00E82448">
              <w:rPr>
                <w:rFonts w:cstheme="majorBidi"/>
                <w:sz w:val="24"/>
                <w:szCs w:val="24"/>
                <w:lang w:bidi="ar-EG"/>
              </w:rPr>
              <w:t>Damietta</w:t>
            </w:r>
          </w:p>
        </w:tc>
        <w:tc>
          <w:tcPr>
            <w:tcW w:w="3060" w:type="dxa"/>
          </w:tcPr>
          <w:p w14:paraId="4E9F10AD" w14:textId="77777777" w:rsidR="001A5572" w:rsidRDefault="001A5572" w:rsidP="004C4582">
            <w:pPr>
              <w:rPr>
                <w:rFonts w:cstheme="majorBidi"/>
                <w:sz w:val="24"/>
                <w:szCs w:val="24"/>
                <w:lang w:bidi="ar-EG"/>
              </w:rPr>
            </w:pPr>
            <w:r>
              <w:rPr>
                <w:rFonts w:cstheme="majorBidi"/>
                <w:sz w:val="24"/>
                <w:szCs w:val="24"/>
                <w:lang w:bidi="ar-EG"/>
              </w:rPr>
              <w:t>23</w:t>
            </w:r>
          </w:p>
        </w:tc>
        <w:tc>
          <w:tcPr>
            <w:tcW w:w="4050" w:type="dxa"/>
          </w:tcPr>
          <w:p w14:paraId="474F914B" w14:textId="77777777" w:rsidR="001A5572" w:rsidRDefault="001A5572" w:rsidP="004C4582">
            <w:pPr>
              <w:rPr>
                <w:rFonts w:cstheme="majorBidi"/>
                <w:sz w:val="24"/>
                <w:szCs w:val="24"/>
                <w:lang w:bidi="ar-EG"/>
              </w:rPr>
            </w:pPr>
            <w:r>
              <w:rPr>
                <w:rFonts w:cstheme="majorBidi"/>
                <w:sz w:val="24"/>
                <w:szCs w:val="24"/>
                <w:lang w:bidi="ar-EG"/>
              </w:rPr>
              <w:t>10</w:t>
            </w:r>
          </w:p>
        </w:tc>
      </w:tr>
      <w:tr w:rsidR="001A5572" w14:paraId="1390E4C2" w14:textId="77777777" w:rsidTr="004C4582">
        <w:tc>
          <w:tcPr>
            <w:tcW w:w="2605" w:type="dxa"/>
          </w:tcPr>
          <w:p w14:paraId="6F1404EE" w14:textId="3922C79E" w:rsidR="001A5572" w:rsidRDefault="00D55F39" w:rsidP="004C4582">
            <w:pPr>
              <w:rPr>
                <w:rFonts w:cstheme="majorBidi"/>
                <w:sz w:val="24"/>
                <w:szCs w:val="24"/>
                <w:rtl/>
                <w:lang w:bidi="ar-EG"/>
              </w:rPr>
            </w:pPr>
            <w:r>
              <w:rPr>
                <w:rFonts w:cstheme="majorBidi"/>
                <w:sz w:val="24"/>
                <w:szCs w:val="24"/>
                <w:lang w:bidi="ar-EG"/>
              </w:rPr>
              <w:t>Suhag</w:t>
            </w:r>
          </w:p>
        </w:tc>
        <w:tc>
          <w:tcPr>
            <w:tcW w:w="3060" w:type="dxa"/>
          </w:tcPr>
          <w:p w14:paraId="6E0E1E70" w14:textId="77777777" w:rsidR="001A5572" w:rsidRDefault="001A5572" w:rsidP="004C4582">
            <w:pPr>
              <w:rPr>
                <w:rFonts w:cstheme="majorBidi"/>
                <w:sz w:val="24"/>
                <w:szCs w:val="24"/>
                <w:lang w:bidi="ar-EG"/>
              </w:rPr>
            </w:pPr>
            <w:r>
              <w:rPr>
                <w:rFonts w:cstheme="majorBidi"/>
                <w:sz w:val="24"/>
                <w:szCs w:val="24"/>
                <w:lang w:bidi="ar-EG"/>
              </w:rPr>
              <w:t>13</w:t>
            </w:r>
          </w:p>
        </w:tc>
        <w:tc>
          <w:tcPr>
            <w:tcW w:w="4050" w:type="dxa"/>
          </w:tcPr>
          <w:p w14:paraId="2EB291D2" w14:textId="77777777" w:rsidR="001A5572" w:rsidRDefault="001A5572" w:rsidP="004C4582">
            <w:pPr>
              <w:rPr>
                <w:rFonts w:cstheme="majorBidi"/>
                <w:sz w:val="24"/>
                <w:szCs w:val="24"/>
                <w:lang w:bidi="ar-EG"/>
              </w:rPr>
            </w:pPr>
            <w:r>
              <w:rPr>
                <w:rFonts w:cstheme="majorBidi"/>
                <w:sz w:val="24"/>
                <w:szCs w:val="24"/>
                <w:lang w:bidi="ar-EG"/>
              </w:rPr>
              <w:t>15</w:t>
            </w:r>
          </w:p>
        </w:tc>
      </w:tr>
      <w:tr w:rsidR="001A5572" w14:paraId="5FD2BDC0" w14:textId="77777777" w:rsidTr="004C4582">
        <w:tc>
          <w:tcPr>
            <w:tcW w:w="2605" w:type="dxa"/>
            <w:shd w:val="clear" w:color="auto" w:fill="A6A6A6" w:themeFill="background1" w:themeFillShade="A6"/>
          </w:tcPr>
          <w:p w14:paraId="38A4942F" w14:textId="77777777" w:rsidR="001A5572" w:rsidRDefault="001A5572" w:rsidP="004C4582">
            <w:pPr>
              <w:rPr>
                <w:rFonts w:cstheme="majorBidi"/>
                <w:sz w:val="24"/>
                <w:szCs w:val="24"/>
                <w:lang w:bidi="ar-EG"/>
              </w:rPr>
            </w:pPr>
            <w:r>
              <w:rPr>
                <w:rFonts w:cstheme="majorBidi"/>
                <w:sz w:val="24"/>
                <w:szCs w:val="24"/>
                <w:lang w:bidi="ar-EG"/>
              </w:rPr>
              <w:t>Total</w:t>
            </w:r>
          </w:p>
        </w:tc>
        <w:tc>
          <w:tcPr>
            <w:tcW w:w="3060" w:type="dxa"/>
            <w:shd w:val="clear" w:color="auto" w:fill="A6A6A6" w:themeFill="background1" w:themeFillShade="A6"/>
          </w:tcPr>
          <w:p w14:paraId="1CD5A146" w14:textId="77777777" w:rsidR="001A5572" w:rsidRDefault="001A5572" w:rsidP="004C4582">
            <w:pPr>
              <w:rPr>
                <w:rFonts w:cstheme="majorBidi"/>
                <w:sz w:val="24"/>
                <w:szCs w:val="24"/>
                <w:lang w:bidi="ar-EG"/>
              </w:rPr>
            </w:pPr>
            <w:r>
              <w:rPr>
                <w:rFonts w:cstheme="majorBidi"/>
                <w:sz w:val="24"/>
                <w:szCs w:val="24"/>
                <w:lang w:bidi="ar-EG"/>
              </w:rPr>
              <w:t>412</w:t>
            </w:r>
          </w:p>
        </w:tc>
        <w:tc>
          <w:tcPr>
            <w:tcW w:w="4050" w:type="dxa"/>
            <w:shd w:val="clear" w:color="auto" w:fill="A6A6A6" w:themeFill="background1" w:themeFillShade="A6"/>
          </w:tcPr>
          <w:p w14:paraId="4A98B7DF" w14:textId="77777777" w:rsidR="001A5572" w:rsidRDefault="001A5572" w:rsidP="004C4582">
            <w:pPr>
              <w:rPr>
                <w:rFonts w:cstheme="majorBidi"/>
                <w:sz w:val="24"/>
                <w:szCs w:val="24"/>
                <w:lang w:bidi="ar-EG"/>
              </w:rPr>
            </w:pPr>
            <w:r>
              <w:rPr>
                <w:rFonts w:cstheme="majorBidi"/>
                <w:sz w:val="24"/>
                <w:szCs w:val="24"/>
                <w:lang w:bidi="ar-EG"/>
              </w:rPr>
              <w:t>401</w:t>
            </w:r>
          </w:p>
        </w:tc>
      </w:tr>
    </w:tbl>
    <w:p w14:paraId="32C6637D" w14:textId="77777777" w:rsidR="001A5572" w:rsidRDefault="001A5572" w:rsidP="001A5572">
      <w:pPr>
        <w:rPr>
          <w:rFonts w:cstheme="majorBidi"/>
          <w:sz w:val="24"/>
          <w:szCs w:val="24"/>
          <w:lang w:bidi="ar-EG"/>
        </w:rPr>
      </w:pPr>
    </w:p>
    <w:p w14:paraId="7FE38C19" w14:textId="77777777" w:rsidR="001A5572" w:rsidRDefault="001A5572" w:rsidP="001A5572">
      <w:pPr>
        <w:rPr>
          <w:rFonts w:cstheme="majorBidi"/>
          <w:sz w:val="24"/>
          <w:szCs w:val="24"/>
          <w:lang w:bidi="ar-EG"/>
        </w:rPr>
      </w:pPr>
      <w:r>
        <w:rPr>
          <w:rFonts w:cstheme="majorBidi"/>
          <w:sz w:val="24"/>
          <w:szCs w:val="24"/>
          <w:lang w:bidi="ar-EG"/>
        </w:rPr>
        <w:t>The following table shows the classification</w:t>
      </w:r>
      <w:r w:rsidRPr="00185CAB">
        <w:rPr>
          <w:rFonts w:cstheme="majorBidi"/>
          <w:sz w:val="24"/>
          <w:szCs w:val="24"/>
          <w:lang w:bidi="ar-EG"/>
        </w:rPr>
        <w:t xml:space="preserve"> </w:t>
      </w:r>
      <w:r>
        <w:rPr>
          <w:rFonts w:cstheme="majorBidi"/>
          <w:sz w:val="24"/>
          <w:szCs w:val="24"/>
          <w:lang w:bidi="ar-EG"/>
        </w:rPr>
        <w:t>for buyer and seller, which included in our sample.</w:t>
      </w:r>
    </w:p>
    <w:tbl>
      <w:tblPr>
        <w:tblW w:w="0" w:type="auto"/>
        <w:tblLook w:val="04A0" w:firstRow="1" w:lastRow="0" w:firstColumn="1" w:lastColumn="0" w:noHBand="0" w:noVBand="1"/>
      </w:tblPr>
      <w:tblGrid>
        <w:gridCol w:w="4675"/>
        <w:gridCol w:w="4675"/>
      </w:tblGrid>
      <w:tr w:rsidR="001A5572" w14:paraId="2D585872" w14:textId="77777777" w:rsidTr="004C4582">
        <w:tc>
          <w:tcPr>
            <w:tcW w:w="4675" w:type="dxa"/>
            <w:shd w:val="clear" w:color="auto" w:fill="A6A6A6" w:themeFill="background1" w:themeFillShade="A6"/>
          </w:tcPr>
          <w:p w14:paraId="5782852E" w14:textId="77777777" w:rsidR="001A5572" w:rsidRDefault="001A5572" w:rsidP="004C4582">
            <w:pPr>
              <w:rPr>
                <w:rFonts w:cstheme="majorBidi"/>
                <w:sz w:val="24"/>
                <w:szCs w:val="24"/>
                <w:lang w:bidi="ar-EG"/>
              </w:rPr>
            </w:pPr>
            <w:r>
              <w:rPr>
                <w:rFonts w:cstheme="majorBidi"/>
                <w:sz w:val="24"/>
                <w:szCs w:val="24"/>
                <w:lang w:bidi="ar-EG"/>
              </w:rPr>
              <w:t>Classification</w:t>
            </w:r>
          </w:p>
        </w:tc>
        <w:tc>
          <w:tcPr>
            <w:tcW w:w="4675" w:type="dxa"/>
            <w:shd w:val="clear" w:color="auto" w:fill="A6A6A6" w:themeFill="background1" w:themeFillShade="A6"/>
          </w:tcPr>
          <w:p w14:paraId="453C1758" w14:textId="77777777" w:rsidR="001A5572" w:rsidRDefault="001A5572" w:rsidP="004C4582">
            <w:pPr>
              <w:rPr>
                <w:rFonts w:cstheme="majorBidi"/>
                <w:sz w:val="24"/>
                <w:szCs w:val="24"/>
                <w:lang w:bidi="ar-EG"/>
              </w:rPr>
            </w:pPr>
            <w:r>
              <w:rPr>
                <w:rFonts w:cstheme="majorBidi"/>
                <w:sz w:val="24"/>
                <w:szCs w:val="24"/>
                <w:lang w:bidi="ar-EG"/>
              </w:rPr>
              <w:t>Number</w:t>
            </w:r>
          </w:p>
        </w:tc>
      </w:tr>
      <w:tr w:rsidR="001A5572" w14:paraId="72163A2F" w14:textId="77777777" w:rsidTr="004C4582">
        <w:tc>
          <w:tcPr>
            <w:tcW w:w="4675" w:type="dxa"/>
          </w:tcPr>
          <w:p w14:paraId="3145E036" w14:textId="77777777" w:rsidR="001A5572" w:rsidRDefault="001A5572" w:rsidP="004C4582">
            <w:pPr>
              <w:rPr>
                <w:rFonts w:cstheme="majorBidi"/>
                <w:sz w:val="24"/>
                <w:szCs w:val="24"/>
                <w:lang w:bidi="ar-EG"/>
              </w:rPr>
            </w:pPr>
            <w:r>
              <w:rPr>
                <w:rFonts w:cstheme="majorBidi"/>
                <w:sz w:val="24"/>
                <w:szCs w:val="24"/>
                <w:lang w:bidi="ar-EG"/>
              </w:rPr>
              <w:t>Buy &amp; sell</w:t>
            </w:r>
          </w:p>
        </w:tc>
        <w:tc>
          <w:tcPr>
            <w:tcW w:w="4675" w:type="dxa"/>
          </w:tcPr>
          <w:p w14:paraId="60B74671" w14:textId="77777777" w:rsidR="001A5572" w:rsidRDefault="001A5572" w:rsidP="004C4582">
            <w:pPr>
              <w:rPr>
                <w:rFonts w:cstheme="majorBidi"/>
                <w:sz w:val="24"/>
                <w:szCs w:val="24"/>
                <w:lang w:bidi="ar-EG"/>
              </w:rPr>
            </w:pPr>
            <w:r>
              <w:rPr>
                <w:rFonts w:cstheme="majorBidi"/>
                <w:sz w:val="24"/>
                <w:szCs w:val="24"/>
                <w:lang w:bidi="ar-EG"/>
              </w:rPr>
              <w:t>103</w:t>
            </w:r>
          </w:p>
        </w:tc>
      </w:tr>
      <w:tr w:rsidR="001A5572" w14:paraId="6A8DF6B7" w14:textId="77777777" w:rsidTr="004C4582">
        <w:tc>
          <w:tcPr>
            <w:tcW w:w="4675" w:type="dxa"/>
          </w:tcPr>
          <w:p w14:paraId="59C314CF" w14:textId="77777777" w:rsidR="001A5572" w:rsidRDefault="001A5572" w:rsidP="004C4582">
            <w:pPr>
              <w:rPr>
                <w:rFonts w:cstheme="majorBidi"/>
                <w:sz w:val="24"/>
                <w:szCs w:val="24"/>
                <w:rtl/>
                <w:lang w:bidi="ar-EG"/>
              </w:rPr>
            </w:pPr>
            <w:r w:rsidRPr="00185CAB">
              <w:rPr>
                <w:rFonts w:cstheme="majorBidi"/>
                <w:sz w:val="24"/>
                <w:szCs w:val="24"/>
                <w:lang w:bidi="ar-EG"/>
              </w:rPr>
              <w:t xml:space="preserve">want to buy </w:t>
            </w:r>
            <w:r>
              <w:rPr>
                <w:rFonts w:cstheme="majorBidi"/>
                <w:sz w:val="24"/>
                <w:szCs w:val="24"/>
                <w:lang w:bidi="ar-EG"/>
              </w:rPr>
              <w:t>&amp;</w:t>
            </w:r>
            <w:r w:rsidRPr="00185CAB">
              <w:rPr>
                <w:rFonts w:cstheme="majorBidi"/>
                <w:sz w:val="24"/>
                <w:szCs w:val="24"/>
                <w:lang w:bidi="ar-EG"/>
              </w:rPr>
              <w:t xml:space="preserve"> sell</w:t>
            </w:r>
          </w:p>
        </w:tc>
        <w:tc>
          <w:tcPr>
            <w:tcW w:w="4675" w:type="dxa"/>
          </w:tcPr>
          <w:p w14:paraId="2C022D3B" w14:textId="77777777" w:rsidR="001A5572" w:rsidRDefault="001A5572" w:rsidP="004C4582">
            <w:pPr>
              <w:rPr>
                <w:rFonts w:cstheme="majorBidi"/>
                <w:sz w:val="24"/>
                <w:szCs w:val="24"/>
                <w:lang w:bidi="ar-EG"/>
              </w:rPr>
            </w:pPr>
            <w:r>
              <w:rPr>
                <w:rFonts w:cstheme="majorBidi"/>
                <w:sz w:val="24"/>
                <w:szCs w:val="24"/>
                <w:lang w:bidi="ar-EG"/>
              </w:rPr>
              <w:t>35</w:t>
            </w:r>
          </w:p>
        </w:tc>
      </w:tr>
      <w:tr w:rsidR="001A5572" w14:paraId="45DE5A0C" w14:textId="77777777" w:rsidTr="004C4582">
        <w:tc>
          <w:tcPr>
            <w:tcW w:w="4675" w:type="dxa"/>
          </w:tcPr>
          <w:p w14:paraId="633EB2DB" w14:textId="77777777" w:rsidR="001A5572" w:rsidRDefault="001A5572" w:rsidP="004C4582">
            <w:pPr>
              <w:rPr>
                <w:rFonts w:cstheme="majorBidi"/>
                <w:sz w:val="24"/>
                <w:szCs w:val="24"/>
                <w:lang w:bidi="ar-EG"/>
              </w:rPr>
            </w:pPr>
            <w:r>
              <w:rPr>
                <w:rFonts w:cstheme="majorBidi"/>
                <w:sz w:val="24"/>
                <w:szCs w:val="24"/>
                <w:lang w:bidi="ar-EG"/>
              </w:rPr>
              <w:t>Sell only</w:t>
            </w:r>
          </w:p>
        </w:tc>
        <w:tc>
          <w:tcPr>
            <w:tcW w:w="4675" w:type="dxa"/>
          </w:tcPr>
          <w:p w14:paraId="7760565E" w14:textId="77777777" w:rsidR="001A5572" w:rsidRDefault="001A5572" w:rsidP="004C4582">
            <w:pPr>
              <w:rPr>
                <w:rFonts w:cstheme="majorBidi"/>
                <w:sz w:val="24"/>
                <w:szCs w:val="24"/>
                <w:lang w:bidi="ar-EG"/>
              </w:rPr>
            </w:pPr>
            <w:r>
              <w:rPr>
                <w:rFonts w:cstheme="majorBidi"/>
                <w:sz w:val="24"/>
                <w:szCs w:val="24"/>
                <w:lang w:bidi="ar-EG"/>
              </w:rPr>
              <w:t>23</w:t>
            </w:r>
          </w:p>
        </w:tc>
      </w:tr>
      <w:tr w:rsidR="001A5572" w14:paraId="0C876AD0" w14:textId="77777777" w:rsidTr="004C4582">
        <w:tc>
          <w:tcPr>
            <w:tcW w:w="4675" w:type="dxa"/>
          </w:tcPr>
          <w:p w14:paraId="7E31489C" w14:textId="77777777" w:rsidR="001A5572" w:rsidRDefault="001A5572" w:rsidP="004C4582">
            <w:pPr>
              <w:rPr>
                <w:rFonts w:cstheme="majorBidi"/>
                <w:sz w:val="24"/>
                <w:szCs w:val="24"/>
                <w:lang w:bidi="ar-EG"/>
              </w:rPr>
            </w:pPr>
            <w:r>
              <w:rPr>
                <w:rFonts w:cstheme="majorBidi"/>
                <w:sz w:val="24"/>
                <w:szCs w:val="24"/>
                <w:lang w:bidi="ar-EG"/>
              </w:rPr>
              <w:t>Buy only</w:t>
            </w:r>
          </w:p>
        </w:tc>
        <w:tc>
          <w:tcPr>
            <w:tcW w:w="4675" w:type="dxa"/>
          </w:tcPr>
          <w:p w14:paraId="43BB8919" w14:textId="77777777" w:rsidR="001A5572" w:rsidRDefault="001A5572" w:rsidP="004C4582">
            <w:pPr>
              <w:rPr>
                <w:rFonts w:cstheme="majorBidi"/>
                <w:sz w:val="24"/>
                <w:szCs w:val="24"/>
                <w:lang w:bidi="ar-EG"/>
              </w:rPr>
            </w:pPr>
            <w:r>
              <w:rPr>
                <w:rFonts w:cstheme="majorBidi"/>
                <w:sz w:val="24"/>
                <w:szCs w:val="24"/>
                <w:lang w:bidi="ar-EG"/>
              </w:rPr>
              <w:t>38</w:t>
            </w:r>
          </w:p>
        </w:tc>
      </w:tr>
      <w:tr w:rsidR="001A5572" w14:paraId="06FC5417" w14:textId="77777777" w:rsidTr="004C4582">
        <w:tc>
          <w:tcPr>
            <w:tcW w:w="4675" w:type="dxa"/>
          </w:tcPr>
          <w:p w14:paraId="4219622A" w14:textId="77777777" w:rsidR="001A5572" w:rsidRDefault="001A5572" w:rsidP="004C4582">
            <w:pPr>
              <w:rPr>
                <w:rFonts w:cstheme="majorBidi"/>
                <w:sz w:val="24"/>
                <w:szCs w:val="24"/>
                <w:lang w:bidi="ar-EG"/>
              </w:rPr>
            </w:pPr>
            <w:r w:rsidRPr="00185CAB">
              <w:rPr>
                <w:rFonts w:cstheme="majorBidi"/>
                <w:sz w:val="24"/>
                <w:szCs w:val="24"/>
                <w:lang w:bidi="ar-EG"/>
              </w:rPr>
              <w:t>want to buy</w:t>
            </w:r>
            <w:r>
              <w:rPr>
                <w:rFonts w:cstheme="majorBidi"/>
                <w:sz w:val="24"/>
                <w:szCs w:val="24"/>
                <w:lang w:bidi="ar-EG"/>
              </w:rPr>
              <w:t xml:space="preserve"> only</w:t>
            </w:r>
          </w:p>
        </w:tc>
        <w:tc>
          <w:tcPr>
            <w:tcW w:w="4675" w:type="dxa"/>
          </w:tcPr>
          <w:p w14:paraId="62D7AC5D" w14:textId="77777777" w:rsidR="001A5572" w:rsidRDefault="001A5572" w:rsidP="004C4582">
            <w:pPr>
              <w:rPr>
                <w:rFonts w:cstheme="majorBidi"/>
                <w:sz w:val="24"/>
                <w:szCs w:val="24"/>
                <w:lang w:bidi="ar-EG"/>
              </w:rPr>
            </w:pPr>
            <w:r>
              <w:rPr>
                <w:rFonts w:cstheme="majorBidi"/>
                <w:sz w:val="24"/>
                <w:szCs w:val="24"/>
                <w:lang w:bidi="ar-EG"/>
              </w:rPr>
              <w:t>145</w:t>
            </w:r>
          </w:p>
        </w:tc>
      </w:tr>
      <w:tr w:rsidR="001A5572" w14:paraId="6EE80EDB" w14:textId="77777777" w:rsidTr="004C4582">
        <w:tc>
          <w:tcPr>
            <w:tcW w:w="4675" w:type="dxa"/>
          </w:tcPr>
          <w:p w14:paraId="1932A3D7" w14:textId="77777777" w:rsidR="001A5572" w:rsidRDefault="001A5572" w:rsidP="004C4582">
            <w:pPr>
              <w:rPr>
                <w:rFonts w:cstheme="majorBidi"/>
                <w:sz w:val="24"/>
                <w:szCs w:val="24"/>
                <w:lang w:bidi="ar-EG"/>
              </w:rPr>
            </w:pPr>
            <w:r>
              <w:rPr>
                <w:rFonts w:cstheme="majorBidi"/>
                <w:sz w:val="24"/>
                <w:szCs w:val="24"/>
                <w:lang w:bidi="ar-EG"/>
              </w:rPr>
              <w:t>Not Buy &amp; Not sell</w:t>
            </w:r>
          </w:p>
        </w:tc>
        <w:tc>
          <w:tcPr>
            <w:tcW w:w="4675" w:type="dxa"/>
          </w:tcPr>
          <w:p w14:paraId="46C42C66" w14:textId="77777777" w:rsidR="001A5572" w:rsidRDefault="001A5572" w:rsidP="004C4582">
            <w:pPr>
              <w:rPr>
                <w:rFonts w:cstheme="majorBidi"/>
                <w:sz w:val="24"/>
                <w:szCs w:val="24"/>
                <w:lang w:bidi="ar-EG"/>
              </w:rPr>
            </w:pPr>
            <w:r>
              <w:rPr>
                <w:rFonts w:cstheme="majorBidi"/>
                <w:sz w:val="24"/>
                <w:szCs w:val="24"/>
                <w:lang w:bidi="ar-EG"/>
              </w:rPr>
              <w:t>57</w:t>
            </w:r>
          </w:p>
        </w:tc>
      </w:tr>
      <w:tr w:rsidR="001A5572" w14:paraId="49CCB2AE" w14:textId="77777777" w:rsidTr="004C4582">
        <w:tc>
          <w:tcPr>
            <w:tcW w:w="4675" w:type="dxa"/>
            <w:shd w:val="clear" w:color="auto" w:fill="A6A6A6" w:themeFill="background1" w:themeFillShade="A6"/>
          </w:tcPr>
          <w:p w14:paraId="578EE48A" w14:textId="77777777" w:rsidR="001A5572" w:rsidRDefault="001A5572" w:rsidP="004C4582">
            <w:pPr>
              <w:rPr>
                <w:rFonts w:cstheme="majorBidi"/>
                <w:sz w:val="24"/>
                <w:szCs w:val="24"/>
                <w:lang w:bidi="ar-EG"/>
              </w:rPr>
            </w:pPr>
            <w:r>
              <w:rPr>
                <w:rFonts w:cstheme="majorBidi"/>
                <w:sz w:val="24"/>
                <w:szCs w:val="24"/>
                <w:lang w:bidi="ar-EG"/>
              </w:rPr>
              <w:t>Total</w:t>
            </w:r>
          </w:p>
        </w:tc>
        <w:tc>
          <w:tcPr>
            <w:tcW w:w="4675" w:type="dxa"/>
            <w:shd w:val="clear" w:color="auto" w:fill="A6A6A6" w:themeFill="background1" w:themeFillShade="A6"/>
          </w:tcPr>
          <w:p w14:paraId="1FE25B13" w14:textId="77777777" w:rsidR="001A5572" w:rsidRDefault="001A5572" w:rsidP="004C4582">
            <w:pPr>
              <w:rPr>
                <w:rFonts w:cstheme="majorBidi"/>
                <w:sz w:val="24"/>
                <w:szCs w:val="24"/>
                <w:lang w:bidi="ar-EG"/>
              </w:rPr>
            </w:pPr>
            <w:r>
              <w:rPr>
                <w:rFonts w:cstheme="majorBidi"/>
                <w:sz w:val="24"/>
                <w:szCs w:val="24"/>
                <w:lang w:bidi="ar-EG"/>
              </w:rPr>
              <w:t>401</w:t>
            </w:r>
          </w:p>
        </w:tc>
      </w:tr>
    </w:tbl>
    <w:p w14:paraId="4CEFA1B0" w14:textId="77777777" w:rsidR="001A5572" w:rsidRDefault="001A5572" w:rsidP="001A5572"/>
    <w:p w14:paraId="201ACD08" w14:textId="77777777" w:rsidR="001A5572" w:rsidRPr="00B01394" w:rsidRDefault="001A5572" w:rsidP="001A5572">
      <w:pPr>
        <w:rPr>
          <w:sz w:val="24"/>
          <w:szCs w:val="24"/>
        </w:rPr>
      </w:pPr>
      <w:r w:rsidRPr="00B01394">
        <w:rPr>
          <w:b/>
          <w:bCs/>
          <w:sz w:val="24"/>
          <w:szCs w:val="24"/>
        </w:rPr>
        <w:t>3.3 Data Collection Method</w:t>
      </w:r>
    </w:p>
    <w:p w14:paraId="3F387B8E" w14:textId="77777777" w:rsidR="001A5572" w:rsidRDefault="001A5572" w:rsidP="001A5572">
      <w:pPr>
        <w:spacing w:line="276" w:lineRule="auto"/>
        <w:jc w:val="both"/>
        <w:rPr>
          <w:rFonts w:cstheme="majorBidi"/>
          <w:sz w:val="24"/>
          <w:szCs w:val="24"/>
        </w:rPr>
      </w:pPr>
      <w:r w:rsidRPr="00AE76C5">
        <w:rPr>
          <w:rFonts w:cstheme="majorBidi"/>
          <w:sz w:val="24"/>
          <w:szCs w:val="24"/>
        </w:rPr>
        <w:t>The data necessary for this study is collected through a mobile phone and a smart computer at the company’s headquarters</w:t>
      </w:r>
      <w:r>
        <w:rPr>
          <w:rFonts w:cstheme="majorBidi"/>
          <w:sz w:val="24"/>
          <w:szCs w:val="24"/>
        </w:rPr>
        <w:t xml:space="preserve">. </w:t>
      </w:r>
      <w:r w:rsidRPr="00F75D41">
        <w:rPr>
          <w:rFonts w:cstheme="majorBidi"/>
          <w:sz w:val="24"/>
          <w:szCs w:val="24"/>
        </w:rPr>
        <w:t>Seven highly experienced researchers, a general supervisor (quality controllers), supervision and maintenance engineers participated in the phase of d</w:t>
      </w:r>
      <w:r>
        <w:rPr>
          <w:rFonts w:cstheme="majorBidi"/>
          <w:sz w:val="24"/>
          <w:szCs w:val="24"/>
        </w:rPr>
        <w:t xml:space="preserve">ata collection </w:t>
      </w:r>
      <w:r w:rsidRPr="00F75D41">
        <w:rPr>
          <w:rFonts w:cstheme="majorBidi"/>
          <w:sz w:val="24"/>
          <w:szCs w:val="24"/>
        </w:rPr>
        <w:t>to solve the technical problems facing researchers in the form system and its transfer from one department to another. The data collection system was built using Survey solutions which an advanced electronic data collection system, and the database was saved on the Microsoft azure database.</w:t>
      </w:r>
    </w:p>
    <w:p w14:paraId="74E8D3A5" w14:textId="3AB40644" w:rsidR="001A5572" w:rsidRPr="00F75D41" w:rsidRDefault="001A5572" w:rsidP="001A5572">
      <w:pPr>
        <w:spacing w:line="276" w:lineRule="auto"/>
        <w:rPr>
          <w:rFonts w:cstheme="majorBidi"/>
          <w:sz w:val="24"/>
          <w:szCs w:val="24"/>
        </w:rPr>
      </w:pPr>
      <w:r w:rsidRPr="00F75D41">
        <w:rPr>
          <w:rFonts w:cstheme="majorBidi"/>
          <w:sz w:val="24"/>
          <w:szCs w:val="24"/>
        </w:rPr>
        <w:t xml:space="preserve">To assure the quality </w:t>
      </w:r>
      <w:r w:rsidR="756ADD32" w:rsidRPr="1CC33FD0">
        <w:rPr>
          <w:rFonts w:cstheme="majorBidi"/>
          <w:sz w:val="24"/>
          <w:szCs w:val="24"/>
        </w:rPr>
        <w:t>of</w:t>
      </w:r>
      <w:r w:rsidRPr="00F75D41">
        <w:rPr>
          <w:rFonts w:cstheme="majorBidi"/>
          <w:sz w:val="24"/>
          <w:szCs w:val="24"/>
        </w:rPr>
        <w:t xml:space="preserve"> the data, work was done on two levels of quality as follows</w:t>
      </w:r>
      <w:r w:rsidR="32C7F207" w:rsidRPr="148BC7E1">
        <w:rPr>
          <w:rFonts w:cstheme="majorBidi"/>
          <w:sz w:val="24"/>
          <w:szCs w:val="24"/>
        </w:rPr>
        <w:t>:</w:t>
      </w:r>
    </w:p>
    <w:p w14:paraId="230C51B6" w14:textId="77777777" w:rsidR="001A5572" w:rsidRPr="00F75D41" w:rsidRDefault="001A5572" w:rsidP="001A5572">
      <w:pPr>
        <w:spacing w:line="276" w:lineRule="auto"/>
        <w:rPr>
          <w:rFonts w:cstheme="majorBidi"/>
          <w:sz w:val="24"/>
          <w:szCs w:val="24"/>
        </w:rPr>
      </w:pPr>
      <w:r w:rsidRPr="00F75D41">
        <w:rPr>
          <w:rFonts w:cstheme="majorBidi"/>
          <w:sz w:val="24"/>
          <w:szCs w:val="24"/>
        </w:rPr>
        <w:t>1- Direct listening from the call center supervisor of the call while it is being made to ensure the safety of the method of asking questions</w:t>
      </w:r>
    </w:p>
    <w:p w14:paraId="2AA774D5" w14:textId="7261FC78" w:rsidR="00CB2BA9" w:rsidRDefault="001A5572" w:rsidP="001A5572">
      <w:pPr>
        <w:spacing w:line="276" w:lineRule="auto"/>
        <w:jc w:val="both"/>
        <w:rPr>
          <w:rFonts w:cstheme="majorBidi"/>
          <w:sz w:val="24"/>
          <w:szCs w:val="24"/>
        </w:rPr>
      </w:pPr>
      <w:r w:rsidRPr="00F75D41">
        <w:rPr>
          <w:rFonts w:cstheme="majorBidi"/>
          <w:sz w:val="24"/>
          <w:szCs w:val="24"/>
        </w:rPr>
        <w:t>2- Post review through the data collection system and approval of the consistent forms and return of the inconsistent ones through the quality monitors</w:t>
      </w:r>
      <w:r w:rsidR="00CB2BA9">
        <w:rPr>
          <w:rFonts w:cstheme="majorBidi"/>
          <w:sz w:val="24"/>
          <w:szCs w:val="24"/>
        </w:rPr>
        <w:t>.</w:t>
      </w:r>
    </w:p>
    <w:p w14:paraId="341F84E0" w14:textId="77777777" w:rsidR="00CB2BA9" w:rsidRDefault="00CB2BA9">
      <w:pPr>
        <w:rPr>
          <w:rFonts w:cstheme="majorBidi"/>
          <w:sz w:val="24"/>
          <w:szCs w:val="24"/>
        </w:rPr>
      </w:pPr>
      <w:r>
        <w:rPr>
          <w:rFonts w:cstheme="majorBidi"/>
          <w:sz w:val="24"/>
          <w:szCs w:val="24"/>
        </w:rPr>
        <w:br w:type="page"/>
      </w:r>
    </w:p>
    <w:p w14:paraId="2739E063" w14:textId="762F288F" w:rsidR="001A5572" w:rsidRPr="00597245" w:rsidRDefault="00CB2BA9" w:rsidP="00597245">
      <w:pPr>
        <w:spacing w:line="276" w:lineRule="auto"/>
        <w:jc w:val="center"/>
        <w:rPr>
          <w:rFonts w:cstheme="majorBidi"/>
          <w:b/>
          <w:bCs/>
          <w:sz w:val="24"/>
          <w:szCs w:val="24"/>
        </w:rPr>
      </w:pPr>
      <w:r w:rsidRPr="00597245">
        <w:rPr>
          <w:rFonts w:cstheme="majorBidi"/>
          <w:b/>
          <w:bCs/>
          <w:sz w:val="24"/>
          <w:szCs w:val="24"/>
        </w:rPr>
        <w:t>Annex (2)</w:t>
      </w:r>
    </w:p>
    <w:p w14:paraId="0699865E" w14:textId="3D8F31CC" w:rsidR="00CB2BA9" w:rsidRPr="00597245" w:rsidRDefault="00CB2BA9" w:rsidP="00597245">
      <w:pPr>
        <w:spacing w:line="276" w:lineRule="auto"/>
        <w:jc w:val="center"/>
        <w:rPr>
          <w:rFonts w:cstheme="majorBidi"/>
          <w:b/>
          <w:bCs/>
          <w:sz w:val="24"/>
          <w:szCs w:val="24"/>
        </w:rPr>
      </w:pPr>
      <w:r w:rsidRPr="00597245">
        <w:rPr>
          <w:rFonts w:cstheme="majorBidi"/>
          <w:b/>
          <w:bCs/>
          <w:sz w:val="24"/>
          <w:szCs w:val="24"/>
        </w:rPr>
        <w:t xml:space="preserve">Survey </w:t>
      </w:r>
      <w:r w:rsidR="00C36E90" w:rsidRPr="00597245">
        <w:rPr>
          <w:rFonts w:cstheme="majorBidi"/>
          <w:b/>
          <w:bCs/>
          <w:sz w:val="24"/>
          <w:szCs w:val="24"/>
        </w:rPr>
        <w:t>Socio-demographic and Socioeconomic Characteristics</w:t>
      </w:r>
    </w:p>
    <w:tbl>
      <w:tblPr>
        <w:tblStyle w:val="GridTable5Dark-Accent3"/>
        <w:tblW w:w="0" w:type="auto"/>
        <w:tblLayout w:type="fixed"/>
        <w:tblLook w:val="04A0" w:firstRow="1" w:lastRow="0" w:firstColumn="1" w:lastColumn="0" w:noHBand="0" w:noVBand="1"/>
      </w:tblPr>
      <w:tblGrid>
        <w:gridCol w:w="4140"/>
        <w:gridCol w:w="135"/>
        <w:gridCol w:w="4275"/>
      </w:tblGrid>
      <w:tr w:rsidR="00C36E90" w:rsidRPr="001459A4" w14:paraId="21E231B8" w14:textId="77777777" w:rsidTr="004C45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5" w:type="dxa"/>
            <w:gridSpan w:val="2"/>
          </w:tcPr>
          <w:p w14:paraId="397623AB" w14:textId="77777777" w:rsidR="00C36E90" w:rsidRPr="001459A4" w:rsidRDefault="00C36E90" w:rsidP="004C4582">
            <w:pPr>
              <w:rPr>
                <w:rFonts w:cstheme="majorBidi"/>
                <w:sz w:val="20"/>
                <w:szCs w:val="20"/>
              </w:rPr>
            </w:pPr>
            <w:r w:rsidRPr="001459A4">
              <w:rPr>
                <w:rFonts w:eastAsia="Times New Roman" w:cstheme="majorBidi"/>
                <w:b w:val="0"/>
                <w:bCs w:val="0"/>
                <w:sz w:val="20"/>
                <w:szCs w:val="20"/>
              </w:rPr>
              <w:t>Variable</w:t>
            </w:r>
          </w:p>
        </w:tc>
        <w:tc>
          <w:tcPr>
            <w:tcW w:w="4275" w:type="dxa"/>
          </w:tcPr>
          <w:p w14:paraId="044338AF" w14:textId="77777777" w:rsidR="00C36E90" w:rsidRPr="001459A4" w:rsidRDefault="00C36E90" w:rsidP="004C4582">
            <w:pPr>
              <w:cnfStyle w:val="100000000000" w:firstRow="1" w:lastRow="0" w:firstColumn="0" w:lastColumn="0" w:oddVBand="0" w:evenVBand="0" w:oddHBand="0" w:evenHBand="0" w:firstRowFirstColumn="0" w:firstRowLastColumn="0" w:lastRowFirstColumn="0" w:lastRowLastColumn="0"/>
              <w:rPr>
                <w:rFonts w:cstheme="majorBidi"/>
                <w:sz w:val="20"/>
                <w:szCs w:val="20"/>
              </w:rPr>
            </w:pPr>
            <w:r w:rsidRPr="001459A4">
              <w:rPr>
                <w:rFonts w:eastAsia="Times New Roman" w:cstheme="majorBidi"/>
                <w:b w:val="0"/>
                <w:bCs w:val="0"/>
                <w:i/>
                <w:iCs/>
                <w:color w:val="000000" w:themeColor="text1"/>
                <w:sz w:val="20"/>
                <w:szCs w:val="20"/>
              </w:rPr>
              <w:t>Percent</w:t>
            </w:r>
          </w:p>
        </w:tc>
      </w:tr>
      <w:tr w:rsidR="00C36E90" w:rsidRPr="001459A4" w14:paraId="7858E89D" w14:textId="77777777" w:rsidTr="004C4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7D9A36C2" w14:textId="77777777" w:rsidR="00C36E90" w:rsidRPr="001459A4" w:rsidRDefault="00C36E90" w:rsidP="004C4582">
            <w:pPr>
              <w:rPr>
                <w:rFonts w:cstheme="majorBidi"/>
                <w:sz w:val="20"/>
                <w:szCs w:val="20"/>
              </w:rPr>
            </w:pPr>
            <w:r w:rsidRPr="001459A4">
              <w:rPr>
                <w:rFonts w:eastAsia="Times New Roman" w:cstheme="majorBidi"/>
                <w:b w:val="0"/>
                <w:bCs w:val="0"/>
                <w:color w:val="000000" w:themeColor="text1"/>
                <w:sz w:val="20"/>
                <w:szCs w:val="20"/>
              </w:rPr>
              <w:t>Gender</w:t>
            </w:r>
          </w:p>
        </w:tc>
        <w:tc>
          <w:tcPr>
            <w:tcW w:w="4410" w:type="dxa"/>
            <w:gridSpan w:val="2"/>
          </w:tcPr>
          <w:p w14:paraId="2033A54B" w14:textId="77777777" w:rsidR="00C36E90" w:rsidRPr="001459A4" w:rsidRDefault="00C36E90" w:rsidP="004C4582">
            <w:pP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1459A4">
              <w:rPr>
                <w:rFonts w:eastAsia="Times New Roman" w:cstheme="majorBidi"/>
                <w:sz w:val="20"/>
                <w:szCs w:val="20"/>
              </w:rPr>
              <w:t xml:space="preserve"> </w:t>
            </w:r>
          </w:p>
        </w:tc>
      </w:tr>
      <w:tr w:rsidR="00C36E90" w:rsidRPr="001459A4" w14:paraId="072FBE9D" w14:textId="77777777" w:rsidTr="004C4582">
        <w:tc>
          <w:tcPr>
            <w:cnfStyle w:val="001000000000" w:firstRow="0" w:lastRow="0" w:firstColumn="1" w:lastColumn="0" w:oddVBand="0" w:evenVBand="0" w:oddHBand="0" w:evenHBand="0" w:firstRowFirstColumn="0" w:firstRowLastColumn="0" w:lastRowFirstColumn="0" w:lastRowLastColumn="0"/>
            <w:tcW w:w="4140" w:type="dxa"/>
          </w:tcPr>
          <w:p w14:paraId="05E0BBFC" w14:textId="77777777" w:rsidR="00C36E90" w:rsidRPr="001459A4" w:rsidRDefault="00C36E90" w:rsidP="004C4582">
            <w:pPr>
              <w:rPr>
                <w:rFonts w:cstheme="majorBidi"/>
                <w:sz w:val="20"/>
                <w:szCs w:val="20"/>
              </w:rPr>
            </w:pPr>
            <w:r w:rsidRPr="001459A4">
              <w:rPr>
                <w:rFonts w:eastAsia="Times New Roman" w:cstheme="majorBidi"/>
                <w:color w:val="000000" w:themeColor="text1"/>
                <w:sz w:val="20"/>
                <w:szCs w:val="20"/>
              </w:rPr>
              <w:t xml:space="preserve">Male </w:t>
            </w:r>
          </w:p>
        </w:tc>
        <w:tc>
          <w:tcPr>
            <w:tcW w:w="4410" w:type="dxa"/>
            <w:gridSpan w:val="2"/>
          </w:tcPr>
          <w:p w14:paraId="19986A39" w14:textId="77777777" w:rsidR="00C36E90" w:rsidRPr="001459A4" w:rsidRDefault="00C36E90" w:rsidP="004C4582">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1459A4">
              <w:rPr>
                <w:rFonts w:eastAsia="Times New Roman" w:cstheme="majorBidi"/>
                <w:sz w:val="20"/>
                <w:szCs w:val="20"/>
              </w:rPr>
              <w:t>79.1%</w:t>
            </w:r>
          </w:p>
        </w:tc>
      </w:tr>
      <w:tr w:rsidR="00C36E90" w:rsidRPr="001459A4" w14:paraId="1DBB2043" w14:textId="77777777" w:rsidTr="004C4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4DB03F76" w14:textId="77777777" w:rsidR="00C36E90" w:rsidRPr="001459A4" w:rsidRDefault="00C36E90" w:rsidP="004C4582">
            <w:pPr>
              <w:rPr>
                <w:rFonts w:cstheme="majorBidi"/>
                <w:sz w:val="20"/>
                <w:szCs w:val="20"/>
              </w:rPr>
            </w:pPr>
            <w:r w:rsidRPr="001459A4">
              <w:rPr>
                <w:rFonts w:eastAsia="Times New Roman" w:cstheme="majorBidi"/>
                <w:color w:val="000000" w:themeColor="text1"/>
                <w:sz w:val="20"/>
                <w:szCs w:val="20"/>
              </w:rPr>
              <w:t>Female</w:t>
            </w:r>
          </w:p>
        </w:tc>
        <w:tc>
          <w:tcPr>
            <w:tcW w:w="4410" w:type="dxa"/>
            <w:gridSpan w:val="2"/>
          </w:tcPr>
          <w:p w14:paraId="7D7F7512" w14:textId="77777777" w:rsidR="00C36E90" w:rsidRPr="001459A4" w:rsidRDefault="00C36E90" w:rsidP="004C4582">
            <w:pP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1459A4">
              <w:rPr>
                <w:rFonts w:eastAsia="Times New Roman" w:cstheme="majorBidi"/>
                <w:color w:val="000000" w:themeColor="text1"/>
                <w:sz w:val="20"/>
                <w:szCs w:val="20"/>
              </w:rPr>
              <w:t>20.9%</w:t>
            </w:r>
          </w:p>
        </w:tc>
      </w:tr>
      <w:tr w:rsidR="00C36E90" w:rsidRPr="001459A4" w14:paraId="3444C75A" w14:textId="77777777" w:rsidTr="004C4582">
        <w:tc>
          <w:tcPr>
            <w:cnfStyle w:val="001000000000" w:firstRow="0" w:lastRow="0" w:firstColumn="1" w:lastColumn="0" w:oddVBand="0" w:evenVBand="0" w:oddHBand="0" w:evenHBand="0" w:firstRowFirstColumn="0" w:firstRowLastColumn="0" w:lastRowFirstColumn="0" w:lastRowLastColumn="0"/>
            <w:tcW w:w="8550" w:type="dxa"/>
            <w:gridSpan w:val="3"/>
          </w:tcPr>
          <w:p w14:paraId="2ED17365" w14:textId="77777777" w:rsidR="00C36E90" w:rsidRPr="001459A4" w:rsidRDefault="00C36E90" w:rsidP="004C4582">
            <w:pPr>
              <w:rPr>
                <w:rFonts w:cstheme="majorBidi"/>
                <w:sz w:val="20"/>
                <w:szCs w:val="20"/>
              </w:rPr>
            </w:pPr>
            <w:r w:rsidRPr="001459A4">
              <w:rPr>
                <w:rFonts w:eastAsia="Times New Roman" w:cstheme="majorBidi"/>
                <w:b w:val="0"/>
                <w:bCs w:val="0"/>
                <w:color w:val="000000" w:themeColor="text1"/>
                <w:sz w:val="20"/>
                <w:szCs w:val="20"/>
              </w:rPr>
              <w:t>Age Group</w:t>
            </w:r>
          </w:p>
        </w:tc>
      </w:tr>
      <w:tr w:rsidR="00C36E90" w:rsidRPr="001459A4" w14:paraId="45934799" w14:textId="77777777" w:rsidTr="004C4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4DA0A37B" w14:textId="77777777" w:rsidR="00C36E90" w:rsidRPr="001459A4" w:rsidRDefault="00C36E90" w:rsidP="004C4582">
            <w:pPr>
              <w:rPr>
                <w:rFonts w:cstheme="majorBidi"/>
                <w:sz w:val="20"/>
                <w:szCs w:val="20"/>
              </w:rPr>
            </w:pPr>
            <w:r w:rsidRPr="001459A4">
              <w:rPr>
                <w:rFonts w:eastAsia="Times New Roman" w:cstheme="majorBidi"/>
                <w:color w:val="000000" w:themeColor="text1"/>
                <w:sz w:val="20"/>
                <w:szCs w:val="20"/>
              </w:rPr>
              <w:t>20-25</w:t>
            </w:r>
          </w:p>
        </w:tc>
        <w:tc>
          <w:tcPr>
            <w:tcW w:w="4410" w:type="dxa"/>
            <w:gridSpan w:val="2"/>
          </w:tcPr>
          <w:p w14:paraId="26AC9315" w14:textId="77777777" w:rsidR="00C36E90" w:rsidRPr="001459A4" w:rsidRDefault="00C36E90" w:rsidP="004C4582">
            <w:pP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1459A4">
              <w:rPr>
                <w:rFonts w:eastAsia="Times New Roman" w:cstheme="majorBidi"/>
                <w:color w:val="000000" w:themeColor="text1"/>
                <w:sz w:val="20"/>
                <w:szCs w:val="20"/>
              </w:rPr>
              <w:t>8.5%</w:t>
            </w:r>
          </w:p>
        </w:tc>
      </w:tr>
      <w:tr w:rsidR="00C36E90" w:rsidRPr="001459A4" w14:paraId="2032E868" w14:textId="77777777" w:rsidTr="004C4582">
        <w:tc>
          <w:tcPr>
            <w:cnfStyle w:val="001000000000" w:firstRow="0" w:lastRow="0" w:firstColumn="1" w:lastColumn="0" w:oddVBand="0" w:evenVBand="0" w:oddHBand="0" w:evenHBand="0" w:firstRowFirstColumn="0" w:firstRowLastColumn="0" w:lastRowFirstColumn="0" w:lastRowLastColumn="0"/>
            <w:tcW w:w="4140" w:type="dxa"/>
          </w:tcPr>
          <w:p w14:paraId="3E2E908C" w14:textId="77777777" w:rsidR="00C36E90" w:rsidRPr="001459A4" w:rsidRDefault="00C36E90" w:rsidP="004C4582">
            <w:pPr>
              <w:rPr>
                <w:rFonts w:cstheme="majorBidi"/>
                <w:sz w:val="20"/>
                <w:szCs w:val="20"/>
              </w:rPr>
            </w:pPr>
            <w:r w:rsidRPr="001459A4">
              <w:rPr>
                <w:rFonts w:eastAsia="Times New Roman" w:cstheme="majorBidi"/>
                <w:color w:val="000000" w:themeColor="text1"/>
                <w:sz w:val="20"/>
                <w:szCs w:val="20"/>
              </w:rPr>
              <w:t>25-30</w:t>
            </w:r>
          </w:p>
        </w:tc>
        <w:tc>
          <w:tcPr>
            <w:tcW w:w="4410" w:type="dxa"/>
            <w:gridSpan w:val="2"/>
          </w:tcPr>
          <w:p w14:paraId="1B6C2E24" w14:textId="77777777" w:rsidR="00C36E90" w:rsidRPr="001459A4" w:rsidRDefault="00C36E90" w:rsidP="004C4582">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1459A4">
              <w:rPr>
                <w:rFonts w:eastAsia="Times New Roman" w:cstheme="majorBidi"/>
                <w:sz w:val="20"/>
                <w:szCs w:val="20"/>
              </w:rPr>
              <w:t>24.3%</w:t>
            </w:r>
          </w:p>
        </w:tc>
      </w:tr>
      <w:tr w:rsidR="00C36E90" w:rsidRPr="001459A4" w14:paraId="016C4A55" w14:textId="77777777" w:rsidTr="004C4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5C0AA2A4" w14:textId="77777777" w:rsidR="00C36E90" w:rsidRPr="001459A4" w:rsidRDefault="00C36E90" w:rsidP="004C4582">
            <w:pPr>
              <w:rPr>
                <w:rFonts w:cstheme="majorBidi"/>
                <w:sz w:val="20"/>
                <w:szCs w:val="20"/>
              </w:rPr>
            </w:pPr>
            <w:r w:rsidRPr="001459A4">
              <w:rPr>
                <w:rFonts w:eastAsia="Times New Roman" w:cstheme="majorBidi"/>
                <w:color w:val="000000" w:themeColor="text1"/>
                <w:sz w:val="20"/>
                <w:szCs w:val="20"/>
              </w:rPr>
              <w:t>30-35</w:t>
            </w:r>
          </w:p>
        </w:tc>
        <w:tc>
          <w:tcPr>
            <w:tcW w:w="4410" w:type="dxa"/>
            <w:gridSpan w:val="2"/>
          </w:tcPr>
          <w:p w14:paraId="1F0E44A6" w14:textId="77777777" w:rsidR="00C36E90" w:rsidRPr="001459A4" w:rsidRDefault="00C36E90" w:rsidP="004C4582">
            <w:pP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1459A4">
              <w:rPr>
                <w:rFonts w:eastAsia="Times New Roman" w:cstheme="majorBidi"/>
                <w:color w:val="000000" w:themeColor="text1"/>
                <w:sz w:val="20"/>
                <w:szCs w:val="20"/>
              </w:rPr>
              <w:t>18.4%</w:t>
            </w:r>
          </w:p>
        </w:tc>
      </w:tr>
      <w:tr w:rsidR="00C36E90" w:rsidRPr="001459A4" w14:paraId="6F5994E6" w14:textId="77777777" w:rsidTr="004C4582">
        <w:tc>
          <w:tcPr>
            <w:cnfStyle w:val="001000000000" w:firstRow="0" w:lastRow="0" w:firstColumn="1" w:lastColumn="0" w:oddVBand="0" w:evenVBand="0" w:oddHBand="0" w:evenHBand="0" w:firstRowFirstColumn="0" w:firstRowLastColumn="0" w:lastRowFirstColumn="0" w:lastRowLastColumn="0"/>
            <w:tcW w:w="4140" w:type="dxa"/>
          </w:tcPr>
          <w:p w14:paraId="326C50EF" w14:textId="77777777" w:rsidR="00C36E90" w:rsidRPr="001459A4" w:rsidRDefault="00C36E90" w:rsidP="004C4582">
            <w:pPr>
              <w:rPr>
                <w:rFonts w:cstheme="majorBidi"/>
                <w:sz w:val="20"/>
                <w:szCs w:val="20"/>
              </w:rPr>
            </w:pPr>
            <w:r w:rsidRPr="001459A4">
              <w:rPr>
                <w:rFonts w:eastAsia="Times New Roman" w:cstheme="majorBidi"/>
                <w:color w:val="000000" w:themeColor="text1"/>
                <w:sz w:val="20"/>
                <w:szCs w:val="20"/>
              </w:rPr>
              <w:t>35-40</w:t>
            </w:r>
          </w:p>
        </w:tc>
        <w:tc>
          <w:tcPr>
            <w:tcW w:w="4410" w:type="dxa"/>
            <w:gridSpan w:val="2"/>
          </w:tcPr>
          <w:p w14:paraId="0069A131" w14:textId="77777777" w:rsidR="00C36E90" w:rsidRPr="001459A4" w:rsidRDefault="00C36E90" w:rsidP="004C4582">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1459A4">
              <w:rPr>
                <w:rFonts w:eastAsia="Times New Roman" w:cstheme="majorBidi"/>
                <w:sz w:val="20"/>
                <w:szCs w:val="20"/>
              </w:rPr>
              <w:t>19.9%</w:t>
            </w:r>
          </w:p>
        </w:tc>
      </w:tr>
      <w:tr w:rsidR="00C36E90" w:rsidRPr="001459A4" w14:paraId="09D05E22" w14:textId="77777777" w:rsidTr="004C4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5AB237AC" w14:textId="77777777" w:rsidR="00C36E90" w:rsidRPr="001459A4" w:rsidRDefault="00C36E90" w:rsidP="004C4582">
            <w:pPr>
              <w:rPr>
                <w:rFonts w:cstheme="majorBidi"/>
                <w:sz w:val="20"/>
                <w:szCs w:val="20"/>
              </w:rPr>
            </w:pPr>
            <w:r w:rsidRPr="001459A4">
              <w:rPr>
                <w:rFonts w:eastAsia="Times New Roman" w:cstheme="majorBidi"/>
                <w:color w:val="000000" w:themeColor="text1"/>
                <w:sz w:val="20"/>
                <w:szCs w:val="20"/>
              </w:rPr>
              <w:t>40-45</w:t>
            </w:r>
          </w:p>
        </w:tc>
        <w:tc>
          <w:tcPr>
            <w:tcW w:w="4410" w:type="dxa"/>
            <w:gridSpan w:val="2"/>
          </w:tcPr>
          <w:p w14:paraId="020EB8B3" w14:textId="77777777" w:rsidR="00C36E90" w:rsidRPr="001459A4" w:rsidRDefault="00C36E90" w:rsidP="004C4582">
            <w:pP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1459A4">
              <w:rPr>
                <w:rFonts w:eastAsia="Times New Roman" w:cstheme="majorBidi"/>
                <w:color w:val="000000" w:themeColor="text1"/>
                <w:sz w:val="20"/>
                <w:szCs w:val="20"/>
              </w:rPr>
              <w:t>12.9%</w:t>
            </w:r>
          </w:p>
        </w:tc>
      </w:tr>
      <w:tr w:rsidR="00C36E90" w:rsidRPr="001459A4" w14:paraId="345B676E" w14:textId="77777777" w:rsidTr="004C4582">
        <w:tc>
          <w:tcPr>
            <w:cnfStyle w:val="001000000000" w:firstRow="0" w:lastRow="0" w:firstColumn="1" w:lastColumn="0" w:oddVBand="0" w:evenVBand="0" w:oddHBand="0" w:evenHBand="0" w:firstRowFirstColumn="0" w:firstRowLastColumn="0" w:lastRowFirstColumn="0" w:lastRowLastColumn="0"/>
            <w:tcW w:w="4140" w:type="dxa"/>
          </w:tcPr>
          <w:p w14:paraId="19B7ED30" w14:textId="77777777" w:rsidR="00C36E90" w:rsidRPr="001459A4" w:rsidRDefault="00C36E90" w:rsidP="004C4582">
            <w:pPr>
              <w:rPr>
                <w:rFonts w:cstheme="majorBidi"/>
                <w:sz w:val="20"/>
                <w:szCs w:val="20"/>
              </w:rPr>
            </w:pPr>
            <w:r w:rsidRPr="001459A4">
              <w:rPr>
                <w:rFonts w:eastAsia="Times New Roman" w:cstheme="majorBidi"/>
                <w:color w:val="000000" w:themeColor="text1"/>
                <w:sz w:val="20"/>
                <w:szCs w:val="20"/>
              </w:rPr>
              <w:t>45-50</w:t>
            </w:r>
          </w:p>
        </w:tc>
        <w:tc>
          <w:tcPr>
            <w:tcW w:w="4410" w:type="dxa"/>
            <w:gridSpan w:val="2"/>
          </w:tcPr>
          <w:p w14:paraId="401302B3" w14:textId="77777777" w:rsidR="00C36E90" w:rsidRPr="001459A4" w:rsidRDefault="00C36E90" w:rsidP="004C4582">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1459A4">
              <w:rPr>
                <w:rFonts w:eastAsia="Times New Roman" w:cstheme="majorBidi"/>
                <w:sz w:val="20"/>
                <w:szCs w:val="20"/>
              </w:rPr>
              <w:t>7%</w:t>
            </w:r>
          </w:p>
        </w:tc>
      </w:tr>
      <w:tr w:rsidR="00C36E90" w:rsidRPr="001459A4" w14:paraId="052D3C68" w14:textId="77777777" w:rsidTr="004C4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319BB364" w14:textId="77777777" w:rsidR="00C36E90" w:rsidRPr="001459A4" w:rsidRDefault="00C36E90" w:rsidP="004C4582">
            <w:pPr>
              <w:rPr>
                <w:rFonts w:cstheme="majorBidi"/>
                <w:sz w:val="20"/>
                <w:szCs w:val="20"/>
              </w:rPr>
            </w:pPr>
            <w:r w:rsidRPr="001459A4">
              <w:rPr>
                <w:rFonts w:eastAsia="Times New Roman" w:cstheme="majorBidi"/>
                <w:color w:val="000000" w:themeColor="text1"/>
                <w:sz w:val="20"/>
                <w:szCs w:val="20"/>
              </w:rPr>
              <w:t>50-55</w:t>
            </w:r>
          </w:p>
        </w:tc>
        <w:tc>
          <w:tcPr>
            <w:tcW w:w="4410" w:type="dxa"/>
            <w:gridSpan w:val="2"/>
          </w:tcPr>
          <w:p w14:paraId="3D3DC14B" w14:textId="77777777" w:rsidR="00C36E90" w:rsidRPr="001459A4" w:rsidRDefault="00C36E90" w:rsidP="004C4582">
            <w:pP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1459A4">
              <w:rPr>
                <w:rFonts w:eastAsia="Times New Roman" w:cstheme="majorBidi"/>
                <w:color w:val="000000" w:themeColor="text1"/>
                <w:sz w:val="20"/>
                <w:szCs w:val="20"/>
              </w:rPr>
              <w:t>5.3%</w:t>
            </w:r>
          </w:p>
        </w:tc>
      </w:tr>
      <w:tr w:rsidR="00C36E90" w:rsidRPr="001459A4" w14:paraId="24F9368A" w14:textId="77777777" w:rsidTr="004C4582">
        <w:tc>
          <w:tcPr>
            <w:cnfStyle w:val="001000000000" w:firstRow="0" w:lastRow="0" w:firstColumn="1" w:lastColumn="0" w:oddVBand="0" w:evenVBand="0" w:oddHBand="0" w:evenHBand="0" w:firstRowFirstColumn="0" w:firstRowLastColumn="0" w:lastRowFirstColumn="0" w:lastRowLastColumn="0"/>
            <w:tcW w:w="4140" w:type="dxa"/>
          </w:tcPr>
          <w:p w14:paraId="3373134F" w14:textId="77777777" w:rsidR="00C36E90" w:rsidRPr="001459A4" w:rsidRDefault="00C36E90" w:rsidP="004C4582">
            <w:pPr>
              <w:rPr>
                <w:rFonts w:cstheme="majorBidi"/>
                <w:sz w:val="20"/>
                <w:szCs w:val="20"/>
              </w:rPr>
            </w:pPr>
            <w:r w:rsidRPr="001459A4">
              <w:rPr>
                <w:rFonts w:eastAsia="Times New Roman" w:cstheme="majorBidi"/>
                <w:color w:val="000000" w:themeColor="text1"/>
                <w:sz w:val="20"/>
                <w:szCs w:val="20"/>
              </w:rPr>
              <w:t>55-60</w:t>
            </w:r>
          </w:p>
        </w:tc>
        <w:tc>
          <w:tcPr>
            <w:tcW w:w="4410" w:type="dxa"/>
            <w:gridSpan w:val="2"/>
          </w:tcPr>
          <w:p w14:paraId="60B89A02" w14:textId="77777777" w:rsidR="00C36E90" w:rsidRPr="001459A4" w:rsidRDefault="00C36E90" w:rsidP="004C4582">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1459A4">
              <w:rPr>
                <w:rFonts w:eastAsia="Times New Roman" w:cstheme="majorBidi"/>
                <w:sz w:val="20"/>
                <w:szCs w:val="20"/>
              </w:rPr>
              <w:t>1.9%</w:t>
            </w:r>
          </w:p>
        </w:tc>
      </w:tr>
      <w:tr w:rsidR="00C36E90" w:rsidRPr="001459A4" w14:paraId="5CFC4F8A" w14:textId="77777777" w:rsidTr="004C4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07AE109F" w14:textId="77777777" w:rsidR="00C36E90" w:rsidRPr="001459A4" w:rsidRDefault="00C36E90" w:rsidP="004C4582">
            <w:pPr>
              <w:rPr>
                <w:rFonts w:cstheme="majorBidi"/>
                <w:sz w:val="20"/>
                <w:szCs w:val="20"/>
              </w:rPr>
            </w:pPr>
            <w:r w:rsidRPr="001459A4">
              <w:rPr>
                <w:rFonts w:eastAsia="Times New Roman" w:cstheme="majorBidi"/>
                <w:color w:val="000000" w:themeColor="text1"/>
                <w:sz w:val="20"/>
                <w:szCs w:val="20"/>
              </w:rPr>
              <w:t>60-65</w:t>
            </w:r>
          </w:p>
        </w:tc>
        <w:tc>
          <w:tcPr>
            <w:tcW w:w="4410" w:type="dxa"/>
            <w:gridSpan w:val="2"/>
          </w:tcPr>
          <w:p w14:paraId="3BC057FD" w14:textId="77777777" w:rsidR="00C36E90" w:rsidRPr="001459A4" w:rsidRDefault="00C36E90" w:rsidP="004C4582">
            <w:pP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1459A4">
              <w:rPr>
                <w:rFonts w:eastAsia="Times New Roman" w:cstheme="majorBidi"/>
                <w:color w:val="000000" w:themeColor="text1"/>
                <w:sz w:val="20"/>
                <w:szCs w:val="20"/>
              </w:rPr>
              <w:t>0.7%</w:t>
            </w:r>
          </w:p>
        </w:tc>
      </w:tr>
      <w:tr w:rsidR="00C36E90" w:rsidRPr="001459A4" w14:paraId="4BDD7C30" w14:textId="77777777" w:rsidTr="004C4582">
        <w:tc>
          <w:tcPr>
            <w:cnfStyle w:val="001000000000" w:firstRow="0" w:lastRow="0" w:firstColumn="1" w:lastColumn="0" w:oddVBand="0" w:evenVBand="0" w:oddHBand="0" w:evenHBand="0" w:firstRowFirstColumn="0" w:firstRowLastColumn="0" w:lastRowFirstColumn="0" w:lastRowLastColumn="0"/>
            <w:tcW w:w="4140" w:type="dxa"/>
          </w:tcPr>
          <w:p w14:paraId="568437AD" w14:textId="77777777" w:rsidR="00C36E90" w:rsidRPr="001459A4" w:rsidRDefault="00C36E90" w:rsidP="004C4582">
            <w:pPr>
              <w:rPr>
                <w:rFonts w:cstheme="majorBidi"/>
                <w:sz w:val="20"/>
                <w:szCs w:val="20"/>
              </w:rPr>
            </w:pPr>
            <w:r w:rsidRPr="001459A4">
              <w:rPr>
                <w:rFonts w:eastAsia="Times New Roman" w:cstheme="majorBidi"/>
                <w:color w:val="000000" w:themeColor="text1"/>
                <w:sz w:val="20"/>
                <w:szCs w:val="20"/>
              </w:rPr>
              <w:t xml:space="preserve">65 and above </w:t>
            </w:r>
          </w:p>
        </w:tc>
        <w:tc>
          <w:tcPr>
            <w:tcW w:w="4410" w:type="dxa"/>
            <w:gridSpan w:val="2"/>
          </w:tcPr>
          <w:p w14:paraId="2958B9D2" w14:textId="77777777" w:rsidR="00C36E90" w:rsidRPr="001459A4" w:rsidRDefault="00C36E90" w:rsidP="004C4582">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1459A4">
              <w:rPr>
                <w:rFonts w:eastAsia="Times New Roman" w:cstheme="majorBidi"/>
                <w:sz w:val="20"/>
                <w:szCs w:val="20"/>
              </w:rPr>
              <w:t>1%</w:t>
            </w:r>
          </w:p>
        </w:tc>
      </w:tr>
      <w:tr w:rsidR="00C36E90" w:rsidRPr="001459A4" w14:paraId="05FD9EC0" w14:textId="77777777" w:rsidTr="004C4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0" w:type="dxa"/>
            <w:gridSpan w:val="3"/>
          </w:tcPr>
          <w:p w14:paraId="0AF2218C" w14:textId="77777777" w:rsidR="00C36E90" w:rsidRPr="001459A4" w:rsidRDefault="00C36E90" w:rsidP="004C4582">
            <w:pPr>
              <w:rPr>
                <w:rFonts w:cstheme="majorBidi"/>
                <w:sz w:val="20"/>
                <w:szCs w:val="20"/>
              </w:rPr>
            </w:pPr>
            <w:r w:rsidRPr="001459A4">
              <w:rPr>
                <w:rFonts w:eastAsia="Times New Roman" w:cstheme="majorBidi"/>
                <w:b w:val="0"/>
                <w:bCs w:val="0"/>
                <w:color w:val="000000" w:themeColor="text1"/>
                <w:sz w:val="20"/>
                <w:szCs w:val="20"/>
              </w:rPr>
              <w:t>Governorate</w:t>
            </w:r>
          </w:p>
        </w:tc>
      </w:tr>
      <w:tr w:rsidR="00C36E90" w:rsidRPr="001459A4" w14:paraId="37CA224A" w14:textId="77777777" w:rsidTr="004C4582">
        <w:tc>
          <w:tcPr>
            <w:cnfStyle w:val="001000000000" w:firstRow="0" w:lastRow="0" w:firstColumn="1" w:lastColumn="0" w:oddVBand="0" w:evenVBand="0" w:oddHBand="0" w:evenHBand="0" w:firstRowFirstColumn="0" w:firstRowLastColumn="0" w:lastRowFirstColumn="0" w:lastRowLastColumn="0"/>
            <w:tcW w:w="4140" w:type="dxa"/>
          </w:tcPr>
          <w:p w14:paraId="6DBFE9A3" w14:textId="77777777" w:rsidR="00C36E90" w:rsidRPr="001459A4" w:rsidRDefault="00C36E90" w:rsidP="004C4582">
            <w:pPr>
              <w:rPr>
                <w:rFonts w:cstheme="majorBidi"/>
                <w:sz w:val="20"/>
                <w:szCs w:val="20"/>
              </w:rPr>
            </w:pPr>
            <w:r w:rsidRPr="001459A4">
              <w:rPr>
                <w:rFonts w:eastAsia="Times New Roman" w:cstheme="majorBidi"/>
                <w:color w:val="000000" w:themeColor="text1"/>
                <w:sz w:val="20"/>
                <w:szCs w:val="20"/>
              </w:rPr>
              <w:t>Cairo</w:t>
            </w:r>
          </w:p>
        </w:tc>
        <w:tc>
          <w:tcPr>
            <w:tcW w:w="4410" w:type="dxa"/>
            <w:gridSpan w:val="2"/>
          </w:tcPr>
          <w:p w14:paraId="767313C3" w14:textId="77777777" w:rsidR="00C36E90" w:rsidRPr="001459A4" w:rsidRDefault="00C36E90" w:rsidP="004C4582">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1459A4">
              <w:rPr>
                <w:rFonts w:eastAsia="Times New Roman" w:cstheme="majorBidi"/>
                <w:sz w:val="20"/>
                <w:szCs w:val="20"/>
              </w:rPr>
              <w:t>78.2%</w:t>
            </w:r>
          </w:p>
        </w:tc>
      </w:tr>
      <w:tr w:rsidR="00C36E90" w:rsidRPr="001459A4" w14:paraId="147143CB" w14:textId="77777777" w:rsidTr="004C4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609253DD" w14:textId="77777777" w:rsidR="00C36E90" w:rsidRPr="001459A4" w:rsidRDefault="00C36E90" w:rsidP="004C4582">
            <w:pPr>
              <w:rPr>
                <w:rFonts w:cstheme="majorBidi"/>
                <w:sz w:val="20"/>
                <w:szCs w:val="20"/>
              </w:rPr>
            </w:pPr>
            <w:r w:rsidRPr="001459A4">
              <w:rPr>
                <w:rFonts w:eastAsia="Times New Roman" w:cstheme="majorBidi"/>
                <w:color w:val="000000" w:themeColor="text1"/>
                <w:sz w:val="20"/>
                <w:szCs w:val="20"/>
              </w:rPr>
              <w:t>Alexandria</w:t>
            </w:r>
          </w:p>
        </w:tc>
        <w:tc>
          <w:tcPr>
            <w:tcW w:w="4410" w:type="dxa"/>
            <w:gridSpan w:val="2"/>
          </w:tcPr>
          <w:p w14:paraId="68A81D19" w14:textId="77777777" w:rsidR="00C36E90" w:rsidRPr="001459A4" w:rsidRDefault="00C36E90" w:rsidP="004C4582">
            <w:pP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1459A4">
              <w:rPr>
                <w:rFonts w:eastAsia="Times New Roman" w:cstheme="majorBidi"/>
                <w:color w:val="000000" w:themeColor="text1"/>
                <w:sz w:val="20"/>
                <w:szCs w:val="20"/>
              </w:rPr>
              <w:t>13.1%</w:t>
            </w:r>
          </w:p>
        </w:tc>
      </w:tr>
      <w:tr w:rsidR="00C36E90" w:rsidRPr="001459A4" w14:paraId="7724E0DB" w14:textId="77777777" w:rsidTr="004C4582">
        <w:tc>
          <w:tcPr>
            <w:cnfStyle w:val="001000000000" w:firstRow="0" w:lastRow="0" w:firstColumn="1" w:lastColumn="0" w:oddVBand="0" w:evenVBand="0" w:oddHBand="0" w:evenHBand="0" w:firstRowFirstColumn="0" w:firstRowLastColumn="0" w:lastRowFirstColumn="0" w:lastRowLastColumn="0"/>
            <w:tcW w:w="4140" w:type="dxa"/>
          </w:tcPr>
          <w:p w14:paraId="584271F3" w14:textId="77777777" w:rsidR="00C36E90" w:rsidRPr="001459A4" w:rsidRDefault="00C36E90" w:rsidP="004C4582">
            <w:pPr>
              <w:rPr>
                <w:rFonts w:cstheme="majorBidi"/>
                <w:sz w:val="20"/>
                <w:szCs w:val="20"/>
              </w:rPr>
            </w:pPr>
            <w:r w:rsidRPr="001459A4">
              <w:rPr>
                <w:rFonts w:eastAsia="Times New Roman" w:cstheme="majorBidi"/>
                <w:color w:val="000000" w:themeColor="text1"/>
                <w:sz w:val="20"/>
                <w:szCs w:val="20"/>
              </w:rPr>
              <w:t>Damietta</w:t>
            </w:r>
          </w:p>
        </w:tc>
        <w:tc>
          <w:tcPr>
            <w:tcW w:w="4410" w:type="dxa"/>
            <w:gridSpan w:val="2"/>
          </w:tcPr>
          <w:p w14:paraId="081A61C1" w14:textId="77777777" w:rsidR="00C36E90" w:rsidRPr="001459A4" w:rsidRDefault="00C36E90" w:rsidP="004C4582">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1459A4">
              <w:rPr>
                <w:rFonts w:eastAsia="Times New Roman" w:cstheme="majorBidi"/>
                <w:sz w:val="20"/>
                <w:szCs w:val="20"/>
              </w:rPr>
              <w:t>5.6%</w:t>
            </w:r>
          </w:p>
        </w:tc>
      </w:tr>
      <w:tr w:rsidR="00C36E90" w:rsidRPr="001459A4" w14:paraId="16B13DFB" w14:textId="77777777" w:rsidTr="004C4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5CD33728" w14:textId="64A70AF4" w:rsidR="00C36E90" w:rsidRPr="001459A4" w:rsidRDefault="00D55F39" w:rsidP="004C4582">
            <w:pPr>
              <w:rPr>
                <w:rFonts w:cstheme="majorBidi"/>
                <w:sz w:val="20"/>
                <w:szCs w:val="20"/>
              </w:rPr>
            </w:pPr>
            <w:r>
              <w:rPr>
                <w:rFonts w:eastAsia="Times New Roman" w:cstheme="majorBidi"/>
                <w:color w:val="000000" w:themeColor="text1"/>
                <w:sz w:val="20"/>
                <w:szCs w:val="20"/>
              </w:rPr>
              <w:t>Suhag</w:t>
            </w:r>
          </w:p>
        </w:tc>
        <w:tc>
          <w:tcPr>
            <w:tcW w:w="4410" w:type="dxa"/>
            <w:gridSpan w:val="2"/>
          </w:tcPr>
          <w:p w14:paraId="2DF7CE47" w14:textId="77777777" w:rsidR="00C36E90" w:rsidRPr="001459A4" w:rsidRDefault="00C36E90" w:rsidP="004C4582">
            <w:pP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1459A4">
              <w:rPr>
                <w:rFonts w:eastAsia="Times New Roman" w:cstheme="majorBidi"/>
                <w:color w:val="000000" w:themeColor="text1"/>
                <w:sz w:val="20"/>
                <w:szCs w:val="20"/>
              </w:rPr>
              <w:t>3.2%</w:t>
            </w:r>
          </w:p>
        </w:tc>
      </w:tr>
      <w:tr w:rsidR="00C36E90" w:rsidRPr="001459A4" w14:paraId="242E46AB" w14:textId="77777777" w:rsidTr="004C4582">
        <w:tc>
          <w:tcPr>
            <w:cnfStyle w:val="001000000000" w:firstRow="0" w:lastRow="0" w:firstColumn="1" w:lastColumn="0" w:oddVBand="0" w:evenVBand="0" w:oddHBand="0" w:evenHBand="0" w:firstRowFirstColumn="0" w:firstRowLastColumn="0" w:lastRowFirstColumn="0" w:lastRowLastColumn="0"/>
            <w:tcW w:w="8550" w:type="dxa"/>
            <w:gridSpan w:val="3"/>
          </w:tcPr>
          <w:p w14:paraId="28A384E6" w14:textId="77777777" w:rsidR="00C36E90" w:rsidRPr="001459A4" w:rsidRDefault="00C36E90" w:rsidP="004C4582">
            <w:pPr>
              <w:rPr>
                <w:rFonts w:cstheme="majorBidi"/>
                <w:sz w:val="20"/>
                <w:szCs w:val="20"/>
              </w:rPr>
            </w:pPr>
            <w:r w:rsidRPr="001459A4">
              <w:rPr>
                <w:rFonts w:eastAsia="Times New Roman" w:cstheme="majorBidi"/>
                <w:b w:val="0"/>
                <w:bCs w:val="0"/>
                <w:color w:val="000000" w:themeColor="text1"/>
                <w:sz w:val="20"/>
                <w:szCs w:val="20"/>
              </w:rPr>
              <w:t>Marital Status</w:t>
            </w:r>
          </w:p>
        </w:tc>
      </w:tr>
      <w:tr w:rsidR="00C36E90" w:rsidRPr="001459A4" w14:paraId="579BD205" w14:textId="77777777" w:rsidTr="004C4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1E59E32B" w14:textId="77777777" w:rsidR="00C36E90" w:rsidRPr="001459A4" w:rsidRDefault="00C36E90" w:rsidP="004C4582">
            <w:pPr>
              <w:rPr>
                <w:rFonts w:cstheme="majorBidi"/>
                <w:sz w:val="20"/>
                <w:szCs w:val="20"/>
              </w:rPr>
            </w:pPr>
            <w:r w:rsidRPr="001459A4">
              <w:rPr>
                <w:rFonts w:eastAsia="Times New Roman" w:cstheme="majorBidi"/>
                <w:color w:val="000000" w:themeColor="text1"/>
                <w:sz w:val="20"/>
                <w:szCs w:val="20"/>
              </w:rPr>
              <w:t>Single</w:t>
            </w:r>
          </w:p>
        </w:tc>
        <w:tc>
          <w:tcPr>
            <w:tcW w:w="4410" w:type="dxa"/>
            <w:gridSpan w:val="2"/>
          </w:tcPr>
          <w:p w14:paraId="796CA250" w14:textId="77777777" w:rsidR="00C36E90" w:rsidRPr="001459A4" w:rsidRDefault="00C36E90" w:rsidP="004C4582">
            <w:pP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1459A4">
              <w:rPr>
                <w:rFonts w:eastAsia="Times New Roman" w:cstheme="majorBidi"/>
                <w:color w:val="000000" w:themeColor="text1"/>
                <w:sz w:val="20"/>
                <w:szCs w:val="20"/>
              </w:rPr>
              <w:t>38.3%</w:t>
            </w:r>
          </w:p>
        </w:tc>
      </w:tr>
      <w:tr w:rsidR="00C36E90" w:rsidRPr="001459A4" w14:paraId="70DA0B9F" w14:textId="77777777" w:rsidTr="004C4582">
        <w:tc>
          <w:tcPr>
            <w:cnfStyle w:val="001000000000" w:firstRow="0" w:lastRow="0" w:firstColumn="1" w:lastColumn="0" w:oddVBand="0" w:evenVBand="0" w:oddHBand="0" w:evenHBand="0" w:firstRowFirstColumn="0" w:firstRowLastColumn="0" w:lastRowFirstColumn="0" w:lastRowLastColumn="0"/>
            <w:tcW w:w="4140" w:type="dxa"/>
          </w:tcPr>
          <w:p w14:paraId="0FD4E682" w14:textId="77777777" w:rsidR="00C36E90" w:rsidRPr="001459A4" w:rsidRDefault="00C36E90" w:rsidP="004C4582">
            <w:pPr>
              <w:rPr>
                <w:rFonts w:cstheme="majorBidi"/>
                <w:sz w:val="20"/>
                <w:szCs w:val="20"/>
              </w:rPr>
            </w:pPr>
            <w:r w:rsidRPr="001459A4">
              <w:rPr>
                <w:rFonts w:eastAsia="Times New Roman" w:cstheme="majorBidi"/>
                <w:color w:val="000000" w:themeColor="text1"/>
                <w:sz w:val="20"/>
                <w:szCs w:val="20"/>
              </w:rPr>
              <w:t>Married</w:t>
            </w:r>
          </w:p>
        </w:tc>
        <w:tc>
          <w:tcPr>
            <w:tcW w:w="4410" w:type="dxa"/>
            <w:gridSpan w:val="2"/>
          </w:tcPr>
          <w:p w14:paraId="759BB0C9" w14:textId="77777777" w:rsidR="00C36E90" w:rsidRPr="001459A4" w:rsidRDefault="00C36E90" w:rsidP="004C4582">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1459A4">
              <w:rPr>
                <w:rFonts w:eastAsia="Times New Roman" w:cstheme="majorBidi"/>
                <w:sz w:val="20"/>
                <w:szCs w:val="20"/>
              </w:rPr>
              <w:t>58.7%</w:t>
            </w:r>
          </w:p>
        </w:tc>
      </w:tr>
      <w:tr w:rsidR="00C36E90" w:rsidRPr="001459A4" w14:paraId="6E494FD0" w14:textId="77777777" w:rsidTr="004C4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77FCD5A9" w14:textId="77777777" w:rsidR="00C36E90" w:rsidRPr="001459A4" w:rsidRDefault="00C36E90" w:rsidP="004C4582">
            <w:pPr>
              <w:rPr>
                <w:rFonts w:cstheme="majorBidi"/>
                <w:sz w:val="20"/>
                <w:szCs w:val="20"/>
              </w:rPr>
            </w:pPr>
            <w:r w:rsidRPr="001459A4">
              <w:rPr>
                <w:rFonts w:eastAsia="Times New Roman" w:cstheme="majorBidi"/>
                <w:color w:val="000000" w:themeColor="text1"/>
                <w:sz w:val="20"/>
                <w:szCs w:val="20"/>
              </w:rPr>
              <w:t>Divorced</w:t>
            </w:r>
          </w:p>
        </w:tc>
        <w:tc>
          <w:tcPr>
            <w:tcW w:w="4410" w:type="dxa"/>
            <w:gridSpan w:val="2"/>
          </w:tcPr>
          <w:p w14:paraId="399D9AD2" w14:textId="77777777" w:rsidR="00C36E90" w:rsidRPr="001459A4" w:rsidRDefault="00C36E90" w:rsidP="004C4582">
            <w:pP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1459A4">
              <w:rPr>
                <w:rFonts w:eastAsia="Times New Roman" w:cstheme="majorBidi"/>
                <w:color w:val="000000" w:themeColor="text1"/>
                <w:sz w:val="20"/>
                <w:szCs w:val="20"/>
              </w:rPr>
              <w:t>2.9%</w:t>
            </w:r>
          </w:p>
        </w:tc>
      </w:tr>
      <w:tr w:rsidR="00C36E90" w:rsidRPr="001459A4" w14:paraId="708EF79D" w14:textId="77777777" w:rsidTr="004C4582">
        <w:tc>
          <w:tcPr>
            <w:cnfStyle w:val="001000000000" w:firstRow="0" w:lastRow="0" w:firstColumn="1" w:lastColumn="0" w:oddVBand="0" w:evenVBand="0" w:oddHBand="0" w:evenHBand="0" w:firstRowFirstColumn="0" w:firstRowLastColumn="0" w:lastRowFirstColumn="0" w:lastRowLastColumn="0"/>
            <w:tcW w:w="4140" w:type="dxa"/>
          </w:tcPr>
          <w:p w14:paraId="0D87E37D" w14:textId="77777777" w:rsidR="00C36E90" w:rsidRPr="001459A4" w:rsidRDefault="00C36E90" w:rsidP="004C4582">
            <w:pPr>
              <w:rPr>
                <w:rFonts w:cstheme="majorBidi"/>
                <w:sz w:val="20"/>
                <w:szCs w:val="20"/>
              </w:rPr>
            </w:pPr>
            <w:r w:rsidRPr="001459A4">
              <w:rPr>
                <w:rFonts w:eastAsia="Times New Roman" w:cstheme="majorBidi"/>
                <w:color w:val="000000" w:themeColor="text1"/>
                <w:sz w:val="20"/>
                <w:szCs w:val="20"/>
              </w:rPr>
              <w:t>Widow</w:t>
            </w:r>
          </w:p>
        </w:tc>
        <w:tc>
          <w:tcPr>
            <w:tcW w:w="4410" w:type="dxa"/>
            <w:gridSpan w:val="2"/>
          </w:tcPr>
          <w:p w14:paraId="312EEEE1" w14:textId="77777777" w:rsidR="00C36E90" w:rsidRPr="001459A4" w:rsidRDefault="00C36E90" w:rsidP="004C4582">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1459A4">
              <w:rPr>
                <w:rFonts w:eastAsia="Times New Roman" w:cstheme="majorBidi"/>
                <w:sz w:val="20"/>
                <w:szCs w:val="20"/>
              </w:rPr>
              <w:t>0%</w:t>
            </w:r>
          </w:p>
        </w:tc>
      </w:tr>
      <w:tr w:rsidR="00C36E90" w:rsidRPr="001459A4" w14:paraId="198FA971" w14:textId="77777777" w:rsidTr="004C4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0" w:type="dxa"/>
            <w:gridSpan w:val="3"/>
          </w:tcPr>
          <w:p w14:paraId="37BE45FC" w14:textId="77777777" w:rsidR="00C36E90" w:rsidRPr="001459A4" w:rsidRDefault="00C36E90" w:rsidP="004C4582">
            <w:pPr>
              <w:rPr>
                <w:rFonts w:cstheme="majorBidi"/>
                <w:sz w:val="20"/>
                <w:szCs w:val="20"/>
              </w:rPr>
            </w:pPr>
            <w:r w:rsidRPr="001459A4">
              <w:rPr>
                <w:rFonts w:eastAsia="Times New Roman" w:cstheme="majorBidi"/>
                <w:b w:val="0"/>
                <w:bCs w:val="0"/>
                <w:color w:val="000000" w:themeColor="text1"/>
                <w:sz w:val="20"/>
                <w:szCs w:val="20"/>
              </w:rPr>
              <w:t xml:space="preserve">Nature of real estate activity </w:t>
            </w:r>
          </w:p>
        </w:tc>
      </w:tr>
      <w:tr w:rsidR="00C36E90" w:rsidRPr="001459A4" w14:paraId="1C254E27" w14:textId="77777777" w:rsidTr="004C4582">
        <w:tc>
          <w:tcPr>
            <w:cnfStyle w:val="001000000000" w:firstRow="0" w:lastRow="0" w:firstColumn="1" w:lastColumn="0" w:oddVBand="0" w:evenVBand="0" w:oddHBand="0" w:evenHBand="0" w:firstRowFirstColumn="0" w:firstRowLastColumn="0" w:lastRowFirstColumn="0" w:lastRowLastColumn="0"/>
            <w:tcW w:w="4140" w:type="dxa"/>
          </w:tcPr>
          <w:p w14:paraId="3764262C" w14:textId="77777777" w:rsidR="00C36E90" w:rsidRPr="001459A4" w:rsidRDefault="00C36E90" w:rsidP="004C4582">
            <w:pPr>
              <w:rPr>
                <w:rFonts w:cstheme="majorBidi"/>
                <w:sz w:val="20"/>
                <w:szCs w:val="20"/>
              </w:rPr>
            </w:pPr>
            <w:r w:rsidRPr="001459A4">
              <w:rPr>
                <w:rFonts w:eastAsia="Times New Roman" w:cstheme="majorBidi"/>
                <w:color w:val="000000" w:themeColor="text1"/>
                <w:sz w:val="20"/>
                <w:szCs w:val="20"/>
              </w:rPr>
              <w:t>Real estate developer</w:t>
            </w:r>
          </w:p>
        </w:tc>
        <w:tc>
          <w:tcPr>
            <w:tcW w:w="4410" w:type="dxa"/>
            <w:gridSpan w:val="2"/>
          </w:tcPr>
          <w:p w14:paraId="181942D3" w14:textId="77777777" w:rsidR="00C36E90" w:rsidRPr="001459A4" w:rsidRDefault="00C36E90" w:rsidP="004C4582">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1459A4">
              <w:rPr>
                <w:rFonts w:eastAsia="Times New Roman" w:cstheme="majorBidi"/>
                <w:sz w:val="20"/>
                <w:szCs w:val="20"/>
              </w:rPr>
              <w:t>10.2%</w:t>
            </w:r>
          </w:p>
        </w:tc>
      </w:tr>
      <w:tr w:rsidR="00C36E90" w:rsidRPr="001459A4" w14:paraId="2AA0F5B9" w14:textId="77777777" w:rsidTr="004C4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5E33FC2B" w14:textId="77777777" w:rsidR="00C36E90" w:rsidRPr="001459A4" w:rsidRDefault="00C36E90" w:rsidP="004C4582">
            <w:pPr>
              <w:rPr>
                <w:rFonts w:cstheme="majorBidi"/>
                <w:sz w:val="20"/>
                <w:szCs w:val="20"/>
              </w:rPr>
            </w:pPr>
            <w:r w:rsidRPr="53F012C9">
              <w:rPr>
                <w:rFonts w:ascii="Times New Roman" w:eastAsia="Times New Roman" w:hAnsi="Times New Roman" w:cs="Times New Roman"/>
                <w:color w:val="000000" w:themeColor="text1"/>
                <w:sz w:val="24"/>
                <w:szCs w:val="24"/>
              </w:rPr>
              <w:t>Broker</w:t>
            </w:r>
          </w:p>
        </w:tc>
        <w:tc>
          <w:tcPr>
            <w:tcW w:w="4410" w:type="dxa"/>
            <w:gridSpan w:val="2"/>
          </w:tcPr>
          <w:p w14:paraId="0B5DDAD6" w14:textId="77777777" w:rsidR="00C36E90" w:rsidRPr="001459A4" w:rsidRDefault="00C36E90" w:rsidP="004C4582">
            <w:pP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1459A4">
              <w:rPr>
                <w:rFonts w:eastAsia="Times New Roman" w:cstheme="majorBidi"/>
                <w:color w:val="000000" w:themeColor="text1"/>
                <w:sz w:val="20"/>
                <w:szCs w:val="20"/>
                <w:lang w:bidi="ar-EG"/>
              </w:rPr>
              <w:t>8</w:t>
            </w:r>
            <w:r w:rsidRPr="001459A4">
              <w:rPr>
                <w:rFonts w:eastAsia="Times New Roman" w:cstheme="majorBidi"/>
                <w:color w:val="000000" w:themeColor="text1"/>
                <w:sz w:val="20"/>
                <w:szCs w:val="20"/>
              </w:rPr>
              <w:t>8.3%</w:t>
            </w:r>
          </w:p>
        </w:tc>
      </w:tr>
      <w:tr w:rsidR="00C36E90" w:rsidRPr="001459A4" w14:paraId="0DA78BB8" w14:textId="77777777" w:rsidTr="004C4582">
        <w:tc>
          <w:tcPr>
            <w:cnfStyle w:val="001000000000" w:firstRow="0" w:lastRow="0" w:firstColumn="1" w:lastColumn="0" w:oddVBand="0" w:evenVBand="0" w:oddHBand="0" w:evenHBand="0" w:firstRowFirstColumn="0" w:firstRowLastColumn="0" w:lastRowFirstColumn="0" w:lastRowLastColumn="0"/>
            <w:tcW w:w="4140" w:type="dxa"/>
          </w:tcPr>
          <w:p w14:paraId="7BFF7399" w14:textId="77777777" w:rsidR="00C36E90" w:rsidRPr="001459A4" w:rsidRDefault="00C36E90" w:rsidP="004C4582">
            <w:pPr>
              <w:rPr>
                <w:rFonts w:cstheme="majorBidi"/>
                <w:sz w:val="20"/>
                <w:szCs w:val="20"/>
              </w:rPr>
            </w:pPr>
            <w:r w:rsidRPr="001459A4">
              <w:rPr>
                <w:rFonts w:eastAsia="Times New Roman" w:cstheme="majorBidi"/>
                <w:color w:val="000000" w:themeColor="text1"/>
                <w:sz w:val="20"/>
                <w:szCs w:val="20"/>
              </w:rPr>
              <w:t>contractor</w:t>
            </w:r>
          </w:p>
        </w:tc>
        <w:tc>
          <w:tcPr>
            <w:tcW w:w="4410" w:type="dxa"/>
            <w:gridSpan w:val="2"/>
          </w:tcPr>
          <w:p w14:paraId="1202BA08" w14:textId="77777777" w:rsidR="00C36E90" w:rsidRPr="001459A4" w:rsidRDefault="00C36E90" w:rsidP="004C4582">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1459A4">
              <w:rPr>
                <w:rFonts w:eastAsia="Times New Roman" w:cstheme="majorBidi"/>
                <w:sz w:val="20"/>
                <w:szCs w:val="20"/>
              </w:rPr>
              <w:t>1.2%</w:t>
            </w:r>
          </w:p>
        </w:tc>
      </w:tr>
      <w:tr w:rsidR="00C36E90" w:rsidRPr="001459A4" w14:paraId="142DF9E8" w14:textId="77777777" w:rsidTr="004C4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6FA7B7E8" w14:textId="77777777" w:rsidR="00C36E90" w:rsidRPr="001459A4" w:rsidRDefault="00C36E90" w:rsidP="004C4582">
            <w:pPr>
              <w:rPr>
                <w:rFonts w:cstheme="majorBidi"/>
                <w:sz w:val="20"/>
                <w:szCs w:val="20"/>
              </w:rPr>
            </w:pPr>
            <w:r w:rsidRPr="001459A4">
              <w:rPr>
                <w:rFonts w:eastAsia="Times New Roman" w:cstheme="majorBidi"/>
                <w:color w:val="000000" w:themeColor="text1"/>
                <w:sz w:val="20"/>
                <w:szCs w:val="20"/>
              </w:rPr>
              <w:t>Other</w:t>
            </w:r>
          </w:p>
        </w:tc>
        <w:tc>
          <w:tcPr>
            <w:tcW w:w="4410" w:type="dxa"/>
            <w:gridSpan w:val="2"/>
          </w:tcPr>
          <w:p w14:paraId="1047239D" w14:textId="77777777" w:rsidR="00C36E90" w:rsidRPr="001459A4" w:rsidRDefault="00C36E90" w:rsidP="004C4582">
            <w:pPr>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1459A4">
              <w:rPr>
                <w:rFonts w:eastAsia="Times New Roman" w:cstheme="majorBidi"/>
                <w:color w:val="000000" w:themeColor="text1"/>
                <w:sz w:val="20"/>
                <w:szCs w:val="20"/>
                <w:lang w:bidi="ar-EG"/>
              </w:rPr>
              <w:t>0</w:t>
            </w:r>
            <w:r w:rsidRPr="001459A4">
              <w:rPr>
                <w:rFonts w:eastAsia="Times New Roman" w:cstheme="majorBidi"/>
                <w:color w:val="000000" w:themeColor="text1"/>
                <w:sz w:val="20"/>
                <w:szCs w:val="20"/>
              </w:rPr>
              <w:t>.2%</w:t>
            </w:r>
          </w:p>
        </w:tc>
      </w:tr>
    </w:tbl>
    <w:p w14:paraId="5048200B" w14:textId="5653E8B7" w:rsidR="00C36E90" w:rsidRDefault="00C36E90" w:rsidP="001A5572">
      <w:pPr>
        <w:spacing w:line="276" w:lineRule="auto"/>
        <w:jc w:val="both"/>
        <w:rPr>
          <w:rFonts w:cstheme="majorBidi"/>
          <w:sz w:val="24"/>
          <w:szCs w:val="24"/>
        </w:rPr>
      </w:pPr>
    </w:p>
    <w:p w14:paraId="16CEC323" w14:textId="037F5C4B" w:rsidR="00A671E0" w:rsidRDefault="00A671E0" w:rsidP="001A5572">
      <w:pPr>
        <w:spacing w:line="276" w:lineRule="auto"/>
        <w:jc w:val="both"/>
        <w:rPr>
          <w:rFonts w:cstheme="majorBidi"/>
          <w:sz w:val="24"/>
          <w:szCs w:val="24"/>
        </w:rPr>
      </w:pPr>
    </w:p>
    <w:p w14:paraId="1F9839C8" w14:textId="0CFA225C" w:rsidR="00AE3AD5" w:rsidRDefault="00AE3AD5" w:rsidP="001A5572">
      <w:pPr>
        <w:spacing w:line="276" w:lineRule="auto"/>
        <w:jc w:val="both"/>
        <w:rPr>
          <w:rFonts w:cstheme="majorBidi"/>
          <w:sz w:val="24"/>
          <w:szCs w:val="24"/>
        </w:rPr>
      </w:pPr>
    </w:p>
    <w:p w14:paraId="0646EBF1" w14:textId="49EE9D8D" w:rsidR="00AE3AD5" w:rsidRDefault="00AE3AD5" w:rsidP="001A5572">
      <w:pPr>
        <w:spacing w:line="276" w:lineRule="auto"/>
        <w:jc w:val="both"/>
        <w:rPr>
          <w:rFonts w:cstheme="majorBidi"/>
          <w:sz w:val="24"/>
          <w:szCs w:val="24"/>
        </w:rPr>
      </w:pPr>
    </w:p>
    <w:p w14:paraId="5964C98F" w14:textId="11F6D6AA" w:rsidR="00AE3AD5" w:rsidRDefault="00AE3AD5" w:rsidP="001A5572">
      <w:pPr>
        <w:spacing w:line="276" w:lineRule="auto"/>
        <w:jc w:val="both"/>
        <w:rPr>
          <w:rFonts w:cstheme="majorBidi"/>
          <w:sz w:val="24"/>
          <w:szCs w:val="24"/>
        </w:rPr>
      </w:pPr>
    </w:p>
    <w:p w14:paraId="1D61EB0A" w14:textId="52A75915" w:rsidR="00AE3AD5" w:rsidRDefault="00AE3AD5" w:rsidP="001A5572">
      <w:pPr>
        <w:spacing w:line="276" w:lineRule="auto"/>
        <w:jc w:val="both"/>
        <w:rPr>
          <w:rFonts w:cstheme="majorBidi"/>
          <w:sz w:val="24"/>
          <w:szCs w:val="24"/>
        </w:rPr>
      </w:pPr>
    </w:p>
    <w:p w14:paraId="3E0EF81E" w14:textId="25CBB0CD" w:rsidR="00AE3AD5" w:rsidRDefault="00AE3AD5" w:rsidP="001A5572">
      <w:pPr>
        <w:spacing w:line="276" w:lineRule="auto"/>
        <w:jc w:val="both"/>
        <w:rPr>
          <w:rFonts w:cstheme="majorBidi"/>
          <w:sz w:val="24"/>
          <w:szCs w:val="24"/>
        </w:rPr>
      </w:pPr>
    </w:p>
    <w:p w14:paraId="52089836" w14:textId="58CD1D5F" w:rsidR="00AE3AD5" w:rsidRDefault="00AE3AD5" w:rsidP="001A5572">
      <w:pPr>
        <w:spacing w:line="276" w:lineRule="auto"/>
        <w:jc w:val="both"/>
        <w:rPr>
          <w:rFonts w:cstheme="majorBidi"/>
          <w:sz w:val="24"/>
          <w:szCs w:val="24"/>
        </w:rPr>
      </w:pPr>
    </w:p>
    <w:p w14:paraId="37ADB136" w14:textId="3029E09A" w:rsidR="00AE3AD5" w:rsidRDefault="00AE3AD5" w:rsidP="001A5572">
      <w:pPr>
        <w:spacing w:line="276" w:lineRule="auto"/>
        <w:jc w:val="both"/>
        <w:rPr>
          <w:rFonts w:cstheme="majorBidi"/>
          <w:sz w:val="24"/>
          <w:szCs w:val="24"/>
        </w:rPr>
      </w:pPr>
    </w:p>
    <w:p w14:paraId="25127C38" w14:textId="4D51C1FB" w:rsidR="00AE3AD5" w:rsidRDefault="00AE3AD5" w:rsidP="001A5572">
      <w:pPr>
        <w:spacing w:line="276" w:lineRule="auto"/>
        <w:jc w:val="both"/>
        <w:rPr>
          <w:rFonts w:cstheme="majorBidi"/>
          <w:sz w:val="24"/>
          <w:szCs w:val="24"/>
        </w:rPr>
      </w:pPr>
    </w:p>
    <w:sectPr w:rsidR="00AE3AD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F40A9" w14:textId="77777777" w:rsidR="00331FF1" w:rsidRDefault="00331FF1" w:rsidP="00F825D4">
      <w:pPr>
        <w:spacing w:after="0" w:line="240" w:lineRule="auto"/>
      </w:pPr>
      <w:r>
        <w:separator/>
      </w:r>
    </w:p>
  </w:endnote>
  <w:endnote w:type="continuationSeparator" w:id="0">
    <w:p w14:paraId="19464011" w14:textId="77777777" w:rsidR="00331FF1" w:rsidRDefault="00331FF1" w:rsidP="00F825D4">
      <w:pPr>
        <w:spacing w:after="0" w:line="240" w:lineRule="auto"/>
      </w:pPr>
      <w:r>
        <w:continuationSeparator/>
      </w:r>
    </w:p>
  </w:endnote>
  <w:endnote w:type="continuationNotice" w:id="1">
    <w:p w14:paraId="287A9AF4" w14:textId="77777777" w:rsidR="00331FF1" w:rsidRDefault="00331F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quot;Times New Roman&quot;,serif">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khbar MT">
    <w:altName w:val="Times New Roman"/>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raditional Arabic">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ookAntiqua-Bold">
    <w:altName w:val="Cambria"/>
    <w:panose1 w:val="00000000000000000000"/>
    <w:charset w:val="00"/>
    <w:family w:val="roman"/>
    <w:notTrueType/>
    <w:pitch w:val="default"/>
    <w:sig w:usb0="00000003" w:usb1="00000000" w:usb2="00000000" w:usb3="00000000" w:csb0="00000001" w:csb1="00000000"/>
  </w:font>
  <w:font w:name="BookAntiqua">
    <w:altName w:val="Cambria"/>
    <w:panose1 w:val="00000000000000000000"/>
    <w:charset w:val="00"/>
    <w:family w:val="roman"/>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9229349"/>
      <w:docPartObj>
        <w:docPartGallery w:val="Page Numbers (Bottom of Page)"/>
        <w:docPartUnique/>
      </w:docPartObj>
    </w:sdtPr>
    <w:sdtContent>
      <w:p w14:paraId="24ADBA4E" w14:textId="67A97044" w:rsidR="00032DA6" w:rsidRDefault="00032DA6" w:rsidP="00744B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088963" w14:textId="77777777" w:rsidR="00032DA6" w:rsidRDefault="00032DA6" w:rsidP="00032D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3784415"/>
      <w:docPartObj>
        <w:docPartGallery w:val="Page Numbers (Bottom of Page)"/>
        <w:docPartUnique/>
      </w:docPartObj>
    </w:sdtPr>
    <w:sdtContent>
      <w:p w14:paraId="32AE895D" w14:textId="16D4FD21" w:rsidR="00032DA6" w:rsidRDefault="00032DA6" w:rsidP="00744B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5AE97C82" w14:textId="77777777" w:rsidR="00032DA6" w:rsidRDefault="00032DA6" w:rsidP="00032D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38BB5" w14:textId="77777777" w:rsidR="00331FF1" w:rsidRDefault="00331FF1" w:rsidP="00F825D4">
      <w:pPr>
        <w:spacing w:after="0" w:line="240" w:lineRule="auto"/>
      </w:pPr>
      <w:r>
        <w:separator/>
      </w:r>
    </w:p>
  </w:footnote>
  <w:footnote w:type="continuationSeparator" w:id="0">
    <w:p w14:paraId="17F9A3D9" w14:textId="77777777" w:rsidR="00331FF1" w:rsidRDefault="00331FF1" w:rsidP="00F825D4">
      <w:pPr>
        <w:spacing w:after="0" w:line="240" w:lineRule="auto"/>
      </w:pPr>
      <w:r>
        <w:continuationSeparator/>
      </w:r>
    </w:p>
  </w:footnote>
  <w:footnote w:type="continuationNotice" w:id="1">
    <w:p w14:paraId="6FF9E6AD" w14:textId="77777777" w:rsidR="00331FF1" w:rsidRDefault="00331FF1">
      <w:pPr>
        <w:spacing w:after="0" w:line="240" w:lineRule="auto"/>
      </w:pPr>
    </w:p>
  </w:footnote>
  <w:footnote w:id="2">
    <w:p w14:paraId="26AC0D58" w14:textId="77777777" w:rsidR="009F0968" w:rsidRPr="00A6182B" w:rsidRDefault="009F0968" w:rsidP="009F0968">
      <w:pPr>
        <w:pStyle w:val="FootnoteText"/>
      </w:pPr>
      <w:r w:rsidRPr="00A6182B">
        <w:rPr>
          <w:rStyle w:val="FootnoteReference"/>
        </w:rPr>
        <w:footnoteRef/>
      </w:r>
      <w:r w:rsidRPr="00A6182B">
        <w:t xml:space="preserve"> Economics Department, The British University in Egypt.</w:t>
      </w:r>
    </w:p>
  </w:footnote>
  <w:footnote w:id="3">
    <w:p w14:paraId="3188B7A5" w14:textId="6C30933D" w:rsidR="009F0968" w:rsidRPr="00A6182B" w:rsidRDefault="009F0968" w:rsidP="009F0968">
      <w:pPr>
        <w:pStyle w:val="FootnoteText"/>
      </w:pPr>
      <w:r w:rsidRPr="00A6182B">
        <w:rPr>
          <w:rStyle w:val="FootnoteReference"/>
        </w:rPr>
        <w:footnoteRef/>
      </w:r>
      <w:r w:rsidRPr="00A6182B">
        <w:t xml:space="preserve"> B</w:t>
      </w:r>
      <w:r w:rsidR="00524DC9">
        <w:t>s</w:t>
      </w:r>
      <w:r w:rsidRPr="00A6182B">
        <w:t>usiness Department, The British University in Egypt.</w:t>
      </w:r>
    </w:p>
  </w:footnote>
  <w:footnote w:id="4">
    <w:p w14:paraId="427639CE" w14:textId="77777777" w:rsidR="006E3374" w:rsidRPr="00A94A4C" w:rsidRDefault="006E3374" w:rsidP="006E3374">
      <w:pPr>
        <w:pStyle w:val="FootnoteText"/>
        <w:spacing w:line="276" w:lineRule="auto"/>
        <w:jc w:val="both"/>
        <w:rPr>
          <w:rFonts w:asciiTheme="majorBidi" w:hAnsiTheme="majorBidi" w:cstheme="majorBidi"/>
          <w:lang w:val="en-GB"/>
        </w:rPr>
      </w:pPr>
      <w:r w:rsidRPr="00A94A4C">
        <w:rPr>
          <w:rStyle w:val="FootnoteReference"/>
          <w:rFonts w:asciiTheme="majorBidi" w:hAnsiTheme="majorBidi" w:cstheme="majorBidi"/>
        </w:rPr>
        <w:footnoteRef/>
      </w:r>
      <w:r w:rsidRPr="00A94A4C">
        <w:rPr>
          <w:rFonts w:asciiTheme="majorBidi" w:hAnsiTheme="majorBidi" w:cstheme="majorBidi"/>
        </w:rPr>
        <w:t xml:space="preserve"> </w:t>
      </w:r>
      <w:r w:rsidRPr="00A94A4C">
        <w:rPr>
          <w:rFonts w:asciiTheme="majorBidi" w:hAnsiTheme="majorBidi" w:cstheme="majorBidi"/>
          <w:lang w:val="en-GB"/>
        </w:rPr>
        <w:t>It is important to note that higher real interest rates will have an adverse impact on both housing supply and demand due to the higher cost of debt-financing. Thus, if the adverse impact of real interest rate on housing supply exceeds that of demand, housing stock will fall to an extent that creates upward pressures on prices. Meanwhile, if adverse repercussions on housing demand is greater, housing prices will fall (</w:t>
      </w:r>
      <w:r w:rsidRPr="00A94A4C">
        <w:rPr>
          <w:rFonts w:asciiTheme="majorBidi" w:hAnsiTheme="majorBidi" w:cstheme="majorBidi"/>
          <w:color w:val="222222"/>
          <w:shd w:val="clear" w:color="auto" w:fill="FFFFFF"/>
        </w:rPr>
        <w:t>Zhang</w:t>
      </w:r>
      <w:r w:rsidRPr="00A94A4C">
        <w:rPr>
          <w:rFonts w:asciiTheme="majorBidi" w:hAnsiTheme="majorBidi" w:cstheme="majorBidi"/>
          <w:color w:val="222222"/>
          <w:shd w:val="clear" w:color="auto" w:fill="FFFFFF"/>
          <w:lang w:val="en-GB"/>
        </w:rPr>
        <w:t xml:space="preserve"> et al., </w:t>
      </w:r>
      <w:r w:rsidRPr="00A94A4C">
        <w:rPr>
          <w:rFonts w:asciiTheme="majorBidi" w:hAnsiTheme="majorBidi" w:cstheme="majorBidi"/>
          <w:color w:val="222222"/>
          <w:shd w:val="clear" w:color="auto" w:fill="FFFFFF"/>
        </w:rPr>
        <w:t>2016).</w:t>
      </w:r>
    </w:p>
  </w:footnote>
  <w:footnote w:id="5">
    <w:p w14:paraId="4C947D56" w14:textId="0243E2A4" w:rsidR="006E3374" w:rsidRPr="003B2BD5" w:rsidRDefault="006E3374" w:rsidP="006E3374">
      <w:pPr>
        <w:pStyle w:val="FootnoteText"/>
        <w:spacing w:line="276" w:lineRule="auto"/>
        <w:jc w:val="both"/>
        <w:rPr>
          <w:rFonts w:asciiTheme="minorBidi" w:hAnsiTheme="minorBidi" w:cstheme="minorBidi"/>
          <w:lang w:val="en-GB"/>
        </w:rPr>
      </w:pPr>
      <w:r w:rsidRPr="00A94A4C">
        <w:rPr>
          <w:rStyle w:val="FootnoteReference"/>
          <w:rFonts w:asciiTheme="majorBidi" w:hAnsiTheme="majorBidi" w:cstheme="majorBidi"/>
        </w:rPr>
        <w:footnoteRef/>
      </w:r>
      <w:r w:rsidRPr="00A94A4C">
        <w:rPr>
          <w:rFonts w:asciiTheme="majorBidi" w:hAnsiTheme="majorBidi" w:cstheme="majorBidi"/>
        </w:rPr>
        <w:t xml:space="preserve"> </w:t>
      </w:r>
      <w:r w:rsidRPr="00A94A4C">
        <w:rPr>
          <w:rFonts w:asciiTheme="majorBidi" w:hAnsiTheme="majorBidi" w:cstheme="majorBidi"/>
          <w:lang w:val="en-GB"/>
        </w:rPr>
        <w:t xml:space="preserve">Using a Vector Autoregression (VAR) on U.S. monthly data during the period 1963 – 1999, </w:t>
      </w:r>
      <w:r w:rsidRPr="00A94A4C">
        <w:rPr>
          <w:rFonts w:asciiTheme="majorBidi" w:hAnsiTheme="majorBidi" w:cstheme="majorBidi"/>
          <w:color w:val="000000" w:themeColor="text1"/>
        </w:rPr>
        <w:t>Lastrapes</w:t>
      </w:r>
      <w:r w:rsidRPr="00A94A4C">
        <w:rPr>
          <w:rFonts w:asciiTheme="majorBidi" w:hAnsiTheme="majorBidi" w:cstheme="majorBidi"/>
          <w:color w:val="000000" w:themeColor="text1"/>
          <w:lang w:val="en-GB"/>
        </w:rPr>
        <w:t xml:space="preserve"> (</w:t>
      </w:r>
      <w:r w:rsidRPr="00A94A4C">
        <w:rPr>
          <w:rFonts w:asciiTheme="majorBidi" w:hAnsiTheme="majorBidi" w:cstheme="majorBidi"/>
          <w:color w:val="000000" w:themeColor="text1"/>
        </w:rPr>
        <w:t>2002</w:t>
      </w:r>
      <w:r w:rsidRPr="00A94A4C">
        <w:rPr>
          <w:rFonts w:asciiTheme="majorBidi" w:hAnsiTheme="majorBidi" w:cstheme="majorBidi"/>
          <w:color w:val="000000" w:themeColor="text1"/>
          <w:lang w:val="en-GB"/>
        </w:rPr>
        <w:t xml:space="preserve">) </w:t>
      </w:r>
      <w:r w:rsidR="6EA7D7CB" w:rsidRPr="6EA7D7CB">
        <w:rPr>
          <w:rFonts w:asciiTheme="majorBidi" w:hAnsiTheme="majorBidi" w:cstheme="majorBidi"/>
          <w:color w:val="000000" w:themeColor="text1"/>
          <w:lang w:val="en-GB"/>
        </w:rPr>
        <w:t>Concluded</w:t>
      </w:r>
      <w:r w:rsidRPr="00A94A4C">
        <w:rPr>
          <w:rFonts w:asciiTheme="majorBidi" w:hAnsiTheme="majorBidi" w:cstheme="majorBidi"/>
          <w:color w:val="000000" w:themeColor="text1"/>
          <w:lang w:val="en-GB"/>
        </w:rPr>
        <w:t xml:space="preserve"> that monetary shocks have real effects on the housing market where an expansionary shock to the money supply creates an upward pressure on real housing prices and sales.</w:t>
      </w:r>
    </w:p>
  </w:footnote>
  <w:footnote w:id="6">
    <w:p w14:paraId="7A108CED" w14:textId="77777777" w:rsidR="00DB00BE" w:rsidRPr="00A94A4C" w:rsidRDefault="00DB00BE" w:rsidP="00DB00BE">
      <w:pPr>
        <w:pStyle w:val="FootnoteText"/>
        <w:spacing w:line="276" w:lineRule="auto"/>
        <w:jc w:val="both"/>
        <w:rPr>
          <w:rFonts w:asciiTheme="majorBidi" w:hAnsiTheme="majorBidi" w:cstheme="majorBidi"/>
          <w:color w:val="000000" w:themeColor="text1"/>
          <w:lang w:val="en-GB"/>
        </w:rPr>
      </w:pPr>
      <w:r w:rsidRPr="00A94A4C">
        <w:rPr>
          <w:rStyle w:val="FootnoteReference"/>
          <w:rFonts w:asciiTheme="majorBidi" w:hAnsiTheme="majorBidi" w:cstheme="majorBidi"/>
          <w:color w:val="000000" w:themeColor="text1"/>
        </w:rPr>
        <w:footnoteRef/>
      </w:r>
      <w:r w:rsidRPr="00A94A4C">
        <w:rPr>
          <w:rFonts w:asciiTheme="majorBidi" w:hAnsiTheme="majorBidi" w:cstheme="majorBidi"/>
          <w:color w:val="000000" w:themeColor="text1"/>
        </w:rPr>
        <w:t xml:space="preserve"> </w:t>
      </w:r>
      <w:r w:rsidRPr="00A94A4C">
        <w:rPr>
          <w:rFonts w:asciiTheme="majorBidi" w:hAnsiTheme="majorBidi" w:cstheme="majorBidi"/>
          <w:color w:val="000000" w:themeColor="text1"/>
          <w:shd w:val="clear" w:color="auto" w:fill="FFFFFF"/>
        </w:rPr>
        <w:t>Hlaváček</w:t>
      </w:r>
      <w:r w:rsidRPr="00A94A4C">
        <w:rPr>
          <w:rFonts w:asciiTheme="majorBidi" w:hAnsiTheme="majorBidi" w:cstheme="majorBidi"/>
          <w:color w:val="000000" w:themeColor="text1"/>
          <w:shd w:val="clear" w:color="auto" w:fill="FFFFFF"/>
          <w:lang w:val="en-GB"/>
        </w:rPr>
        <w:t xml:space="preserve"> </w:t>
      </w:r>
      <w:r w:rsidRPr="00A94A4C">
        <w:rPr>
          <w:rFonts w:asciiTheme="majorBidi" w:hAnsiTheme="majorBidi" w:cstheme="majorBidi"/>
          <w:color w:val="000000" w:themeColor="text1"/>
          <w:shd w:val="clear" w:color="auto" w:fill="FFFFFF"/>
        </w:rPr>
        <w:t>&amp; Komárek</w:t>
      </w:r>
      <w:r w:rsidRPr="00A94A4C">
        <w:rPr>
          <w:rFonts w:asciiTheme="majorBidi" w:hAnsiTheme="majorBidi" w:cstheme="majorBidi"/>
          <w:color w:val="000000" w:themeColor="text1"/>
          <w:shd w:val="clear" w:color="auto" w:fill="FFFFFF"/>
          <w:lang w:val="en-GB"/>
        </w:rPr>
        <w:t xml:space="preserve"> (</w:t>
      </w:r>
      <w:r w:rsidRPr="00A94A4C">
        <w:rPr>
          <w:rFonts w:asciiTheme="majorBidi" w:hAnsiTheme="majorBidi" w:cstheme="majorBidi"/>
          <w:color w:val="000000" w:themeColor="text1"/>
          <w:shd w:val="clear" w:color="auto" w:fill="FFFFFF"/>
        </w:rPr>
        <w:t>2011</w:t>
      </w:r>
      <w:r w:rsidRPr="00A94A4C">
        <w:rPr>
          <w:rFonts w:asciiTheme="majorBidi" w:hAnsiTheme="majorBidi" w:cstheme="majorBidi"/>
          <w:color w:val="000000" w:themeColor="text1"/>
          <w:shd w:val="clear" w:color="auto" w:fill="FFFFFF"/>
          <w:lang w:val="en-GB"/>
        </w:rPr>
        <w:t>) also argues that divorce and marriage rates will affect housing prices since both generate a need for more dwellings.</w:t>
      </w:r>
    </w:p>
  </w:footnote>
  <w:footnote w:id="7">
    <w:p w14:paraId="67FB47F2" w14:textId="77777777" w:rsidR="00DB00BE" w:rsidRPr="007B215E" w:rsidRDefault="00DB00BE" w:rsidP="00DB00BE">
      <w:pPr>
        <w:pStyle w:val="FootnoteText"/>
        <w:spacing w:line="276" w:lineRule="auto"/>
        <w:jc w:val="both"/>
        <w:rPr>
          <w:rFonts w:asciiTheme="minorBidi" w:hAnsiTheme="minorBidi" w:cstheme="minorBidi"/>
          <w:color w:val="000000" w:themeColor="text1"/>
          <w:lang w:val="en-GB"/>
        </w:rPr>
      </w:pPr>
      <w:r w:rsidRPr="007B215E">
        <w:rPr>
          <w:rStyle w:val="FootnoteReference"/>
          <w:rFonts w:asciiTheme="majorBidi" w:hAnsiTheme="majorBidi" w:cstheme="majorBidi"/>
          <w:color w:val="000000" w:themeColor="text1"/>
        </w:rPr>
        <w:footnoteRef/>
      </w:r>
      <w:r w:rsidRPr="007B215E">
        <w:rPr>
          <w:rFonts w:asciiTheme="majorBidi" w:hAnsiTheme="majorBidi" w:cstheme="majorBidi"/>
          <w:color w:val="000000" w:themeColor="text1"/>
        </w:rPr>
        <w:t xml:space="preserve"> </w:t>
      </w:r>
      <w:r w:rsidRPr="007B215E">
        <w:rPr>
          <w:rFonts w:asciiTheme="majorBidi" w:hAnsiTheme="majorBidi" w:cstheme="majorBidi"/>
          <w:color w:val="000000" w:themeColor="text1"/>
          <w:lang w:val="en-GB"/>
        </w:rPr>
        <w:t xml:space="preserve">Supporting the life-cycle investment hypothesis, </w:t>
      </w:r>
      <w:r w:rsidRPr="007B215E">
        <w:rPr>
          <w:rFonts w:asciiTheme="majorBidi" w:hAnsiTheme="majorBidi" w:cstheme="majorBidi"/>
          <w:color w:val="000000" w:themeColor="text1"/>
          <w:shd w:val="clear" w:color="auto" w:fill="FFFFFF"/>
        </w:rPr>
        <w:t>Mankiw &amp; Weil (1989</w:t>
      </w:r>
      <w:r w:rsidRPr="007B215E">
        <w:rPr>
          <w:rFonts w:asciiTheme="majorBidi" w:hAnsiTheme="majorBidi" w:cstheme="majorBidi"/>
          <w:color w:val="000000" w:themeColor="text1"/>
          <w:shd w:val="clear" w:color="auto" w:fill="FFFFFF"/>
          <w:lang w:val="en-GB"/>
        </w:rPr>
        <w:t>) utilised cross-sectional data and found that housing prices dramatically increased in the United States between 1970 and 1980 because baby boomers aged.</w:t>
      </w:r>
    </w:p>
  </w:footnote>
  <w:footnote w:id="8">
    <w:p w14:paraId="2E0405D4" w14:textId="77777777" w:rsidR="00DB00BE" w:rsidRPr="00A94A4C" w:rsidRDefault="00DB00BE" w:rsidP="00DB00BE">
      <w:pPr>
        <w:pStyle w:val="FootnoteText"/>
        <w:spacing w:line="276" w:lineRule="auto"/>
        <w:jc w:val="both"/>
        <w:rPr>
          <w:rFonts w:asciiTheme="majorBidi" w:hAnsiTheme="majorBidi" w:cstheme="majorBidi"/>
        </w:rPr>
      </w:pPr>
      <w:r w:rsidRPr="007B215E">
        <w:rPr>
          <w:rStyle w:val="FootnoteReference"/>
          <w:rFonts w:asciiTheme="majorBidi" w:hAnsiTheme="majorBidi" w:cstheme="majorBidi"/>
          <w:color w:val="000000" w:themeColor="text1"/>
        </w:rPr>
        <w:footnoteRef/>
      </w:r>
      <w:r w:rsidRPr="007B215E">
        <w:rPr>
          <w:rFonts w:asciiTheme="majorBidi" w:hAnsiTheme="majorBidi" w:cstheme="majorBidi"/>
          <w:color w:val="000000" w:themeColor="text1"/>
        </w:rPr>
        <w:t xml:space="preserve"> </w:t>
      </w:r>
      <w:r w:rsidRPr="007B215E">
        <w:rPr>
          <w:rFonts w:asciiTheme="majorBidi" w:hAnsiTheme="majorBidi" w:cstheme="majorBidi"/>
          <w:color w:val="000000" w:themeColor="text1"/>
          <w:shd w:val="clear" w:color="auto" w:fill="FFFFFF"/>
          <w:lang w:val="en-GB"/>
        </w:rPr>
        <w:t xml:space="preserve">Zhang et al. (2012) refers to this as a </w:t>
      </w:r>
      <w:r w:rsidRPr="007B215E">
        <w:rPr>
          <w:rFonts w:asciiTheme="majorBidi" w:hAnsiTheme="majorBidi" w:cstheme="majorBidi"/>
          <w:i/>
          <w:iCs/>
          <w:color w:val="000000" w:themeColor="text1"/>
          <w:shd w:val="clear" w:color="auto" w:fill="FFFFFF"/>
          <w:lang w:val="en-GB"/>
        </w:rPr>
        <w:t>“user cost push”</w:t>
      </w:r>
      <w:r w:rsidRPr="007B215E">
        <w:rPr>
          <w:rFonts w:asciiTheme="majorBidi" w:hAnsiTheme="majorBidi" w:cstheme="majorBidi"/>
          <w:color w:val="000000" w:themeColor="text1"/>
          <w:shd w:val="clear" w:color="auto" w:fill="FFFFFF"/>
          <w:lang w:val="en-GB"/>
        </w:rPr>
        <w:t xml:space="preserve"> since market rents are simply the opportunity cost of owner-occupied dwellings.</w:t>
      </w:r>
    </w:p>
  </w:footnote>
  <w:footnote w:id="9">
    <w:p w14:paraId="6B60539B" w14:textId="3A622F20" w:rsidR="00DB00BE" w:rsidRPr="007B215E" w:rsidRDefault="00DB00BE" w:rsidP="00DB00BE">
      <w:pPr>
        <w:spacing w:line="276" w:lineRule="auto"/>
        <w:jc w:val="both"/>
        <w:rPr>
          <w:rFonts w:cstheme="majorBidi"/>
          <w:color w:val="000000" w:themeColor="text1"/>
          <w:sz w:val="20"/>
          <w:szCs w:val="20"/>
          <w:lang w:val="en-GB"/>
        </w:rPr>
      </w:pPr>
      <w:r w:rsidRPr="007B215E">
        <w:rPr>
          <w:rStyle w:val="FootnoteReference"/>
          <w:rFonts w:cstheme="majorBidi"/>
          <w:color w:val="000000" w:themeColor="text1"/>
          <w:sz w:val="20"/>
          <w:szCs w:val="20"/>
        </w:rPr>
        <w:footnoteRef/>
      </w:r>
      <w:r w:rsidRPr="007B215E">
        <w:rPr>
          <w:rFonts w:cstheme="majorBidi"/>
          <w:color w:val="000000" w:themeColor="text1"/>
          <w:sz w:val="20"/>
          <w:szCs w:val="20"/>
        </w:rPr>
        <w:t xml:space="preserve"> </w:t>
      </w:r>
      <w:r w:rsidRPr="007B215E">
        <w:rPr>
          <w:rFonts w:cstheme="majorBidi"/>
          <w:color w:val="000000" w:themeColor="text1"/>
          <w:sz w:val="20"/>
          <w:szCs w:val="20"/>
          <w:lang w:val="en-GB"/>
        </w:rPr>
        <w:t xml:space="preserve">To a certain extent, this speculation is inherent in the housing market </w:t>
      </w:r>
      <w:r w:rsidR="00AC0954" w:rsidRPr="007B215E">
        <w:rPr>
          <w:rFonts w:cstheme="majorBidi"/>
          <w:color w:val="000000" w:themeColor="text1"/>
          <w:sz w:val="20"/>
          <w:szCs w:val="20"/>
          <w:lang w:val="en-GB"/>
        </w:rPr>
        <w:t>because of</w:t>
      </w:r>
      <w:r w:rsidRPr="007B215E">
        <w:rPr>
          <w:rFonts w:cstheme="majorBidi"/>
          <w:color w:val="000000" w:themeColor="text1"/>
          <w:sz w:val="20"/>
          <w:szCs w:val="20"/>
          <w:lang w:val="en-GB"/>
        </w:rPr>
        <w:t xml:space="preserve"> the construction lag (Toome, 2018).</w:t>
      </w:r>
    </w:p>
  </w:footnote>
  <w:footnote w:id="10">
    <w:p w14:paraId="697446FC" w14:textId="77777777" w:rsidR="00DB00BE" w:rsidRPr="0025777D" w:rsidRDefault="00DB00BE" w:rsidP="00DB00BE">
      <w:pPr>
        <w:pStyle w:val="FootnoteText"/>
        <w:spacing w:line="276" w:lineRule="auto"/>
        <w:jc w:val="both"/>
        <w:rPr>
          <w:lang w:val="en-GB"/>
        </w:rPr>
      </w:pPr>
      <w:r w:rsidRPr="007B215E">
        <w:rPr>
          <w:rStyle w:val="FootnoteReference"/>
          <w:rFonts w:asciiTheme="majorBidi" w:hAnsiTheme="majorBidi" w:cstheme="majorBidi"/>
          <w:color w:val="000000" w:themeColor="text1"/>
        </w:rPr>
        <w:footnoteRef/>
      </w:r>
      <w:r w:rsidRPr="007B215E">
        <w:rPr>
          <w:rFonts w:asciiTheme="majorBidi" w:hAnsiTheme="majorBidi" w:cstheme="majorBidi"/>
          <w:color w:val="000000" w:themeColor="text1"/>
        </w:rPr>
        <w:t xml:space="preserve"> </w:t>
      </w:r>
      <w:r w:rsidRPr="007B215E">
        <w:rPr>
          <w:rFonts w:asciiTheme="majorBidi" w:hAnsiTheme="majorBidi" w:cstheme="majorBidi"/>
          <w:color w:val="000000" w:themeColor="text1"/>
          <w:lang w:val="en-GB"/>
        </w:rPr>
        <w:t xml:space="preserve">In his book </w:t>
      </w:r>
      <w:r w:rsidRPr="007B215E">
        <w:rPr>
          <w:rFonts w:asciiTheme="majorBidi" w:hAnsiTheme="majorBidi" w:cstheme="majorBidi"/>
          <w:i/>
          <w:iCs/>
          <w:color w:val="000000" w:themeColor="text1"/>
          <w:lang w:val="en-GB"/>
        </w:rPr>
        <w:t>“Irrational Exuberance”</w:t>
      </w:r>
      <w:r w:rsidRPr="007B215E">
        <w:rPr>
          <w:rFonts w:asciiTheme="majorBidi" w:hAnsiTheme="majorBidi" w:cstheme="majorBidi"/>
          <w:color w:val="000000" w:themeColor="text1"/>
          <w:lang w:val="en-GB"/>
        </w:rPr>
        <w:t>, Shiller (2000) provides a basis of this feedback mechanism of speculative bubbles from several principles of sociology and psychology including framing, heuristics, and myopic loss-aversion – among other things.</w:t>
      </w:r>
    </w:p>
  </w:footnote>
  <w:footnote w:id="11">
    <w:p w14:paraId="2CD41E1F" w14:textId="77777777" w:rsidR="00DB00BE" w:rsidRPr="00A94A4C" w:rsidRDefault="00DB00BE" w:rsidP="00DB00BE">
      <w:pPr>
        <w:pStyle w:val="FootnoteText"/>
        <w:spacing w:line="276" w:lineRule="auto"/>
        <w:jc w:val="both"/>
        <w:rPr>
          <w:rFonts w:asciiTheme="majorBidi" w:hAnsiTheme="majorBidi" w:cstheme="majorBidi"/>
          <w:lang w:val="en-GB"/>
        </w:rPr>
      </w:pPr>
      <w:r w:rsidRPr="007B215E">
        <w:rPr>
          <w:rStyle w:val="FootnoteReference"/>
          <w:rFonts w:asciiTheme="majorBidi" w:hAnsiTheme="majorBidi" w:cstheme="majorBidi"/>
          <w:color w:val="000000" w:themeColor="text1"/>
        </w:rPr>
        <w:footnoteRef/>
      </w:r>
      <w:r w:rsidRPr="007B215E">
        <w:rPr>
          <w:rFonts w:asciiTheme="majorBidi" w:hAnsiTheme="majorBidi" w:cstheme="majorBidi"/>
          <w:color w:val="000000" w:themeColor="text1"/>
        </w:rPr>
        <w:t xml:space="preserve"> </w:t>
      </w:r>
      <w:r w:rsidRPr="007B215E">
        <w:rPr>
          <w:rFonts w:asciiTheme="majorBidi" w:hAnsiTheme="majorBidi" w:cstheme="majorBidi"/>
          <w:color w:val="000000" w:themeColor="text1"/>
          <w:lang w:val="en-GB"/>
        </w:rPr>
        <w:t>A dummy variable that takes the value of 1 if an individual chooses to own the house and 0 if s/he chooses to rent the house (</w:t>
      </w:r>
      <w:r w:rsidRPr="007B215E">
        <w:rPr>
          <w:rFonts w:asciiTheme="majorBidi" w:hAnsiTheme="majorBidi" w:cstheme="majorBidi"/>
          <w:color w:val="000000" w:themeColor="text1"/>
          <w:shd w:val="clear" w:color="auto" w:fill="FFFFFF"/>
        </w:rPr>
        <w:t>Iwarere</w:t>
      </w:r>
      <w:r w:rsidRPr="007B215E">
        <w:rPr>
          <w:rFonts w:asciiTheme="majorBidi" w:hAnsiTheme="majorBidi" w:cstheme="majorBidi"/>
          <w:color w:val="000000" w:themeColor="text1"/>
          <w:shd w:val="clear" w:color="auto" w:fill="FFFFFF"/>
          <w:lang w:val="en-GB"/>
        </w:rPr>
        <w:t xml:space="preserve">, </w:t>
      </w:r>
      <w:r w:rsidRPr="007B215E">
        <w:rPr>
          <w:rFonts w:asciiTheme="majorBidi" w:hAnsiTheme="majorBidi" w:cstheme="majorBidi"/>
          <w:color w:val="000000" w:themeColor="text1"/>
          <w:shd w:val="clear" w:color="auto" w:fill="FFFFFF"/>
        </w:rPr>
        <w:t>1991)</w:t>
      </w:r>
      <w:r w:rsidRPr="007B215E">
        <w:rPr>
          <w:rFonts w:asciiTheme="majorBidi" w:hAnsiTheme="majorBidi" w:cstheme="majorBidi"/>
          <w:color w:val="000000" w:themeColor="text1"/>
          <w:shd w:val="clear" w:color="auto" w:fill="FFFFFF"/>
          <w:lang w:val="en-GB"/>
        </w:rPr>
        <w:t>.</w:t>
      </w:r>
    </w:p>
  </w:footnote>
  <w:footnote w:id="12">
    <w:p w14:paraId="783C7CEE" w14:textId="77777777" w:rsidR="00EF0B0F" w:rsidRDefault="00EF0B0F" w:rsidP="00EF0B0F">
      <w:pPr>
        <w:pStyle w:val="FootnoteText"/>
      </w:pPr>
      <w:r w:rsidRPr="505F5DC3">
        <w:rPr>
          <w:rStyle w:val="FootnoteReference"/>
        </w:rPr>
        <w:footnoteRef/>
      </w:r>
      <w:r w:rsidRPr="505F5DC3">
        <w:t xml:space="preserve"> </w:t>
      </w:r>
      <w:hyperlink r:id="rId1" w:history="1">
        <w:r w:rsidRPr="007F04A5">
          <w:rPr>
            <w:rStyle w:val="Hyperlink"/>
            <w:rFonts w:eastAsiaTheme="majorEastAsia"/>
          </w:rPr>
          <w:t>CAPMAS</w:t>
        </w:r>
      </w:hyperlink>
    </w:p>
  </w:footnote>
  <w:footnote w:id="13">
    <w:p w14:paraId="4391ABA6" w14:textId="77777777" w:rsidR="00EF0B0F" w:rsidRDefault="00EF0B0F" w:rsidP="00EF0B0F">
      <w:pPr>
        <w:pStyle w:val="FootnoteText"/>
      </w:pPr>
      <w:r>
        <w:rPr>
          <w:rStyle w:val="FootnoteReference"/>
        </w:rPr>
        <w:footnoteRef/>
      </w:r>
      <w:r>
        <w:t xml:space="preserve"> </w:t>
      </w:r>
      <w:hyperlink r:id="rId2" w:history="1">
        <w:r w:rsidRPr="00DD38CD">
          <w:rPr>
            <w:rStyle w:val="Hyperlink"/>
            <w:rFonts w:eastAsiaTheme="majorEastAsia"/>
          </w:rPr>
          <w:t>http://www.tasheed.org/ar/Default.aspx</w:t>
        </w:r>
      </w:hyperlink>
      <w:r>
        <w:t xml:space="preserve"> </w:t>
      </w:r>
    </w:p>
  </w:footnote>
  <w:footnote w:id="14">
    <w:p w14:paraId="0D1DBCA3" w14:textId="77777777" w:rsidR="008B7B37" w:rsidRDefault="008B7B37" w:rsidP="008B7B37">
      <w:pPr>
        <w:pStyle w:val="FootnoteText"/>
      </w:pPr>
      <w:r w:rsidRPr="008B7B37">
        <w:rPr>
          <w:rStyle w:val="FootnoteReference"/>
          <w:color w:val="FF0000"/>
        </w:rPr>
        <w:footnoteRef/>
      </w:r>
      <w:r w:rsidRPr="008B7B37">
        <w:rPr>
          <w:color w:val="FF0000"/>
        </w:rPr>
        <w:t xml:space="preserve"> Refer to the decision.</w:t>
      </w:r>
    </w:p>
  </w:footnote>
  <w:footnote w:id="15">
    <w:p w14:paraId="1F30ADF3" w14:textId="22CC45AE" w:rsidR="00422194" w:rsidRPr="003E47C4" w:rsidRDefault="00422194" w:rsidP="003E47C4">
      <w:pPr>
        <w:spacing w:after="0"/>
        <w:jc w:val="both"/>
        <w:rPr>
          <w:sz w:val="18"/>
          <w:szCs w:val="18"/>
        </w:rPr>
      </w:pPr>
      <w:r w:rsidRPr="00330DF2">
        <w:rPr>
          <w:rStyle w:val="FootnoteReference"/>
          <w:sz w:val="18"/>
          <w:szCs w:val="18"/>
        </w:rPr>
        <w:footnoteRef/>
      </w:r>
      <w:r w:rsidRPr="00330DF2">
        <w:rPr>
          <w:sz w:val="18"/>
          <w:szCs w:val="18"/>
        </w:rPr>
        <w:t xml:space="preserve"> Assumptions of the Ordinal Logistic Model </w:t>
      </w:r>
      <w:r w:rsidR="00330DF2" w:rsidRPr="00330DF2">
        <w:rPr>
          <w:sz w:val="18"/>
          <w:szCs w:val="18"/>
        </w:rPr>
        <w:t xml:space="preserve">are: </w:t>
      </w:r>
      <w:r w:rsidR="00330DF2">
        <w:rPr>
          <w:sz w:val="18"/>
          <w:szCs w:val="18"/>
        </w:rPr>
        <w:t xml:space="preserve">(1) </w:t>
      </w:r>
      <w:r w:rsidR="00330DF2" w:rsidRPr="00330DF2">
        <w:rPr>
          <w:rFonts w:ascii="Times New Roman" w:eastAsia="Times New Roman" w:hAnsi="Times New Roman" w:cs="Times New Roman"/>
          <w:sz w:val="18"/>
          <w:szCs w:val="18"/>
        </w:rPr>
        <w:t>The dependent variable should be measured at an ordinal level</w:t>
      </w:r>
      <w:r w:rsidR="00330DF2" w:rsidRPr="00330DF2">
        <w:rPr>
          <w:rFonts w:cs="Times New Roman"/>
          <w:sz w:val="18"/>
          <w:szCs w:val="18"/>
        </w:rPr>
        <w:t xml:space="preserve">, </w:t>
      </w:r>
      <w:r w:rsidR="00330DF2">
        <w:rPr>
          <w:rFonts w:cs="Times New Roman"/>
          <w:sz w:val="18"/>
          <w:szCs w:val="18"/>
        </w:rPr>
        <w:t xml:space="preserve">(2) </w:t>
      </w:r>
      <w:r w:rsidR="00330DF2" w:rsidRPr="00330DF2">
        <w:rPr>
          <w:rFonts w:ascii="Times New Roman" w:eastAsia="Times New Roman" w:hAnsi="Times New Roman" w:cs="Times New Roman"/>
          <w:sz w:val="18"/>
          <w:szCs w:val="18"/>
        </w:rPr>
        <w:t xml:space="preserve">Ordinal </w:t>
      </w:r>
      <w:r w:rsidR="00330DF2" w:rsidRPr="003E47C4">
        <w:rPr>
          <w:rFonts w:ascii="Times New Roman" w:eastAsia="Times New Roman" w:hAnsi="Times New Roman" w:cs="Times New Roman"/>
          <w:sz w:val="18"/>
          <w:szCs w:val="18"/>
        </w:rPr>
        <w:t>independent variables must be either continuous or categorical</w:t>
      </w:r>
      <w:r w:rsidR="00330DF2" w:rsidRPr="003E47C4">
        <w:rPr>
          <w:rFonts w:cs="Times New Roman"/>
          <w:sz w:val="18"/>
          <w:szCs w:val="18"/>
        </w:rPr>
        <w:t xml:space="preserve">, (3) </w:t>
      </w:r>
      <w:r w:rsidR="00330DF2" w:rsidRPr="003E47C4">
        <w:rPr>
          <w:rFonts w:ascii="Times New Roman" w:eastAsia="Times New Roman" w:hAnsi="Times New Roman" w:cs="Times New Roman"/>
          <w:sz w:val="18"/>
          <w:szCs w:val="18"/>
        </w:rPr>
        <w:t>there is no multicollinearity between independent variables and (4) he effects of any explanatory variables are consistent or proportional across the different thresholds.</w:t>
      </w:r>
    </w:p>
  </w:footnote>
  <w:footnote w:id="16">
    <w:p w14:paraId="5A3D7C43" w14:textId="6CCF523D" w:rsidR="00E00E07" w:rsidRDefault="00E00E07" w:rsidP="003E47C4">
      <w:pPr>
        <w:pStyle w:val="FootnoteText"/>
      </w:pPr>
      <w:r w:rsidRPr="003E47C4">
        <w:rPr>
          <w:rStyle w:val="FootnoteReference"/>
          <w:sz w:val="18"/>
          <w:szCs w:val="18"/>
        </w:rPr>
        <w:footnoteRef/>
      </w:r>
      <w:r w:rsidRPr="003E47C4">
        <w:rPr>
          <w:sz w:val="18"/>
          <w:szCs w:val="18"/>
        </w:rPr>
        <w:t xml:space="preserve"> </w:t>
      </w:r>
      <w:r w:rsidR="003E47C4" w:rsidRPr="003E47C4">
        <w:rPr>
          <w:rStyle w:val="A10"/>
          <w:rFonts w:cstheme="majorBidi"/>
          <w:sz w:val="18"/>
          <w:szCs w:val="18"/>
        </w:rPr>
        <w:t>The odds ratio indicates how many times more or less is the likelihood of one event being investigated with respect to another event being investigated and is calculated by getting the exponential for β (Salmi et. al. 2015).</w:t>
      </w:r>
    </w:p>
  </w:footnote>
</w:footnotes>
</file>

<file path=word/intelligence.xml><?xml version="1.0" encoding="utf-8"?>
<int:Intelligence xmlns:int="http://schemas.microsoft.com/office/intelligence/2019/intelligence">
  <int:IntelligenceSettings/>
  <int:Manifest>
    <int:WordHash hashCode="0P/rPZsKliW48Q" id="x6WlsNXB"/>
    <int:WordHash hashCode="ZoUe1q+L2Sn317" id="jJDatNwl"/>
    <int:WordHash hashCode="couLyjKZuxfHz7" id="kwVYTrdH"/>
    <int:WordHash hashCode="aethHimhuF/SsJ" id="kxyUNjkm"/>
    <int:WordHash hashCode="ewnzblLx/mgkkY" id="2CCffwNw"/>
    <int:WordHash hashCode="EzLx4n30Agzz1V" id="DMggENZj"/>
    <int:WordHash hashCode="Y99EWfsDNfr33Z" id="FLtZC55V"/>
    <int:WordHash hashCode="ologMKHUzwoXQa" id="fMoBt65J"/>
    <int:WordHash hashCode="KxgFIlqlVWubra" id="75H2tEcG"/>
    <int:WordHash hashCode="OAG9ovE02FRD2u" id="YzXUMptV"/>
    <int:WordHash hashCode="ES8nSBibrYsrGO" id="3ynioRdP"/>
    <int:WordHash hashCode="5sJ5r0wwtrbNJG" id="O2ZQxtYb"/>
    <int:WordHash hashCode="jXyFe8D12RlEPp" id="rv1YSNVk"/>
    <int:WordHash hashCode="BC3EUS+j05HFFw" id="FqicNBLc"/>
    <int:WordHash hashCode="L8mVKVtfF4NPVG" id="0InVhsI9"/>
    <int:WordHash hashCode="67JgVn/BQ6RU0T" id="GTMFiyRS"/>
    <int:WordHash hashCode="3XN0QlTz9BIIZg" id="X1YkYiwJ"/>
    <int:WordHash hashCode="/s+P4U0VnlDoP4" id="bTtLJJmW"/>
    <int:WordHash hashCode="TGTBO3mdmEc9q5" id="iuiREzW2"/>
    <int:WordHash hashCode="zy8W0wWzDiG5E+" id="AC6TP87V"/>
    <int:WordHash hashCode="SWsIZ29UKpUZAC" id="GI5j8MCv"/>
    <int:WordHash hashCode="Soqfwx3BWkuHux" id="z3MMxl7r"/>
    <int:WordHash hashCode="l9BIPv+vhmeenp" id="L0mtWQn7"/>
    <int:WordHash hashCode="tbnbIixWwmOC0V" id="auTQ9Ykv"/>
    <int:WordHash hashCode="jgJC45bAswdHGd" id="9NY4Ech3"/>
    <int:WordHash hashCode="ytDk+EtM9LvA1a" id="Xz8LZKre"/>
    <int:WordHash hashCode="Yb+r/K2KGlbjZn" id="oNvkLFKQ"/>
    <int:WordHash hashCode="6FXP8dXjstTg+r" id="pl8fatod"/>
    <int:WordHash hashCode="qEvb9uZdH6QZal" id="9ErRSuz1"/>
    <int:WordHash hashCode="MupSuJdxtNtOoE" id="rtfPjc1o"/>
    <int:WordHash hashCode="/msXZ6imUolwAt" id="IwSgBaiH"/>
    <int:WordHash hashCode="nOVbsJxCbHBEnQ" id="wReWO8no"/>
    <int:WordHash hashCode="KPU85XmWvThah8" id="FaJSyot3"/>
    <int:WordHash hashCode="+bQd6ecdsp4a6x" id="AaVMvHdU"/>
    <int:WordHash hashCode="MsxXqJNMVktaXz" id="sqXMCsYA"/>
    <int:WordHash hashCode="srHml3zqFdzwuJ" id="hZ3nLQX3"/>
    <int:WordHash hashCode="QpQxGXTsPTjpZr" id="i9TNxmjJ"/>
    <int:WordHash hashCode="2elOoCRPcXazsg" id="kcQz8OhV"/>
    <int:WordHash hashCode="fVvXzXhBGKup/C" id="QDtmRAmh"/>
    <int:WordHash hashCode="NvMTonB7+o4O2u" id="vkyLmwgr"/>
    <int:WordHash hashCode="f/41lZY/Lzor9F" id="KO9Gskaq"/>
    <int:ParagraphRange paragraphId="1225679390" textId="1488440789" start="0" length="5" invalidationStart="0" invalidationLength="5" id="WpKGg85U"/>
    <int:ParagraphRange paragraphId="848907276" textId="2004318071" start="133" length="8" invalidationStart="133" invalidationLength="8" id="NOTVoi3R"/>
    <int:ParagraphRange paragraphId="244998908" textId="2004318071" start="71" length="8" invalidationStart="71" invalidationLength="8" id="0D6VsdUS"/>
    <int:ParagraphRange paragraphId="1874550216" textId="2004318071" start="162" length="15" invalidationStart="162" invalidationLength="15" id="s1p8zFFO"/>
    <int:ParagraphRange paragraphId="1416879654" textId="1083645352" start="33" length="6" invalidationStart="33" invalidationLength="6" id="16xyAfzi"/>
    <int:ParagraphRange paragraphId="1583714727" textId="1483200531" start="0" length="5" invalidationStart="0" invalidationLength="5" id="djIzpnil"/>
  </int:Manifest>
  <int:Observations>
    <int:Content id="x6WlsNXB">
      <int:Rejection type="LegacyProofing"/>
    </int:Content>
    <int:Content id="jJDatNwl">
      <int:Rejection type="LegacyProofing"/>
    </int:Content>
    <int:Content id="kwVYTrdH">
      <int:Rejection type="LegacyProofing"/>
    </int:Content>
    <int:Content id="kxyUNjkm">
      <int:Rejection type="LegacyProofing"/>
    </int:Content>
    <int:Content id="2CCffwNw">
      <int:Rejection type="LegacyProofing"/>
    </int:Content>
    <int:Content id="DMggENZj">
      <int:Rejection type="LegacyProofing"/>
    </int:Content>
    <int:Content id="FLtZC55V">
      <int:Rejection type="LegacyProofing"/>
    </int:Content>
    <int:Content id="fMoBt65J">
      <int:Rejection type="LegacyProofing"/>
    </int:Content>
    <int:Content id="75H2tEcG">
      <int:Rejection type="LegacyProofing"/>
    </int:Content>
    <int:Content id="YzXUMptV">
      <int:Rejection type="LegacyProofing"/>
    </int:Content>
    <int:Content id="3ynioRdP">
      <int:Rejection type="LegacyProofing"/>
    </int:Content>
    <int:Content id="O2ZQxtYb">
      <int:Rejection type="LegacyProofing"/>
    </int:Content>
    <int:Content id="rv1YSNVk">
      <int:Rejection type="LegacyProofing"/>
    </int:Content>
    <int:Content id="FqicNBLc">
      <int:Rejection type="LegacyProofing"/>
    </int:Content>
    <int:Content id="0InVhsI9">
      <int:Rejection type="LegacyProofing"/>
    </int:Content>
    <int:Content id="GTMFiyRS">
      <int:Rejection type="LegacyProofing"/>
    </int:Content>
    <int:Content id="X1YkYiwJ">
      <int:Rejection type="LegacyProofing"/>
    </int:Content>
    <int:Content id="bTtLJJmW">
      <int:Rejection type="LegacyProofing"/>
    </int:Content>
    <int:Content id="iuiREzW2">
      <int:Rejection type="LegacyProofing"/>
    </int:Content>
    <int:Content id="AC6TP87V">
      <int:Rejection type="LegacyProofing"/>
    </int:Content>
    <int:Content id="GI5j8MCv">
      <int:Rejection type="LegacyProofing"/>
    </int:Content>
    <int:Content id="z3MMxl7r">
      <int:Rejection type="LegacyProofing"/>
    </int:Content>
    <int:Content id="L0mtWQn7">
      <int:Rejection type="LegacyProofing"/>
    </int:Content>
    <int:Content id="auTQ9Ykv">
      <int:Rejection type="LegacyProofing"/>
    </int:Content>
    <int:Content id="9NY4Ech3">
      <int:Rejection type="LegacyProofing"/>
    </int:Content>
    <int:Content id="Xz8LZKre">
      <int:Rejection type="LegacyProofing"/>
    </int:Content>
    <int:Content id="oNvkLFKQ">
      <int:Rejection type="LegacyProofing"/>
    </int:Content>
    <int:Content id="pl8fatod">
      <int:Rejection type="LegacyProofing"/>
    </int:Content>
    <int:Content id="9ErRSuz1">
      <int:Rejection type="LegacyProofing"/>
    </int:Content>
    <int:Content id="rtfPjc1o">
      <int:Rejection type="LegacyProofing"/>
    </int:Content>
    <int:Content id="IwSgBaiH">
      <int:Rejection type="LegacyProofing"/>
    </int:Content>
    <int:Content id="wReWO8no">
      <int:Rejection type="LegacyProofing"/>
    </int:Content>
    <int:Content id="FaJSyot3">
      <int:Rejection type="LegacyProofing"/>
    </int:Content>
    <int:Content id="AaVMvHdU">
      <int:Rejection type="LegacyProofing"/>
    </int:Content>
    <int:Content id="sqXMCsYA">
      <int:Rejection type="LegacyProofing"/>
    </int:Content>
    <int:Content id="hZ3nLQX3">
      <int:Rejection type="LegacyProofing"/>
    </int:Content>
    <int:Content id="i9TNxmjJ">
      <int:Rejection type="LegacyProofing"/>
    </int:Content>
    <int:Content id="kcQz8OhV">
      <int:Rejection type="LegacyProofing"/>
    </int:Content>
    <int:Content id="QDtmRAmh">
      <int:Rejection type="LegacyProofing"/>
    </int:Content>
    <int:Content id="vkyLmwgr">
      <int:Rejection type="LegacyProofing"/>
    </int:Content>
    <int:Content id="KO9Gskaq">
      <int:Rejection type="LegacyProofing"/>
    </int:Content>
    <int:Content id="WpKGg85U">
      <int:Rejection type="LegacyProofing"/>
    </int:Content>
    <int:Content id="NOTVoi3R">
      <int:Rejection type="LegacyProofing"/>
    </int:Content>
    <int:Content id="0D6VsdUS">
      <int:Rejection type="LegacyProofing"/>
    </int:Content>
    <int:Content id="s1p8zFFO">
      <int:Rejection type="LegacyProofing"/>
    </int:Content>
    <int:Content id="16xyAfzi">
      <int:Rejection type="LegacyProofing"/>
    </int:Content>
    <int:Content id="djIzpnil">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21A"/>
    <w:multiLevelType w:val="hybridMultilevel"/>
    <w:tmpl w:val="F05EF290"/>
    <w:lvl w:ilvl="0" w:tplc="C7046FC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20644"/>
    <w:multiLevelType w:val="hybridMultilevel"/>
    <w:tmpl w:val="1CC2C632"/>
    <w:lvl w:ilvl="0" w:tplc="7E063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41DDD"/>
    <w:multiLevelType w:val="hybridMultilevel"/>
    <w:tmpl w:val="4036B4A8"/>
    <w:lvl w:ilvl="0" w:tplc="D9CABE12">
      <w:start w:val="7"/>
      <w:numFmt w:val="decimal"/>
      <w:lvlText w:val="%1."/>
      <w:lvlJc w:val="left"/>
      <w:pPr>
        <w:ind w:left="700" w:hanging="360"/>
      </w:pPr>
      <w:rPr>
        <w:rFonts w:ascii="Times New Roman" w:eastAsia="Times New Roman" w:hAnsi="Times New Roman" w:hint="default"/>
        <w:w w:val="102"/>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2B1A1B"/>
    <w:multiLevelType w:val="multilevel"/>
    <w:tmpl w:val="90907802"/>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none"/>
      <w:lvlText w:val="1.1.1."/>
      <w:lvlJc w:val="left"/>
      <w:pPr>
        <w:ind w:left="1134" w:hanging="680"/>
      </w:pPr>
      <w:rPr>
        <w:rFonts w:hint="default"/>
        <w:b/>
        <w:bCs/>
        <w:color w:val="000000" w:themeColor="text1"/>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7A35F0"/>
    <w:multiLevelType w:val="hybridMultilevel"/>
    <w:tmpl w:val="0BF89706"/>
    <w:lvl w:ilvl="0" w:tplc="2BEEA34E">
      <w:start w:val="1"/>
      <w:numFmt w:val="lowerLetter"/>
      <w:lvlText w:val="%1."/>
      <w:lvlJc w:val="left"/>
      <w:pPr>
        <w:ind w:left="900" w:hanging="360"/>
      </w:pPr>
      <w:rPr>
        <w:b w:val="0"/>
        <w:bCs w:val="0"/>
        <w:color w:val="2E74B5" w:themeColor="accent5" w:themeShade="BF"/>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FCC31DE"/>
    <w:multiLevelType w:val="hybridMultilevel"/>
    <w:tmpl w:val="F896495A"/>
    <w:lvl w:ilvl="0" w:tplc="0622AF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1F493D"/>
    <w:multiLevelType w:val="hybridMultilevel"/>
    <w:tmpl w:val="FFFFFFFF"/>
    <w:lvl w:ilvl="0" w:tplc="B9404EB0">
      <w:start w:val="5"/>
      <w:numFmt w:val="upperRoman"/>
      <w:lvlText w:val="%1."/>
      <w:lvlJc w:val="right"/>
      <w:pPr>
        <w:ind w:left="720" w:hanging="360"/>
      </w:pPr>
    </w:lvl>
    <w:lvl w:ilvl="1" w:tplc="2966B358">
      <w:start w:val="1"/>
      <w:numFmt w:val="lowerLetter"/>
      <w:lvlText w:val="%2."/>
      <w:lvlJc w:val="left"/>
      <w:pPr>
        <w:ind w:left="1440" w:hanging="360"/>
      </w:pPr>
    </w:lvl>
    <w:lvl w:ilvl="2" w:tplc="B8F40F4E">
      <w:start w:val="1"/>
      <w:numFmt w:val="lowerRoman"/>
      <w:lvlText w:val="%3."/>
      <w:lvlJc w:val="right"/>
      <w:pPr>
        <w:ind w:left="2160" w:hanging="180"/>
      </w:pPr>
    </w:lvl>
    <w:lvl w:ilvl="3" w:tplc="754C5B94">
      <w:start w:val="1"/>
      <w:numFmt w:val="decimal"/>
      <w:lvlText w:val="%4."/>
      <w:lvlJc w:val="left"/>
      <w:pPr>
        <w:ind w:left="2880" w:hanging="360"/>
      </w:pPr>
    </w:lvl>
    <w:lvl w:ilvl="4" w:tplc="B652E36A">
      <w:start w:val="1"/>
      <w:numFmt w:val="lowerLetter"/>
      <w:lvlText w:val="%5."/>
      <w:lvlJc w:val="left"/>
      <w:pPr>
        <w:ind w:left="3600" w:hanging="360"/>
      </w:pPr>
    </w:lvl>
    <w:lvl w:ilvl="5" w:tplc="EA2658AA">
      <w:start w:val="1"/>
      <w:numFmt w:val="lowerRoman"/>
      <w:lvlText w:val="%6."/>
      <w:lvlJc w:val="right"/>
      <w:pPr>
        <w:ind w:left="4320" w:hanging="180"/>
      </w:pPr>
    </w:lvl>
    <w:lvl w:ilvl="6" w:tplc="DC924F38">
      <w:start w:val="1"/>
      <w:numFmt w:val="decimal"/>
      <w:lvlText w:val="%7."/>
      <w:lvlJc w:val="left"/>
      <w:pPr>
        <w:ind w:left="5040" w:hanging="360"/>
      </w:pPr>
    </w:lvl>
    <w:lvl w:ilvl="7" w:tplc="A2AC2958">
      <w:start w:val="1"/>
      <w:numFmt w:val="lowerLetter"/>
      <w:lvlText w:val="%8."/>
      <w:lvlJc w:val="left"/>
      <w:pPr>
        <w:ind w:left="5760" w:hanging="360"/>
      </w:pPr>
    </w:lvl>
    <w:lvl w:ilvl="8" w:tplc="8DAC971A">
      <w:start w:val="1"/>
      <w:numFmt w:val="lowerRoman"/>
      <w:lvlText w:val="%9."/>
      <w:lvlJc w:val="right"/>
      <w:pPr>
        <w:ind w:left="6480" w:hanging="180"/>
      </w:pPr>
    </w:lvl>
  </w:abstractNum>
  <w:abstractNum w:abstractNumId="7" w15:restartNumberingAfterBreak="0">
    <w:nsid w:val="148435FD"/>
    <w:multiLevelType w:val="hybridMultilevel"/>
    <w:tmpl w:val="BF04A91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D6848EF"/>
    <w:multiLevelType w:val="hybridMultilevel"/>
    <w:tmpl w:val="7CB00BD8"/>
    <w:lvl w:ilvl="0" w:tplc="CA28FE9A">
      <w:start w:val="1"/>
      <w:numFmt w:val="upperLetter"/>
      <w:lvlText w:val="%1."/>
      <w:lvlJc w:val="left"/>
      <w:pPr>
        <w:ind w:left="720" w:hanging="360"/>
      </w:pPr>
    </w:lvl>
    <w:lvl w:ilvl="1" w:tplc="DC5AFCD0">
      <w:start w:val="1"/>
      <w:numFmt w:val="lowerLetter"/>
      <w:lvlText w:val="%2."/>
      <w:lvlJc w:val="left"/>
      <w:pPr>
        <w:ind w:left="1440" w:hanging="360"/>
      </w:pPr>
    </w:lvl>
    <w:lvl w:ilvl="2" w:tplc="703AC13E">
      <w:start w:val="1"/>
      <w:numFmt w:val="lowerRoman"/>
      <w:lvlText w:val="%3."/>
      <w:lvlJc w:val="right"/>
      <w:pPr>
        <w:ind w:left="2160" w:hanging="180"/>
      </w:pPr>
    </w:lvl>
    <w:lvl w:ilvl="3" w:tplc="DD86EF1C">
      <w:start w:val="1"/>
      <w:numFmt w:val="decimal"/>
      <w:lvlText w:val="%4."/>
      <w:lvlJc w:val="left"/>
      <w:pPr>
        <w:ind w:left="2880" w:hanging="360"/>
      </w:pPr>
    </w:lvl>
    <w:lvl w:ilvl="4" w:tplc="C2E088A0">
      <w:start w:val="1"/>
      <w:numFmt w:val="lowerLetter"/>
      <w:lvlText w:val="%5."/>
      <w:lvlJc w:val="left"/>
      <w:pPr>
        <w:ind w:left="3600" w:hanging="360"/>
      </w:pPr>
    </w:lvl>
    <w:lvl w:ilvl="5" w:tplc="CB00480E">
      <w:start w:val="1"/>
      <w:numFmt w:val="lowerRoman"/>
      <w:lvlText w:val="%6."/>
      <w:lvlJc w:val="right"/>
      <w:pPr>
        <w:ind w:left="4320" w:hanging="180"/>
      </w:pPr>
    </w:lvl>
    <w:lvl w:ilvl="6" w:tplc="9432DF36">
      <w:start w:val="1"/>
      <w:numFmt w:val="decimal"/>
      <w:lvlText w:val="%7."/>
      <w:lvlJc w:val="left"/>
      <w:pPr>
        <w:ind w:left="5040" w:hanging="360"/>
      </w:pPr>
    </w:lvl>
    <w:lvl w:ilvl="7" w:tplc="B48C159A">
      <w:start w:val="1"/>
      <w:numFmt w:val="lowerLetter"/>
      <w:lvlText w:val="%8."/>
      <w:lvlJc w:val="left"/>
      <w:pPr>
        <w:ind w:left="5760" w:hanging="360"/>
      </w:pPr>
    </w:lvl>
    <w:lvl w:ilvl="8" w:tplc="040C8E5C">
      <w:start w:val="1"/>
      <w:numFmt w:val="lowerRoman"/>
      <w:lvlText w:val="%9."/>
      <w:lvlJc w:val="right"/>
      <w:pPr>
        <w:ind w:left="6480" w:hanging="180"/>
      </w:pPr>
    </w:lvl>
  </w:abstractNum>
  <w:abstractNum w:abstractNumId="9" w15:restartNumberingAfterBreak="0">
    <w:nsid w:val="218471C2"/>
    <w:multiLevelType w:val="hybridMultilevel"/>
    <w:tmpl w:val="01463B7A"/>
    <w:lvl w:ilvl="0" w:tplc="2F3A3A54">
      <w:start w:val="1"/>
      <w:numFmt w:val="bullet"/>
      <w:lvlText w:val="-"/>
      <w:lvlJc w:val="left"/>
      <w:pPr>
        <w:ind w:left="720" w:hanging="360"/>
      </w:pPr>
      <w:rPr>
        <w:rFonts w:ascii="&quot;Times New Roman&quot;,serif" w:hAnsi="&quot;Times New Roman&quot;,serif" w:hint="default"/>
      </w:rPr>
    </w:lvl>
    <w:lvl w:ilvl="1" w:tplc="F42AB0C0">
      <w:start w:val="1"/>
      <w:numFmt w:val="bullet"/>
      <w:lvlText w:val="o"/>
      <w:lvlJc w:val="left"/>
      <w:pPr>
        <w:ind w:left="1440" w:hanging="360"/>
      </w:pPr>
      <w:rPr>
        <w:rFonts w:ascii="Courier New" w:hAnsi="Courier New" w:hint="default"/>
      </w:rPr>
    </w:lvl>
    <w:lvl w:ilvl="2" w:tplc="41BE6200">
      <w:start w:val="1"/>
      <w:numFmt w:val="bullet"/>
      <w:lvlText w:val=""/>
      <w:lvlJc w:val="left"/>
      <w:pPr>
        <w:ind w:left="2160" w:hanging="360"/>
      </w:pPr>
      <w:rPr>
        <w:rFonts w:ascii="Wingdings" w:hAnsi="Wingdings" w:hint="default"/>
      </w:rPr>
    </w:lvl>
    <w:lvl w:ilvl="3" w:tplc="1EFCED2E">
      <w:start w:val="1"/>
      <w:numFmt w:val="bullet"/>
      <w:lvlText w:val=""/>
      <w:lvlJc w:val="left"/>
      <w:pPr>
        <w:ind w:left="2880" w:hanging="360"/>
      </w:pPr>
      <w:rPr>
        <w:rFonts w:ascii="Symbol" w:hAnsi="Symbol" w:hint="default"/>
      </w:rPr>
    </w:lvl>
    <w:lvl w:ilvl="4" w:tplc="8E9EC7D6">
      <w:start w:val="1"/>
      <w:numFmt w:val="bullet"/>
      <w:lvlText w:val="o"/>
      <w:lvlJc w:val="left"/>
      <w:pPr>
        <w:ind w:left="3600" w:hanging="360"/>
      </w:pPr>
      <w:rPr>
        <w:rFonts w:ascii="Courier New" w:hAnsi="Courier New" w:hint="default"/>
      </w:rPr>
    </w:lvl>
    <w:lvl w:ilvl="5" w:tplc="0E263A0C">
      <w:start w:val="1"/>
      <w:numFmt w:val="bullet"/>
      <w:lvlText w:val=""/>
      <w:lvlJc w:val="left"/>
      <w:pPr>
        <w:ind w:left="4320" w:hanging="360"/>
      </w:pPr>
      <w:rPr>
        <w:rFonts w:ascii="Wingdings" w:hAnsi="Wingdings" w:hint="default"/>
      </w:rPr>
    </w:lvl>
    <w:lvl w:ilvl="6" w:tplc="613EDE1E">
      <w:start w:val="1"/>
      <w:numFmt w:val="bullet"/>
      <w:lvlText w:val=""/>
      <w:lvlJc w:val="left"/>
      <w:pPr>
        <w:ind w:left="5040" w:hanging="360"/>
      </w:pPr>
      <w:rPr>
        <w:rFonts w:ascii="Symbol" w:hAnsi="Symbol" w:hint="default"/>
      </w:rPr>
    </w:lvl>
    <w:lvl w:ilvl="7" w:tplc="DB7CBE7C">
      <w:start w:val="1"/>
      <w:numFmt w:val="bullet"/>
      <w:lvlText w:val="o"/>
      <w:lvlJc w:val="left"/>
      <w:pPr>
        <w:ind w:left="5760" w:hanging="360"/>
      </w:pPr>
      <w:rPr>
        <w:rFonts w:ascii="Courier New" w:hAnsi="Courier New" w:hint="default"/>
      </w:rPr>
    </w:lvl>
    <w:lvl w:ilvl="8" w:tplc="31FC1198">
      <w:start w:val="1"/>
      <w:numFmt w:val="bullet"/>
      <w:lvlText w:val=""/>
      <w:lvlJc w:val="left"/>
      <w:pPr>
        <w:ind w:left="6480" w:hanging="360"/>
      </w:pPr>
      <w:rPr>
        <w:rFonts w:ascii="Wingdings" w:hAnsi="Wingdings" w:hint="default"/>
      </w:rPr>
    </w:lvl>
  </w:abstractNum>
  <w:abstractNum w:abstractNumId="10" w15:restartNumberingAfterBreak="0">
    <w:nsid w:val="22125694"/>
    <w:multiLevelType w:val="hybridMultilevel"/>
    <w:tmpl w:val="789C9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008AF"/>
    <w:multiLevelType w:val="hybridMultilevel"/>
    <w:tmpl w:val="2416BBF4"/>
    <w:lvl w:ilvl="0" w:tplc="FFFFFFFF">
      <w:start w:val="1"/>
      <w:numFmt w:val="upperLetter"/>
      <w:lvlText w:val="%1."/>
      <w:lvlJc w:val="left"/>
      <w:pPr>
        <w:ind w:left="720" w:hanging="360"/>
      </w:pPr>
      <w:rPr>
        <w:b/>
        <w:b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B2372"/>
    <w:multiLevelType w:val="hybridMultilevel"/>
    <w:tmpl w:val="F7F4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632BCA"/>
    <w:multiLevelType w:val="hybridMultilevel"/>
    <w:tmpl w:val="500AEE2C"/>
    <w:lvl w:ilvl="0" w:tplc="A866DBE2">
      <w:start w:val="1"/>
      <w:numFmt w:val="lowerLetter"/>
      <w:lvlText w:val="%1."/>
      <w:lvlJc w:val="righ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6D6EA1"/>
    <w:multiLevelType w:val="hybridMultilevel"/>
    <w:tmpl w:val="356867A0"/>
    <w:lvl w:ilvl="0" w:tplc="C5165D7E">
      <w:start w:val="3"/>
      <w:numFmt w:val="lowerLetter"/>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EB5FE5"/>
    <w:multiLevelType w:val="hybridMultilevel"/>
    <w:tmpl w:val="B7B660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5E20C1"/>
    <w:multiLevelType w:val="hybridMultilevel"/>
    <w:tmpl w:val="70447A8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B054FE"/>
    <w:multiLevelType w:val="hybridMultilevel"/>
    <w:tmpl w:val="F8988410"/>
    <w:lvl w:ilvl="0" w:tplc="E278AE8E">
      <w:start w:val="69"/>
      <w:numFmt w:val="bullet"/>
      <w:lvlText w:val=""/>
      <w:lvlJc w:val="left"/>
      <w:pPr>
        <w:ind w:left="450" w:hanging="360"/>
      </w:pPr>
      <w:rPr>
        <w:rFonts w:ascii="Symbol" w:eastAsiaTheme="minorHAnsi" w:hAnsi="Symbol" w:cstheme="majorBidi"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2D804F32"/>
    <w:multiLevelType w:val="hybridMultilevel"/>
    <w:tmpl w:val="77A0D730"/>
    <w:lvl w:ilvl="0" w:tplc="E83CDF84">
      <w:start w:val="1"/>
      <w:numFmt w:val="decimal"/>
      <w:lvlText w:val="%1."/>
      <w:lvlJc w:val="left"/>
      <w:pPr>
        <w:ind w:left="700" w:hanging="360"/>
      </w:pPr>
      <w:rPr>
        <w:rFonts w:ascii="Times New Roman" w:eastAsia="Times New Roman" w:hAnsi="Times New Roman" w:hint="default"/>
        <w:w w:val="102"/>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1666CA"/>
    <w:multiLevelType w:val="hybridMultilevel"/>
    <w:tmpl w:val="8D9C3BCC"/>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847C8F"/>
    <w:multiLevelType w:val="hybridMultilevel"/>
    <w:tmpl w:val="62FA9C88"/>
    <w:lvl w:ilvl="0" w:tplc="F1EC8D54">
      <w:start w:val="1"/>
      <w:numFmt w:val="lowerRoman"/>
      <w:lvlText w:val="%1."/>
      <w:lvlJc w:val="right"/>
      <w:pPr>
        <w:ind w:left="81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481F6E"/>
    <w:multiLevelType w:val="hybridMultilevel"/>
    <w:tmpl w:val="7ABACCE2"/>
    <w:lvl w:ilvl="0" w:tplc="42FAF3AA">
      <w:start w:val="1"/>
      <w:numFmt w:val="upperRoman"/>
      <w:lvlText w:val="%1."/>
      <w:lvlJc w:val="right"/>
      <w:pPr>
        <w:ind w:left="360" w:hanging="360"/>
      </w:pPr>
      <w:rPr>
        <w:rFonts w:hint="default"/>
        <w:color w:val="2F5496" w:themeColor="accent1" w:themeShade="BF"/>
      </w:rPr>
    </w:lvl>
    <w:lvl w:ilvl="1" w:tplc="40600090">
      <w:start w:val="1"/>
      <w:numFmt w:val="lowerLetter"/>
      <w:lvlText w:val="%2."/>
      <w:lvlJc w:val="right"/>
      <w:pPr>
        <w:ind w:left="360" w:hanging="360"/>
      </w:pPr>
      <w:rPr>
        <w:rFonts w:hint="default"/>
        <w:color w:val="4472C4" w:themeColor="accen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467D83"/>
    <w:multiLevelType w:val="hybridMultilevel"/>
    <w:tmpl w:val="C734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0156AF"/>
    <w:multiLevelType w:val="hybridMultilevel"/>
    <w:tmpl w:val="626077F8"/>
    <w:lvl w:ilvl="0" w:tplc="0409001B">
      <w:start w:val="1"/>
      <w:numFmt w:val="lowerRoman"/>
      <w:lvlText w:val="%1."/>
      <w:lvlJc w:val="right"/>
      <w:pPr>
        <w:ind w:left="700" w:hanging="360"/>
      </w:pPr>
      <w:rPr>
        <w:rFonts w:hint="default"/>
        <w:color w:val="4472C4"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1517DC"/>
    <w:multiLevelType w:val="hybridMultilevel"/>
    <w:tmpl w:val="0338CF1A"/>
    <w:lvl w:ilvl="0" w:tplc="BDA041A0">
      <w:start w:val="2"/>
      <w:numFmt w:val="lowerLetter"/>
      <w:lvlText w:val="%1."/>
      <w:lvlJc w:val="right"/>
      <w:pPr>
        <w:ind w:left="778"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066C13"/>
    <w:multiLevelType w:val="hybridMultilevel"/>
    <w:tmpl w:val="09601FCC"/>
    <w:lvl w:ilvl="0" w:tplc="41A4C566">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1E084A"/>
    <w:multiLevelType w:val="hybridMultilevel"/>
    <w:tmpl w:val="2EF0F32C"/>
    <w:lvl w:ilvl="0" w:tplc="B1267B56">
      <w:start w:val="8"/>
      <w:numFmt w:val="decimal"/>
      <w:lvlText w:val="%1."/>
      <w:lvlJc w:val="left"/>
      <w:pPr>
        <w:ind w:left="700" w:hanging="360"/>
      </w:pPr>
      <w:rPr>
        <w:rFonts w:ascii="Times New Roman" w:eastAsia="Times New Roman" w:hAnsi="Times New Roman" w:hint="default"/>
        <w:w w:val="102"/>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8A56C3"/>
    <w:multiLevelType w:val="hybridMultilevel"/>
    <w:tmpl w:val="00588C08"/>
    <w:lvl w:ilvl="0" w:tplc="7D6659EC">
      <w:start w:val="2"/>
      <w:numFmt w:val="lowerLetter"/>
      <w:lvlText w:val="%1."/>
      <w:lvlJc w:val="right"/>
      <w:pPr>
        <w:ind w:left="357" w:hanging="357"/>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024D0F"/>
    <w:multiLevelType w:val="hybridMultilevel"/>
    <w:tmpl w:val="334AF830"/>
    <w:lvl w:ilvl="0" w:tplc="C1DE10AE">
      <w:start w:val="5"/>
      <w:numFmt w:val="upperRoman"/>
      <w:lvlText w:val="%1."/>
      <w:lvlJc w:val="right"/>
      <w:pPr>
        <w:ind w:left="357" w:hanging="357"/>
      </w:pPr>
      <w:rPr>
        <w:rFonts w:hint="default"/>
        <w:color w:val="2F5496" w:themeColor="accent1" w:themeShade="BF"/>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5F1A24"/>
    <w:multiLevelType w:val="hybridMultilevel"/>
    <w:tmpl w:val="AB6012FA"/>
    <w:lvl w:ilvl="0" w:tplc="0409001B">
      <w:start w:val="1"/>
      <w:numFmt w:val="lowerRoman"/>
      <w:lvlText w:val="%1."/>
      <w:lvlJc w:val="right"/>
      <w:pPr>
        <w:ind w:left="270" w:hanging="360"/>
      </w:pPr>
    </w:lvl>
    <w:lvl w:ilvl="1" w:tplc="08090019" w:tentative="1">
      <w:start w:val="1"/>
      <w:numFmt w:val="lowerLetter"/>
      <w:lvlText w:val="%2."/>
      <w:lvlJc w:val="left"/>
      <w:pPr>
        <w:ind w:left="990" w:hanging="360"/>
      </w:pPr>
    </w:lvl>
    <w:lvl w:ilvl="2" w:tplc="0809001B" w:tentative="1">
      <w:start w:val="1"/>
      <w:numFmt w:val="lowerRoman"/>
      <w:lvlText w:val="%3."/>
      <w:lvlJc w:val="right"/>
      <w:pPr>
        <w:ind w:left="1710" w:hanging="180"/>
      </w:pPr>
    </w:lvl>
    <w:lvl w:ilvl="3" w:tplc="0809000F" w:tentative="1">
      <w:start w:val="1"/>
      <w:numFmt w:val="decimal"/>
      <w:lvlText w:val="%4."/>
      <w:lvlJc w:val="left"/>
      <w:pPr>
        <w:ind w:left="2430" w:hanging="360"/>
      </w:pPr>
    </w:lvl>
    <w:lvl w:ilvl="4" w:tplc="08090019" w:tentative="1">
      <w:start w:val="1"/>
      <w:numFmt w:val="lowerLetter"/>
      <w:lvlText w:val="%5."/>
      <w:lvlJc w:val="left"/>
      <w:pPr>
        <w:ind w:left="3150" w:hanging="360"/>
      </w:pPr>
    </w:lvl>
    <w:lvl w:ilvl="5" w:tplc="0809001B" w:tentative="1">
      <w:start w:val="1"/>
      <w:numFmt w:val="lowerRoman"/>
      <w:lvlText w:val="%6."/>
      <w:lvlJc w:val="right"/>
      <w:pPr>
        <w:ind w:left="3870" w:hanging="180"/>
      </w:pPr>
    </w:lvl>
    <w:lvl w:ilvl="6" w:tplc="0809000F" w:tentative="1">
      <w:start w:val="1"/>
      <w:numFmt w:val="decimal"/>
      <w:lvlText w:val="%7."/>
      <w:lvlJc w:val="left"/>
      <w:pPr>
        <w:ind w:left="4590" w:hanging="360"/>
      </w:pPr>
    </w:lvl>
    <w:lvl w:ilvl="7" w:tplc="08090019" w:tentative="1">
      <w:start w:val="1"/>
      <w:numFmt w:val="lowerLetter"/>
      <w:lvlText w:val="%8."/>
      <w:lvlJc w:val="left"/>
      <w:pPr>
        <w:ind w:left="5310" w:hanging="360"/>
      </w:pPr>
    </w:lvl>
    <w:lvl w:ilvl="8" w:tplc="0809001B" w:tentative="1">
      <w:start w:val="1"/>
      <w:numFmt w:val="lowerRoman"/>
      <w:lvlText w:val="%9."/>
      <w:lvlJc w:val="right"/>
      <w:pPr>
        <w:ind w:left="6030" w:hanging="180"/>
      </w:pPr>
    </w:lvl>
  </w:abstractNum>
  <w:abstractNum w:abstractNumId="30" w15:restartNumberingAfterBreak="0">
    <w:nsid w:val="562D3B23"/>
    <w:multiLevelType w:val="hybridMultilevel"/>
    <w:tmpl w:val="F804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B963C1"/>
    <w:multiLevelType w:val="hybridMultilevel"/>
    <w:tmpl w:val="5AE09F2E"/>
    <w:lvl w:ilvl="0" w:tplc="F9F4A7C4">
      <w:start w:val="1"/>
      <w:numFmt w:val="none"/>
      <w:lvlText w:val="2.2."/>
      <w:lvlJc w:val="left"/>
      <w:pPr>
        <w:ind w:left="680" w:hanging="45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472C0A"/>
    <w:multiLevelType w:val="hybridMultilevel"/>
    <w:tmpl w:val="7BC6F2F2"/>
    <w:lvl w:ilvl="0" w:tplc="E278AE8E">
      <w:start w:val="69"/>
      <w:numFmt w:val="bullet"/>
      <w:lvlText w:val=""/>
      <w:lvlJc w:val="left"/>
      <w:pPr>
        <w:ind w:left="630" w:hanging="360"/>
      </w:pPr>
      <w:rPr>
        <w:rFonts w:ascii="Symbol" w:eastAsiaTheme="minorHAnsi" w:hAnsi="Symbol" w:cstheme="majorBidi"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5DA42947"/>
    <w:multiLevelType w:val="hybridMultilevel"/>
    <w:tmpl w:val="254893A0"/>
    <w:lvl w:ilvl="0" w:tplc="6040E386">
      <w:start w:val="1"/>
      <w:numFmt w:val="none"/>
      <w:lvlText w:val="2.1."/>
      <w:lvlJc w:val="left"/>
      <w:pPr>
        <w:ind w:left="680" w:hanging="45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2A4223"/>
    <w:multiLevelType w:val="hybridMultilevel"/>
    <w:tmpl w:val="FC746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166196"/>
    <w:multiLevelType w:val="hybridMultilevel"/>
    <w:tmpl w:val="20E67B7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1530AE3"/>
    <w:multiLevelType w:val="hybridMultilevel"/>
    <w:tmpl w:val="C9ECF320"/>
    <w:lvl w:ilvl="0" w:tplc="04090019">
      <w:start w:val="1"/>
      <w:numFmt w:val="lowerLetter"/>
      <w:lvlText w:val="%1."/>
      <w:lvlJc w:val="left"/>
      <w:pPr>
        <w:ind w:left="2080" w:hanging="360"/>
      </w:pPr>
    </w:lvl>
    <w:lvl w:ilvl="1" w:tplc="08090019" w:tentative="1">
      <w:start w:val="1"/>
      <w:numFmt w:val="lowerLetter"/>
      <w:lvlText w:val="%2."/>
      <w:lvlJc w:val="left"/>
      <w:pPr>
        <w:ind w:left="2800" w:hanging="360"/>
      </w:pPr>
    </w:lvl>
    <w:lvl w:ilvl="2" w:tplc="0809001B" w:tentative="1">
      <w:start w:val="1"/>
      <w:numFmt w:val="lowerRoman"/>
      <w:lvlText w:val="%3."/>
      <w:lvlJc w:val="right"/>
      <w:pPr>
        <w:ind w:left="3520" w:hanging="180"/>
      </w:pPr>
    </w:lvl>
    <w:lvl w:ilvl="3" w:tplc="0809000F" w:tentative="1">
      <w:start w:val="1"/>
      <w:numFmt w:val="decimal"/>
      <w:lvlText w:val="%4."/>
      <w:lvlJc w:val="left"/>
      <w:pPr>
        <w:ind w:left="4240" w:hanging="360"/>
      </w:pPr>
    </w:lvl>
    <w:lvl w:ilvl="4" w:tplc="08090019" w:tentative="1">
      <w:start w:val="1"/>
      <w:numFmt w:val="lowerLetter"/>
      <w:lvlText w:val="%5."/>
      <w:lvlJc w:val="left"/>
      <w:pPr>
        <w:ind w:left="4960" w:hanging="360"/>
      </w:pPr>
    </w:lvl>
    <w:lvl w:ilvl="5" w:tplc="0809001B" w:tentative="1">
      <w:start w:val="1"/>
      <w:numFmt w:val="lowerRoman"/>
      <w:lvlText w:val="%6."/>
      <w:lvlJc w:val="right"/>
      <w:pPr>
        <w:ind w:left="5680" w:hanging="180"/>
      </w:pPr>
    </w:lvl>
    <w:lvl w:ilvl="6" w:tplc="0809000F" w:tentative="1">
      <w:start w:val="1"/>
      <w:numFmt w:val="decimal"/>
      <w:lvlText w:val="%7."/>
      <w:lvlJc w:val="left"/>
      <w:pPr>
        <w:ind w:left="6400" w:hanging="360"/>
      </w:pPr>
    </w:lvl>
    <w:lvl w:ilvl="7" w:tplc="08090019" w:tentative="1">
      <w:start w:val="1"/>
      <w:numFmt w:val="lowerLetter"/>
      <w:lvlText w:val="%8."/>
      <w:lvlJc w:val="left"/>
      <w:pPr>
        <w:ind w:left="7120" w:hanging="360"/>
      </w:pPr>
    </w:lvl>
    <w:lvl w:ilvl="8" w:tplc="0809001B" w:tentative="1">
      <w:start w:val="1"/>
      <w:numFmt w:val="lowerRoman"/>
      <w:lvlText w:val="%9."/>
      <w:lvlJc w:val="right"/>
      <w:pPr>
        <w:ind w:left="7840" w:hanging="180"/>
      </w:pPr>
    </w:lvl>
  </w:abstractNum>
  <w:abstractNum w:abstractNumId="37" w15:restartNumberingAfterBreak="0">
    <w:nsid w:val="61AC54D2"/>
    <w:multiLevelType w:val="hybridMultilevel"/>
    <w:tmpl w:val="646E2C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3B4424D"/>
    <w:multiLevelType w:val="hybridMultilevel"/>
    <w:tmpl w:val="88DA9AA8"/>
    <w:lvl w:ilvl="0" w:tplc="053E849A">
      <w:start w:val="1"/>
      <w:numFmt w:val="decimal"/>
      <w:lvlText w:val="%1-"/>
      <w:lvlJc w:val="left"/>
      <w:pPr>
        <w:ind w:left="720" w:hanging="360"/>
      </w:pPr>
      <w:rPr>
        <w:rFonts w:asciiTheme="minorHAnsi" w:hAnsiTheme="minorHAnsi" w:cs="Akhbar MT" w:hint="default"/>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336D56"/>
    <w:multiLevelType w:val="hybridMultilevel"/>
    <w:tmpl w:val="A27857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584FFA"/>
    <w:multiLevelType w:val="hybridMultilevel"/>
    <w:tmpl w:val="94200E8A"/>
    <w:lvl w:ilvl="0" w:tplc="21E0F9C4">
      <w:start w:val="1"/>
      <w:numFmt w:val="decimal"/>
      <w:lvlText w:val="%1-"/>
      <w:lvlJc w:val="left"/>
      <w:pPr>
        <w:ind w:left="720" w:hanging="360"/>
      </w:pPr>
      <w:rPr>
        <w:rFonts w:asciiTheme="majorBidi" w:hAnsiTheme="majorBidi" w:cstheme="maj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7927C1"/>
    <w:multiLevelType w:val="hybridMultilevel"/>
    <w:tmpl w:val="D064061A"/>
    <w:lvl w:ilvl="0" w:tplc="D4D4478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751C7E"/>
    <w:multiLevelType w:val="hybridMultilevel"/>
    <w:tmpl w:val="6E900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8D35CC"/>
    <w:multiLevelType w:val="hybridMultilevel"/>
    <w:tmpl w:val="07A2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B747B4"/>
    <w:multiLevelType w:val="hybridMultilevel"/>
    <w:tmpl w:val="D30048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47291CE">
      <w:start w:val="1"/>
      <w:numFmt w:val="decimal"/>
      <w:lvlText w:val="%4-"/>
      <w:lvlJc w:val="left"/>
      <w:pPr>
        <w:ind w:left="2880" w:hanging="360"/>
      </w:pPr>
      <w:rPr>
        <w:rFonts w:hint="default"/>
      </w:rPr>
    </w:lvl>
    <w:lvl w:ilvl="4" w:tplc="59C678A0">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502E5B"/>
    <w:multiLevelType w:val="hybridMultilevel"/>
    <w:tmpl w:val="42262B76"/>
    <w:lvl w:ilvl="0" w:tplc="9DD2EA0C">
      <w:start w:val="1"/>
      <w:numFmt w:val="lowerLetter"/>
      <w:lvlText w:val="%1."/>
      <w:lvlJc w:val="right"/>
      <w:pPr>
        <w:ind w:left="778" w:hanging="360"/>
      </w:pPr>
      <w:rPr>
        <w:rFonts w:hint="default"/>
        <w:b w:val="0"/>
        <w:bCs/>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46" w15:restartNumberingAfterBreak="0">
    <w:nsid w:val="7748510C"/>
    <w:multiLevelType w:val="hybridMultilevel"/>
    <w:tmpl w:val="FB70B4D6"/>
    <w:lvl w:ilvl="0" w:tplc="29002D30">
      <w:start w:val="1"/>
      <w:numFmt w:val="none"/>
      <w:lvlText w:val="3.1."/>
      <w:lvlJc w:val="left"/>
      <w:pPr>
        <w:ind w:left="680" w:hanging="45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4163EB"/>
    <w:multiLevelType w:val="hybridMultilevel"/>
    <w:tmpl w:val="D318C2DE"/>
    <w:lvl w:ilvl="0" w:tplc="7BA030F0">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FD42ABE"/>
    <w:multiLevelType w:val="hybridMultilevel"/>
    <w:tmpl w:val="0D502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4"/>
  </w:num>
  <w:num w:numId="3">
    <w:abstractNumId w:val="47"/>
  </w:num>
  <w:num w:numId="4">
    <w:abstractNumId w:val="5"/>
  </w:num>
  <w:num w:numId="5">
    <w:abstractNumId w:val="3"/>
  </w:num>
  <w:num w:numId="6">
    <w:abstractNumId w:val="33"/>
  </w:num>
  <w:num w:numId="7">
    <w:abstractNumId w:val="31"/>
  </w:num>
  <w:num w:numId="8">
    <w:abstractNumId w:val="46"/>
  </w:num>
  <w:num w:numId="9">
    <w:abstractNumId w:val="9"/>
  </w:num>
  <w:num w:numId="10">
    <w:abstractNumId w:val="8"/>
  </w:num>
  <w:num w:numId="11">
    <w:abstractNumId w:val="11"/>
  </w:num>
  <w:num w:numId="12">
    <w:abstractNumId w:val="0"/>
  </w:num>
  <w:num w:numId="13">
    <w:abstractNumId w:val="29"/>
  </w:num>
  <w:num w:numId="14">
    <w:abstractNumId w:val="36"/>
  </w:num>
  <w:num w:numId="15">
    <w:abstractNumId w:val="41"/>
  </w:num>
  <w:num w:numId="16">
    <w:abstractNumId w:val="21"/>
  </w:num>
  <w:num w:numId="17">
    <w:abstractNumId w:val="22"/>
  </w:num>
  <w:num w:numId="18">
    <w:abstractNumId w:val="35"/>
  </w:num>
  <w:num w:numId="19">
    <w:abstractNumId w:val="39"/>
  </w:num>
  <w:num w:numId="20">
    <w:abstractNumId w:val="15"/>
  </w:num>
  <w:num w:numId="21">
    <w:abstractNumId w:val="20"/>
  </w:num>
  <w:num w:numId="22">
    <w:abstractNumId w:val="34"/>
  </w:num>
  <w:num w:numId="23">
    <w:abstractNumId w:val="18"/>
  </w:num>
  <w:num w:numId="24">
    <w:abstractNumId w:val="23"/>
  </w:num>
  <w:num w:numId="25">
    <w:abstractNumId w:val="28"/>
  </w:num>
  <w:num w:numId="26">
    <w:abstractNumId w:val="26"/>
  </w:num>
  <w:num w:numId="27">
    <w:abstractNumId w:val="2"/>
  </w:num>
  <w:num w:numId="28">
    <w:abstractNumId w:val="12"/>
  </w:num>
  <w:num w:numId="29">
    <w:abstractNumId w:val="38"/>
  </w:num>
  <w:num w:numId="30">
    <w:abstractNumId w:val="40"/>
  </w:num>
  <w:num w:numId="31">
    <w:abstractNumId w:val="10"/>
  </w:num>
  <w:num w:numId="32">
    <w:abstractNumId w:val="48"/>
  </w:num>
  <w:num w:numId="33">
    <w:abstractNumId w:val="17"/>
  </w:num>
  <w:num w:numId="34">
    <w:abstractNumId w:val="32"/>
  </w:num>
  <w:num w:numId="35">
    <w:abstractNumId w:val="4"/>
  </w:num>
  <w:num w:numId="36">
    <w:abstractNumId w:val="7"/>
  </w:num>
  <w:num w:numId="37">
    <w:abstractNumId w:val="19"/>
  </w:num>
  <w:num w:numId="38">
    <w:abstractNumId w:val="45"/>
  </w:num>
  <w:num w:numId="39">
    <w:abstractNumId w:val="24"/>
  </w:num>
  <w:num w:numId="40">
    <w:abstractNumId w:val="27"/>
  </w:num>
  <w:num w:numId="41">
    <w:abstractNumId w:val="13"/>
  </w:num>
  <w:num w:numId="42">
    <w:abstractNumId w:val="14"/>
  </w:num>
  <w:num w:numId="43">
    <w:abstractNumId w:val="25"/>
  </w:num>
  <w:num w:numId="44">
    <w:abstractNumId w:val="43"/>
  </w:num>
  <w:num w:numId="45">
    <w:abstractNumId w:val="37"/>
  </w:num>
  <w:num w:numId="46">
    <w:abstractNumId w:val="42"/>
  </w:num>
  <w:num w:numId="47">
    <w:abstractNumId w:val="16"/>
  </w:num>
  <w:num w:numId="48">
    <w:abstractNumId w:val="6"/>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FAF"/>
    <w:rsid w:val="00000793"/>
    <w:rsid w:val="00000A73"/>
    <w:rsid w:val="00001679"/>
    <w:rsid w:val="00001C15"/>
    <w:rsid w:val="00002DEE"/>
    <w:rsid w:val="00007263"/>
    <w:rsid w:val="000142BC"/>
    <w:rsid w:val="00014E63"/>
    <w:rsid w:val="000153DB"/>
    <w:rsid w:val="00015785"/>
    <w:rsid w:val="0001587C"/>
    <w:rsid w:val="000179DF"/>
    <w:rsid w:val="000212F4"/>
    <w:rsid w:val="00021B16"/>
    <w:rsid w:val="00026913"/>
    <w:rsid w:val="00027F6E"/>
    <w:rsid w:val="0003098B"/>
    <w:rsid w:val="00031F3E"/>
    <w:rsid w:val="00032DA6"/>
    <w:rsid w:val="00033E43"/>
    <w:rsid w:val="000364D4"/>
    <w:rsid w:val="00040E5A"/>
    <w:rsid w:val="000414B4"/>
    <w:rsid w:val="0004187E"/>
    <w:rsid w:val="00041B2C"/>
    <w:rsid w:val="00041C12"/>
    <w:rsid w:val="00042838"/>
    <w:rsid w:val="00042BF1"/>
    <w:rsid w:val="000446B4"/>
    <w:rsid w:val="0004489E"/>
    <w:rsid w:val="000465C9"/>
    <w:rsid w:val="00050080"/>
    <w:rsid w:val="000501B5"/>
    <w:rsid w:val="0005144F"/>
    <w:rsid w:val="000515F0"/>
    <w:rsid w:val="00054C81"/>
    <w:rsid w:val="000550C9"/>
    <w:rsid w:val="000561B3"/>
    <w:rsid w:val="00057FAF"/>
    <w:rsid w:val="0006220F"/>
    <w:rsid w:val="000628FD"/>
    <w:rsid w:val="00062C45"/>
    <w:rsid w:val="000636BE"/>
    <w:rsid w:val="00064D91"/>
    <w:rsid w:val="000656E1"/>
    <w:rsid w:val="00065939"/>
    <w:rsid w:val="00065DD7"/>
    <w:rsid w:val="000672C2"/>
    <w:rsid w:val="00070EC9"/>
    <w:rsid w:val="00072EAC"/>
    <w:rsid w:val="00073387"/>
    <w:rsid w:val="00073591"/>
    <w:rsid w:val="0007365B"/>
    <w:rsid w:val="00073DBE"/>
    <w:rsid w:val="000764B0"/>
    <w:rsid w:val="000769FF"/>
    <w:rsid w:val="00076DB5"/>
    <w:rsid w:val="00076DB8"/>
    <w:rsid w:val="000773D3"/>
    <w:rsid w:val="00081999"/>
    <w:rsid w:val="00083909"/>
    <w:rsid w:val="00084530"/>
    <w:rsid w:val="00085021"/>
    <w:rsid w:val="00085856"/>
    <w:rsid w:val="00086565"/>
    <w:rsid w:val="00087A52"/>
    <w:rsid w:val="000915EC"/>
    <w:rsid w:val="0009255F"/>
    <w:rsid w:val="000932D3"/>
    <w:rsid w:val="000936D8"/>
    <w:rsid w:val="00094716"/>
    <w:rsid w:val="0009755E"/>
    <w:rsid w:val="000A04BF"/>
    <w:rsid w:val="000A0C7B"/>
    <w:rsid w:val="000A0CB4"/>
    <w:rsid w:val="000A11D3"/>
    <w:rsid w:val="000A2385"/>
    <w:rsid w:val="000A2F60"/>
    <w:rsid w:val="000A37BD"/>
    <w:rsid w:val="000A43B4"/>
    <w:rsid w:val="000A446C"/>
    <w:rsid w:val="000A5663"/>
    <w:rsid w:val="000A7175"/>
    <w:rsid w:val="000B0436"/>
    <w:rsid w:val="000B0E94"/>
    <w:rsid w:val="000B19FD"/>
    <w:rsid w:val="000B1F78"/>
    <w:rsid w:val="000B24ED"/>
    <w:rsid w:val="000B3551"/>
    <w:rsid w:val="000B5207"/>
    <w:rsid w:val="000B723D"/>
    <w:rsid w:val="000C024B"/>
    <w:rsid w:val="000C348D"/>
    <w:rsid w:val="000C448F"/>
    <w:rsid w:val="000C4C58"/>
    <w:rsid w:val="000C4D4A"/>
    <w:rsid w:val="000C557D"/>
    <w:rsid w:val="000C734F"/>
    <w:rsid w:val="000C79FC"/>
    <w:rsid w:val="000C7C0D"/>
    <w:rsid w:val="000D0CE0"/>
    <w:rsid w:val="000D1E6D"/>
    <w:rsid w:val="000D23D4"/>
    <w:rsid w:val="000D64E8"/>
    <w:rsid w:val="000D6862"/>
    <w:rsid w:val="000E084D"/>
    <w:rsid w:val="000E0DB9"/>
    <w:rsid w:val="000E2AF1"/>
    <w:rsid w:val="000E372D"/>
    <w:rsid w:val="000E4219"/>
    <w:rsid w:val="000E5EF3"/>
    <w:rsid w:val="000F029E"/>
    <w:rsid w:val="000F1B22"/>
    <w:rsid w:val="000F39EB"/>
    <w:rsid w:val="000F5CCD"/>
    <w:rsid w:val="000F5E2C"/>
    <w:rsid w:val="000F7934"/>
    <w:rsid w:val="001002E1"/>
    <w:rsid w:val="00102E4A"/>
    <w:rsid w:val="001031C3"/>
    <w:rsid w:val="001044B3"/>
    <w:rsid w:val="001046C3"/>
    <w:rsid w:val="00104DB8"/>
    <w:rsid w:val="0010512A"/>
    <w:rsid w:val="00105159"/>
    <w:rsid w:val="00105509"/>
    <w:rsid w:val="00106028"/>
    <w:rsid w:val="00107B5A"/>
    <w:rsid w:val="00111883"/>
    <w:rsid w:val="00111B1E"/>
    <w:rsid w:val="001144CB"/>
    <w:rsid w:val="00115A09"/>
    <w:rsid w:val="001179A0"/>
    <w:rsid w:val="00117FB7"/>
    <w:rsid w:val="00120B7A"/>
    <w:rsid w:val="00120E8B"/>
    <w:rsid w:val="001227EC"/>
    <w:rsid w:val="00122E73"/>
    <w:rsid w:val="00123368"/>
    <w:rsid w:val="00123605"/>
    <w:rsid w:val="0012477F"/>
    <w:rsid w:val="0012578D"/>
    <w:rsid w:val="0012624B"/>
    <w:rsid w:val="00126E7F"/>
    <w:rsid w:val="001277BF"/>
    <w:rsid w:val="001279B5"/>
    <w:rsid w:val="00131A83"/>
    <w:rsid w:val="00132985"/>
    <w:rsid w:val="00134911"/>
    <w:rsid w:val="00136635"/>
    <w:rsid w:val="0013717A"/>
    <w:rsid w:val="001374A8"/>
    <w:rsid w:val="001412DF"/>
    <w:rsid w:val="00142B56"/>
    <w:rsid w:val="001436B9"/>
    <w:rsid w:val="001443FC"/>
    <w:rsid w:val="001453D5"/>
    <w:rsid w:val="001459A4"/>
    <w:rsid w:val="00147BD8"/>
    <w:rsid w:val="00150C7F"/>
    <w:rsid w:val="00152BF2"/>
    <w:rsid w:val="00155240"/>
    <w:rsid w:val="00155284"/>
    <w:rsid w:val="00157075"/>
    <w:rsid w:val="0015739A"/>
    <w:rsid w:val="00157EB1"/>
    <w:rsid w:val="00160080"/>
    <w:rsid w:val="00160992"/>
    <w:rsid w:val="00160EEF"/>
    <w:rsid w:val="0016201E"/>
    <w:rsid w:val="00163FA1"/>
    <w:rsid w:val="00164BD7"/>
    <w:rsid w:val="0016705A"/>
    <w:rsid w:val="00170489"/>
    <w:rsid w:val="00170BAD"/>
    <w:rsid w:val="00171D7F"/>
    <w:rsid w:val="00173825"/>
    <w:rsid w:val="00173FB1"/>
    <w:rsid w:val="00174799"/>
    <w:rsid w:val="00174A61"/>
    <w:rsid w:val="00175679"/>
    <w:rsid w:val="001762B5"/>
    <w:rsid w:val="00176417"/>
    <w:rsid w:val="00177EB5"/>
    <w:rsid w:val="0018014D"/>
    <w:rsid w:val="001818DA"/>
    <w:rsid w:val="00181B52"/>
    <w:rsid w:val="00181E04"/>
    <w:rsid w:val="00181FC9"/>
    <w:rsid w:val="00182472"/>
    <w:rsid w:val="00182E6C"/>
    <w:rsid w:val="00187087"/>
    <w:rsid w:val="00187493"/>
    <w:rsid w:val="00187742"/>
    <w:rsid w:val="00191B48"/>
    <w:rsid w:val="00191E6F"/>
    <w:rsid w:val="00192E87"/>
    <w:rsid w:val="00195568"/>
    <w:rsid w:val="001956EF"/>
    <w:rsid w:val="00195897"/>
    <w:rsid w:val="001A0E07"/>
    <w:rsid w:val="001A0F10"/>
    <w:rsid w:val="001A1A62"/>
    <w:rsid w:val="001A1D8B"/>
    <w:rsid w:val="001A1DBA"/>
    <w:rsid w:val="001A3002"/>
    <w:rsid w:val="001A3C82"/>
    <w:rsid w:val="001A4301"/>
    <w:rsid w:val="001A5572"/>
    <w:rsid w:val="001A682D"/>
    <w:rsid w:val="001A75D4"/>
    <w:rsid w:val="001B1520"/>
    <w:rsid w:val="001B2261"/>
    <w:rsid w:val="001B3976"/>
    <w:rsid w:val="001B4076"/>
    <w:rsid w:val="001B4371"/>
    <w:rsid w:val="001B50B1"/>
    <w:rsid w:val="001B57B5"/>
    <w:rsid w:val="001B5FFA"/>
    <w:rsid w:val="001B6199"/>
    <w:rsid w:val="001B6466"/>
    <w:rsid w:val="001B66C2"/>
    <w:rsid w:val="001B6FED"/>
    <w:rsid w:val="001B7477"/>
    <w:rsid w:val="001B75E8"/>
    <w:rsid w:val="001C0D04"/>
    <w:rsid w:val="001C0FC6"/>
    <w:rsid w:val="001C19AB"/>
    <w:rsid w:val="001C2D40"/>
    <w:rsid w:val="001C302E"/>
    <w:rsid w:val="001C3911"/>
    <w:rsid w:val="001C63A0"/>
    <w:rsid w:val="001D0056"/>
    <w:rsid w:val="001D09CE"/>
    <w:rsid w:val="001D2084"/>
    <w:rsid w:val="001D2299"/>
    <w:rsid w:val="001D548B"/>
    <w:rsid w:val="001D6F50"/>
    <w:rsid w:val="001E1250"/>
    <w:rsid w:val="001E1BF7"/>
    <w:rsid w:val="001E1D9E"/>
    <w:rsid w:val="001E4429"/>
    <w:rsid w:val="001E49FC"/>
    <w:rsid w:val="001E6599"/>
    <w:rsid w:val="001E69A6"/>
    <w:rsid w:val="001E7A55"/>
    <w:rsid w:val="001F1D57"/>
    <w:rsid w:val="001F1D8D"/>
    <w:rsid w:val="001F3E03"/>
    <w:rsid w:val="0020099F"/>
    <w:rsid w:val="00200CDA"/>
    <w:rsid w:val="00203A7C"/>
    <w:rsid w:val="00206043"/>
    <w:rsid w:val="00206967"/>
    <w:rsid w:val="00206BA2"/>
    <w:rsid w:val="00206EF5"/>
    <w:rsid w:val="00210762"/>
    <w:rsid w:val="00211DC0"/>
    <w:rsid w:val="00212128"/>
    <w:rsid w:val="00212F71"/>
    <w:rsid w:val="0021315A"/>
    <w:rsid w:val="002156D7"/>
    <w:rsid w:val="00217CE3"/>
    <w:rsid w:val="002210B6"/>
    <w:rsid w:val="002218FB"/>
    <w:rsid w:val="00223330"/>
    <w:rsid w:val="002243F5"/>
    <w:rsid w:val="00224497"/>
    <w:rsid w:val="00225C6A"/>
    <w:rsid w:val="00230A6F"/>
    <w:rsid w:val="00230AB6"/>
    <w:rsid w:val="002313AE"/>
    <w:rsid w:val="00234689"/>
    <w:rsid w:val="00234BDF"/>
    <w:rsid w:val="002355FD"/>
    <w:rsid w:val="00240E83"/>
    <w:rsid w:val="002424B8"/>
    <w:rsid w:val="00242ABF"/>
    <w:rsid w:val="0024389B"/>
    <w:rsid w:val="00251794"/>
    <w:rsid w:val="002552AC"/>
    <w:rsid w:val="002564A5"/>
    <w:rsid w:val="00256941"/>
    <w:rsid w:val="00256B3C"/>
    <w:rsid w:val="002613F8"/>
    <w:rsid w:val="00261E40"/>
    <w:rsid w:val="002636AB"/>
    <w:rsid w:val="0026481B"/>
    <w:rsid w:val="0026532F"/>
    <w:rsid w:val="002653F6"/>
    <w:rsid w:val="002655BB"/>
    <w:rsid w:val="00267DFF"/>
    <w:rsid w:val="0027061A"/>
    <w:rsid w:val="00271614"/>
    <w:rsid w:val="0027261E"/>
    <w:rsid w:val="00272F46"/>
    <w:rsid w:val="00272F74"/>
    <w:rsid w:val="00273E53"/>
    <w:rsid w:val="0027468A"/>
    <w:rsid w:val="00275EA5"/>
    <w:rsid w:val="0027607D"/>
    <w:rsid w:val="00276D1D"/>
    <w:rsid w:val="00282796"/>
    <w:rsid w:val="00282D2C"/>
    <w:rsid w:val="00282D94"/>
    <w:rsid w:val="002834E7"/>
    <w:rsid w:val="00287710"/>
    <w:rsid w:val="0028786A"/>
    <w:rsid w:val="00291CAD"/>
    <w:rsid w:val="0029390D"/>
    <w:rsid w:val="00294AB9"/>
    <w:rsid w:val="0029542F"/>
    <w:rsid w:val="00295E9E"/>
    <w:rsid w:val="0029727C"/>
    <w:rsid w:val="00297400"/>
    <w:rsid w:val="002A0D35"/>
    <w:rsid w:val="002A1EA6"/>
    <w:rsid w:val="002A5FAE"/>
    <w:rsid w:val="002A63DA"/>
    <w:rsid w:val="002A6BE1"/>
    <w:rsid w:val="002A72F3"/>
    <w:rsid w:val="002B224E"/>
    <w:rsid w:val="002B4FED"/>
    <w:rsid w:val="002C0C83"/>
    <w:rsid w:val="002C0FA5"/>
    <w:rsid w:val="002C2AC0"/>
    <w:rsid w:val="002C2E1F"/>
    <w:rsid w:val="002C2F5F"/>
    <w:rsid w:val="002C3849"/>
    <w:rsid w:val="002C40FB"/>
    <w:rsid w:val="002C5193"/>
    <w:rsid w:val="002C7862"/>
    <w:rsid w:val="002C7915"/>
    <w:rsid w:val="002D0D57"/>
    <w:rsid w:val="002D1A54"/>
    <w:rsid w:val="002D1B41"/>
    <w:rsid w:val="002D1C06"/>
    <w:rsid w:val="002D2A1C"/>
    <w:rsid w:val="002D3032"/>
    <w:rsid w:val="002D31FB"/>
    <w:rsid w:val="002D3DC8"/>
    <w:rsid w:val="002D6851"/>
    <w:rsid w:val="002D6B6D"/>
    <w:rsid w:val="002E1C93"/>
    <w:rsid w:val="002E2782"/>
    <w:rsid w:val="002E357F"/>
    <w:rsid w:val="002E3E98"/>
    <w:rsid w:val="002E5F3B"/>
    <w:rsid w:val="002E6129"/>
    <w:rsid w:val="002E7127"/>
    <w:rsid w:val="002F06D4"/>
    <w:rsid w:val="002F2A53"/>
    <w:rsid w:val="002F37FD"/>
    <w:rsid w:val="002F48C3"/>
    <w:rsid w:val="002F495D"/>
    <w:rsid w:val="002F7968"/>
    <w:rsid w:val="0030112B"/>
    <w:rsid w:val="00303436"/>
    <w:rsid w:val="00303BAB"/>
    <w:rsid w:val="00303DA4"/>
    <w:rsid w:val="00307C65"/>
    <w:rsid w:val="00310459"/>
    <w:rsid w:val="00310505"/>
    <w:rsid w:val="00311CF8"/>
    <w:rsid w:val="00312F66"/>
    <w:rsid w:val="00313E51"/>
    <w:rsid w:val="00314C4F"/>
    <w:rsid w:val="00314DB3"/>
    <w:rsid w:val="00316682"/>
    <w:rsid w:val="003166BD"/>
    <w:rsid w:val="00317FAB"/>
    <w:rsid w:val="00320153"/>
    <w:rsid w:val="003208C0"/>
    <w:rsid w:val="00321585"/>
    <w:rsid w:val="0032517F"/>
    <w:rsid w:val="003257BD"/>
    <w:rsid w:val="00325FB6"/>
    <w:rsid w:val="003262B7"/>
    <w:rsid w:val="0032799D"/>
    <w:rsid w:val="00330DF2"/>
    <w:rsid w:val="003314AF"/>
    <w:rsid w:val="00331FF1"/>
    <w:rsid w:val="00332A79"/>
    <w:rsid w:val="00333315"/>
    <w:rsid w:val="0033336E"/>
    <w:rsid w:val="003345F1"/>
    <w:rsid w:val="00337031"/>
    <w:rsid w:val="00337623"/>
    <w:rsid w:val="00342466"/>
    <w:rsid w:val="00343512"/>
    <w:rsid w:val="00345237"/>
    <w:rsid w:val="0034525F"/>
    <w:rsid w:val="0034717C"/>
    <w:rsid w:val="00347EF9"/>
    <w:rsid w:val="0035163C"/>
    <w:rsid w:val="0035581C"/>
    <w:rsid w:val="003570B5"/>
    <w:rsid w:val="00357536"/>
    <w:rsid w:val="003631EA"/>
    <w:rsid w:val="00367A3B"/>
    <w:rsid w:val="00367EA0"/>
    <w:rsid w:val="00370066"/>
    <w:rsid w:val="00373BA5"/>
    <w:rsid w:val="0037411B"/>
    <w:rsid w:val="00374184"/>
    <w:rsid w:val="00374DD9"/>
    <w:rsid w:val="003751CB"/>
    <w:rsid w:val="0037520C"/>
    <w:rsid w:val="0037673F"/>
    <w:rsid w:val="00376DAF"/>
    <w:rsid w:val="00377B8D"/>
    <w:rsid w:val="00386C4E"/>
    <w:rsid w:val="003894A2"/>
    <w:rsid w:val="00390049"/>
    <w:rsid w:val="00390ABC"/>
    <w:rsid w:val="00392181"/>
    <w:rsid w:val="00392349"/>
    <w:rsid w:val="00393C39"/>
    <w:rsid w:val="00394F68"/>
    <w:rsid w:val="00395252"/>
    <w:rsid w:val="003A06B2"/>
    <w:rsid w:val="003A09ED"/>
    <w:rsid w:val="003A14AA"/>
    <w:rsid w:val="003A17C4"/>
    <w:rsid w:val="003A303B"/>
    <w:rsid w:val="003A3416"/>
    <w:rsid w:val="003A59D7"/>
    <w:rsid w:val="003A6CA6"/>
    <w:rsid w:val="003B4EC5"/>
    <w:rsid w:val="003B50B8"/>
    <w:rsid w:val="003B5566"/>
    <w:rsid w:val="003B65F6"/>
    <w:rsid w:val="003B78C0"/>
    <w:rsid w:val="003C0A97"/>
    <w:rsid w:val="003C0DF0"/>
    <w:rsid w:val="003C1D46"/>
    <w:rsid w:val="003C6C63"/>
    <w:rsid w:val="003D0880"/>
    <w:rsid w:val="003D129E"/>
    <w:rsid w:val="003D1674"/>
    <w:rsid w:val="003D21D3"/>
    <w:rsid w:val="003D37AF"/>
    <w:rsid w:val="003D560A"/>
    <w:rsid w:val="003D7C99"/>
    <w:rsid w:val="003E063B"/>
    <w:rsid w:val="003E387A"/>
    <w:rsid w:val="003E42C6"/>
    <w:rsid w:val="003E4511"/>
    <w:rsid w:val="003E47C4"/>
    <w:rsid w:val="003E4DE3"/>
    <w:rsid w:val="003E5C04"/>
    <w:rsid w:val="003F1C42"/>
    <w:rsid w:val="003F2E38"/>
    <w:rsid w:val="003F35D5"/>
    <w:rsid w:val="003F5624"/>
    <w:rsid w:val="003F73D6"/>
    <w:rsid w:val="00403E0D"/>
    <w:rsid w:val="00404A3C"/>
    <w:rsid w:val="00407129"/>
    <w:rsid w:val="0041092D"/>
    <w:rsid w:val="00410944"/>
    <w:rsid w:val="00412620"/>
    <w:rsid w:val="00413378"/>
    <w:rsid w:val="00413D57"/>
    <w:rsid w:val="00414FD8"/>
    <w:rsid w:val="00416A68"/>
    <w:rsid w:val="00416A74"/>
    <w:rsid w:val="00417352"/>
    <w:rsid w:val="004179FA"/>
    <w:rsid w:val="004213B7"/>
    <w:rsid w:val="00421F8B"/>
    <w:rsid w:val="00422194"/>
    <w:rsid w:val="004225D1"/>
    <w:rsid w:val="00422B31"/>
    <w:rsid w:val="00423112"/>
    <w:rsid w:val="00425543"/>
    <w:rsid w:val="00426893"/>
    <w:rsid w:val="00431825"/>
    <w:rsid w:val="00432456"/>
    <w:rsid w:val="0043310B"/>
    <w:rsid w:val="004349C0"/>
    <w:rsid w:val="00435AE4"/>
    <w:rsid w:val="00437525"/>
    <w:rsid w:val="00440DD0"/>
    <w:rsid w:val="004427FB"/>
    <w:rsid w:val="004432D1"/>
    <w:rsid w:val="004434FE"/>
    <w:rsid w:val="00443843"/>
    <w:rsid w:val="00444E67"/>
    <w:rsid w:val="004450B9"/>
    <w:rsid w:val="004460CA"/>
    <w:rsid w:val="00447291"/>
    <w:rsid w:val="00447C42"/>
    <w:rsid w:val="00450671"/>
    <w:rsid w:val="004506D3"/>
    <w:rsid w:val="004523EA"/>
    <w:rsid w:val="00452C8B"/>
    <w:rsid w:val="004533AA"/>
    <w:rsid w:val="004564CB"/>
    <w:rsid w:val="004577BD"/>
    <w:rsid w:val="00457A62"/>
    <w:rsid w:val="00462A35"/>
    <w:rsid w:val="00462EAC"/>
    <w:rsid w:val="00462F50"/>
    <w:rsid w:val="004630D1"/>
    <w:rsid w:val="0046388D"/>
    <w:rsid w:val="00464B2E"/>
    <w:rsid w:val="004653AC"/>
    <w:rsid w:val="004653CD"/>
    <w:rsid w:val="00465E80"/>
    <w:rsid w:val="00470EE4"/>
    <w:rsid w:val="00471E50"/>
    <w:rsid w:val="00473423"/>
    <w:rsid w:val="00473A46"/>
    <w:rsid w:val="00474EE9"/>
    <w:rsid w:val="00476D66"/>
    <w:rsid w:val="00480129"/>
    <w:rsid w:val="00480680"/>
    <w:rsid w:val="00481E5B"/>
    <w:rsid w:val="00482A3A"/>
    <w:rsid w:val="00483072"/>
    <w:rsid w:val="004830CF"/>
    <w:rsid w:val="00483D66"/>
    <w:rsid w:val="00484318"/>
    <w:rsid w:val="0048448B"/>
    <w:rsid w:val="00485028"/>
    <w:rsid w:val="004876EA"/>
    <w:rsid w:val="00487709"/>
    <w:rsid w:val="004906F2"/>
    <w:rsid w:val="00490AB3"/>
    <w:rsid w:val="00491715"/>
    <w:rsid w:val="004918D4"/>
    <w:rsid w:val="004922B6"/>
    <w:rsid w:val="00492F97"/>
    <w:rsid w:val="0049509B"/>
    <w:rsid w:val="00495143"/>
    <w:rsid w:val="00496249"/>
    <w:rsid w:val="00496632"/>
    <w:rsid w:val="00496A2E"/>
    <w:rsid w:val="00496DCA"/>
    <w:rsid w:val="00497413"/>
    <w:rsid w:val="0049746A"/>
    <w:rsid w:val="004A00CF"/>
    <w:rsid w:val="004A0C67"/>
    <w:rsid w:val="004A16ED"/>
    <w:rsid w:val="004A48AA"/>
    <w:rsid w:val="004A4F50"/>
    <w:rsid w:val="004A5EB4"/>
    <w:rsid w:val="004B200E"/>
    <w:rsid w:val="004B215F"/>
    <w:rsid w:val="004B44C9"/>
    <w:rsid w:val="004B6691"/>
    <w:rsid w:val="004B6B45"/>
    <w:rsid w:val="004B6F80"/>
    <w:rsid w:val="004B73F6"/>
    <w:rsid w:val="004C2381"/>
    <w:rsid w:val="004C4582"/>
    <w:rsid w:val="004C52BA"/>
    <w:rsid w:val="004C56A0"/>
    <w:rsid w:val="004C6747"/>
    <w:rsid w:val="004C74BA"/>
    <w:rsid w:val="004D0990"/>
    <w:rsid w:val="004D1C9D"/>
    <w:rsid w:val="004D272F"/>
    <w:rsid w:val="004D2B27"/>
    <w:rsid w:val="004D4C30"/>
    <w:rsid w:val="004D6732"/>
    <w:rsid w:val="004D6D68"/>
    <w:rsid w:val="004E113C"/>
    <w:rsid w:val="004E3323"/>
    <w:rsid w:val="004E43EE"/>
    <w:rsid w:val="004E60CA"/>
    <w:rsid w:val="004E7AB0"/>
    <w:rsid w:val="004F0B8F"/>
    <w:rsid w:val="004F0C5D"/>
    <w:rsid w:val="004F1FAB"/>
    <w:rsid w:val="004F2A18"/>
    <w:rsid w:val="004F34B9"/>
    <w:rsid w:val="004F3978"/>
    <w:rsid w:val="004F5A98"/>
    <w:rsid w:val="004F7316"/>
    <w:rsid w:val="00502269"/>
    <w:rsid w:val="00502EDC"/>
    <w:rsid w:val="00503366"/>
    <w:rsid w:val="00503402"/>
    <w:rsid w:val="00503606"/>
    <w:rsid w:val="00503925"/>
    <w:rsid w:val="00506289"/>
    <w:rsid w:val="00506845"/>
    <w:rsid w:val="00506DB7"/>
    <w:rsid w:val="00510016"/>
    <w:rsid w:val="00510173"/>
    <w:rsid w:val="00510A5E"/>
    <w:rsid w:val="00511781"/>
    <w:rsid w:val="0051180A"/>
    <w:rsid w:val="00511C67"/>
    <w:rsid w:val="005133EA"/>
    <w:rsid w:val="00514050"/>
    <w:rsid w:val="00514278"/>
    <w:rsid w:val="00516F2A"/>
    <w:rsid w:val="00516FAA"/>
    <w:rsid w:val="00520014"/>
    <w:rsid w:val="005201C6"/>
    <w:rsid w:val="005214CD"/>
    <w:rsid w:val="005242C5"/>
    <w:rsid w:val="00524DC9"/>
    <w:rsid w:val="005254AF"/>
    <w:rsid w:val="00525D70"/>
    <w:rsid w:val="00526FFA"/>
    <w:rsid w:val="005310BD"/>
    <w:rsid w:val="005317FF"/>
    <w:rsid w:val="00531D58"/>
    <w:rsid w:val="00532F2C"/>
    <w:rsid w:val="005333E0"/>
    <w:rsid w:val="0053429D"/>
    <w:rsid w:val="00534852"/>
    <w:rsid w:val="005356C0"/>
    <w:rsid w:val="00535F8F"/>
    <w:rsid w:val="00543F64"/>
    <w:rsid w:val="00543FB2"/>
    <w:rsid w:val="005443F1"/>
    <w:rsid w:val="00544735"/>
    <w:rsid w:val="005448A2"/>
    <w:rsid w:val="00550316"/>
    <w:rsid w:val="00550527"/>
    <w:rsid w:val="00551831"/>
    <w:rsid w:val="005544DA"/>
    <w:rsid w:val="00555485"/>
    <w:rsid w:val="005560BD"/>
    <w:rsid w:val="00556FD9"/>
    <w:rsid w:val="00557660"/>
    <w:rsid w:val="00563F07"/>
    <w:rsid w:val="00564C34"/>
    <w:rsid w:val="00565595"/>
    <w:rsid w:val="00570B37"/>
    <w:rsid w:val="00570CBD"/>
    <w:rsid w:val="005717FB"/>
    <w:rsid w:val="0057288B"/>
    <w:rsid w:val="005729FE"/>
    <w:rsid w:val="00572D84"/>
    <w:rsid w:val="00573017"/>
    <w:rsid w:val="00575EC8"/>
    <w:rsid w:val="0058056D"/>
    <w:rsid w:val="00580CE0"/>
    <w:rsid w:val="0058115A"/>
    <w:rsid w:val="0058172C"/>
    <w:rsid w:val="00581EF7"/>
    <w:rsid w:val="00582D24"/>
    <w:rsid w:val="005836B8"/>
    <w:rsid w:val="00584B1D"/>
    <w:rsid w:val="005851F6"/>
    <w:rsid w:val="005851F8"/>
    <w:rsid w:val="00585A23"/>
    <w:rsid w:val="00585F1A"/>
    <w:rsid w:val="00586A3C"/>
    <w:rsid w:val="005874AB"/>
    <w:rsid w:val="0059109F"/>
    <w:rsid w:val="00591EE3"/>
    <w:rsid w:val="005926BA"/>
    <w:rsid w:val="00594630"/>
    <w:rsid w:val="00596969"/>
    <w:rsid w:val="00597245"/>
    <w:rsid w:val="005A34FE"/>
    <w:rsid w:val="005A50FF"/>
    <w:rsid w:val="005A55ED"/>
    <w:rsid w:val="005A5EC4"/>
    <w:rsid w:val="005A69A9"/>
    <w:rsid w:val="005A6D2E"/>
    <w:rsid w:val="005B1DC9"/>
    <w:rsid w:val="005B39CA"/>
    <w:rsid w:val="005B5A47"/>
    <w:rsid w:val="005B5B74"/>
    <w:rsid w:val="005B6978"/>
    <w:rsid w:val="005C3AF4"/>
    <w:rsid w:val="005C5B5F"/>
    <w:rsid w:val="005C6210"/>
    <w:rsid w:val="005C7E37"/>
    <w:rsid w:val="005D0757"/>
    <w:rsid w:val="005D1138"/>
    <w:rsid w:val="005D12A2"/>
    <w:rsid w:val="005D1480"/>
    <w:rsid w:val="005D1912"/>
    <w:rsid w:val="005D1A28"/>
    <w:rsid w:val="005D2E3C"/>
    <w:rsid w:val="005D3336"/>
    <w:rsid w:val="005D336C"/>
    <w:rsid w:val="005D4753"/>
    <w:rsid w:val="005D5084"/>
    <w:rsid w:val="005D75BF"/>
    <w:rsid w:val="005E034D"/>
    <w:rsid w:val="005E040B"/>
    <w:rsid w:val="005E129D"/>
    <w:rsid w:val="005E139D"/>
    <w:rsid w:val="005E1AC5"/>
    <w:rsid w:val="005E1DF0"/>
    <w:rsid w:val="005E299F"/>
    <w:rsid w:val="005E3C8E"/>
    <w:rsid w:val="005E71DF"/>
    <w:rsid w:val="005E7532"/>
    <w:rsid w:val="005F1989"/>
    <w:rsid w:val="005F2BB2"/>
    <w:rsid w:val="005F39E4"/>
    <w:rsid w:val="005F6D85"/>
    <w:rsid w:val="00600422"/>
    <w:rsid w:val="00600F7E"/>
    <w:rsid w:val="00601068"/>
    <w:rsid w:val="006010AA"/>
    <w:rsid w:val="00601E59"/>
    <w:rsid w:val="00603094"/>
    <w:rsid w:val="00603E17"/>
    <w:rsid w:val="0060402F"/>
    <w:rsid w:val="00604358"/>
    <w:rsid w:val="00604AFC"/>
    <w:rsid w:val="0060509C"/>
    <w:rsid w:val="0060722E"/>
    <w:rsid w:val="00611343"/>
    <w:rsid w:val="006118CD"/>
    <w:rsid w:val="0061259E"/>
    <w:rsid w:val="00614548"/>
    <w:rsid w:val="0061511A"/>
    <w:rsid w:val="0061687E"/>
    <w:rsid w:val="00617CC3"/>
    <w:rsid w:val="0062077C"/>
    <w:rsid w:val="00621B69"/>
    <w:rsid w:val="006221CE"/>
    <w:rsid w:val="00623B18"/>
    <w:rsid w:val="006242DF"/>
    <w:rsid w:val="00626B1B"/>
    <w:rsid w:val="00626BF2"/>
    <w:rsid w:val="00630BAE"/>
    <w:rsid w:val="00634083"/>
    <w:rsid w:val="006345D1"/>
    <w:rsid w:val="0063631D"/>
    <w:rsid w:val="00636840"/>
    <w:rsid w:val="00636E44"/>
    <w:rsid w:val="006370EF"/>
    <w:rsid w:val="0063735A"/>
    <w:rsid w:val="006377B6"/>
    <w:rsid w:val="006407AB"/>
    <w:rsid w:val="0064255E"/>
    <w:rsid w:val="00642E3D"/>
    <w:rsid w:val="0064355E"/>
    <w:rsid w:val="00643A85"/>
    <w:rsid w:val="00643D7F"/>
    <w:rsid w:val="00644CB5"/>
    <w:rsid w:val="006450DC"/>
    <w:rsid w:val="00646FB5"/>
    <w:rsid w:val="00647C11"/>
    <w:rsid w:val="00650540"/>
    <w:rsid w:val="00650E45"/>
    <w:rsid w:val="00651995"/>
    <w:rsid w:val="006542C4"/>
    <w:rsid w:val="00654395"/>
    <w:rsid w:val="0065659F"/>
    <w:rsid w:val="00656F77"/>
    <w:rsid w:val="00663185"/>
    <w:rsid w:val="006650BC"/>
    <w:rsid w:val="00666063"/>
    <w:rsid w:val="0066755F"/>
    <w:rsid w:val="006679B9"/>
    <w:rsid w:val="006704BA"/>
    <w:rsid w:val="00670943"/>
    <w:rsid w:val="00674DEE"/>
    <w:rsid w:val="006754E3"/>
    <w:rsid w:val="006757A3"/>
    <w:rsid w:val="00675A28"/>
    <w:rsid w:val="006765F6"/>
    <w:rsid w:val="006803F7"/>
    <w:rsid w:val="00680CE2"/>
    <w:rsid w:val="00683644"/>
    <w:rsid w:val="00683B5E"/>
    <w:rsid w:val="00684C95"/>
    <w:rsid w:val="006850D2"/>
    <w:rsid w:val="0068659B"/>
    <w:rsid w:val="00686C49"/>
    <w:rsid w:val="00687EE9"/>
    <w:rsid w:val="006916B0"/>
    <w:rsid w:val="0069185B"/>
    <w:rsid w:val="006A0F53"/>
    <w:rsid w:val="006A104A"/>
    <w:rsid w:val="006A1C19"/>
    <w:rsid w:val="006A47D2"/>
    <w:rsid w:val="006A5CE8"/>
    <w:rsid w:val="006A694D"/>
    <w:rsid w:val="006A6EB8"/>
    <w:rsid w:val="006A7D01"/>
    <w:rsid w:val="006B17A2"/>
    <w:rsid w:val="006B3849"/>
    <w:rsid w:val="006B3ADC"/>
    <w:rsid w:val="006B3CF8"/>
    <w:rsid w:val="006B4916"/>
    <w:rsid w:val="006B4FCD"/>
    <w:rsid w:val="006B53A3"/>
    <w:rsid w:val="006B5E69"/>
    <w:rsid w:val="006B7B36"/>
    <w:rsid w:val="006C0F76"/>
    <w:rsid w:val="006C1384"/>
    <w:rsid w:val="006C1950"/>
    <w:rsid w:val="006C39CC"/>
    <w:rsid w:val="006C3D87"/>
    <w:rsid w:val="006C577A"/>
    <w:rsid w:val="006C81DD"/>
    <w:rsid w:val="006D12EF"/>
    <w:rsid w:val="006D2BD9"/>
    <w:rsid w:val="006D49AA"/>
    <w:rsid w:val="006D69C4"/>
    <w:rsid w:val="006D790D"/>
    <w:rsid w:val="006D7EB8"/>
    <w:rsid w:val="006E1808"/>
    <w:rsid w:val="006E1927"/>
    <w:rsid w:val="006E3374"/>
    <w:rsid w:val="006E3750"/>
    <w:rsid w:val="006E583D"/>
    <w:rsid w:val="006E65E9"/>
    <w:rsid w:val="006E65ED"/>
    <w:rsid w:val="006E6872"/>
    <w:rsid w:val="006E69C6"/>
    <w:rsid w:val="006E6B84"/>
    <w:rsid w:val="006EC292"/>
    <w:rsid w:val="006F08A6"/>
    <w:rsid w:val="006F6F4B"/>
    <w:rsid w:val="00701C16"/>
    <w:rsid w:val="00706935"/>
    <w:rsid w:val="0070772E"/>
    <w:rsid w:val="00710877"/>
    <w:rsid w:val="00710BE7"/>
    <w:rsid w:val="007116A6"/>
    <w:rsid w:val="007119B0"/>
    <w:rsid w:val="00711B16"/>
    <w:rsid w:val="007127B9"/>
    <w:rsid w:val="00713DB9"/>
    <w:rsid w:val="00715495"/>
    <w:rsid w:val="0072095F"/>
    <w:rsid w:val="00722343"/>
    <w:rsid w:val="0072330C"/>
    <w:rsid w:val="007234C8"/>
    <w:rsid w:val="00725B4B"/>
    <w:rsid w:val="00726924"/>
    <w:rsid w:val="007307A3"/>
    <w:rsid w:val="00731058"/>
    <w:rsid w:val="007327C3"/>
    <w:rsid w:val="00732FFA"/>
    <w:rsid w:val="0073324E"/>
    <w:rsid w:val="00733F87"/>
    <w:rsid w:val="0073599F"/>
    <w:rsid w:val="00735E46"/>
    <w:rsid w:val="00736667"/>
    <w:rsid w:val="00736B69"/>
    <w:rsid w:val="00741801"/>
    <w:rsid w:val="00742B7D"/>
    <w:rsid w:val="00744B25"/>
    <w:rsid w:val="00745256"/>
    <w:rsid w:val="00745624"/>
    <w:rsid w:val="0074672E"/>
    <w:rsid w:val="007477DF"/>
    <w:rsid w:val="007479B4"/>
    <w:rsid w:val="00747C55"/>
    <w:rsid w:val="00750783"/>
    <w:rsid w:val="007512CA"/>
    <w:rsid w:val="007532BF"/>
    <w:rsid w:val="00754A94"/>
    <w:rsid w:val="00754EE6"/>
    <w:rsid w:val="00757229"/>
    <w:rsid w:val="00762F51"/>
    <w:rsid w:val="007667AE"/>
    <w:rsid w:val="00766836"/>
    <w:rsid w:val="00766B47"/>
    <w:rsid w:val="00766B5E"/>
    <w:rsid w:val="007672EC"/>
    <w:rsid w:val="00771339"/>
    <w:rsid w:val="0077160E"/>
    <w:rsid w:val="00772C81"/>
    <w:rsid w:val="00774423"/>
    <w:rsid w:val="00776B54"/>
    <w:rsid w:val="00776F8E"/>
    <w:rsid w:val="007777B8"/>
    <w:rsid w:val="0078073C"/>
    <w:rsid w:val="00781C0C"/>
    <w:rsid w:val="007822F1"/>
    <w:rsid w:val="007827D9"/>
    <w:rsid w:val="00784615"/>
    <w:rsid w:val="007909A3"/>
    <w:rsid w:val="0079178D"/>
    <w:rsid w:val="0079420F"/>
    <w:rsid w:val="00794BDD"/>
    <w:rsid w:val="00796904"/>
    <w:rsid w:val="00796FB2"/>
    <w:rsid w:val="007A0FE4"/>
    <w:rsid w:val="007A2368"/>
    <w:rsid w:val="007A3150"/>
    <w:rsid w:val="007A43EE"/>
    <w:rsid w:val="007B1475"/>
    <w:rsid w:val="007B1B13"/>
    <w:rsid w:val="007B28F9"/>
    <w:rsid w:val="007B2A46"/>
    <w:rsid w:val="007B32C0"/>
    <w:rsid w:val="007B74DF"/>
    <w:rsid w:val="007B7B6D"/>
    <w:rsid w:val="007C2465"/>
    <w:rsid w:val="007C295C"/>
    <w:rsid w:val="007C2A26"/>
    <w:rsid w:val="007C52B3"/>
    <w:rsid w:val="007D1B4A"/>
    <w:rsid w:val="007D3404"/>
    <w:rsid w:val="007D6272"/>
    <w:rsid w:val="007D6BFE"/>
    <w:rsid w:val="007E0D13"/>
    <w:rsid w:val="007E1260"/>
    <w:rsid w:val="007E2718"/>
    <w:rsid w:val="007F1CE0"/>
    <w:rsid w:val="007F1D9A"/>
    <w:rsid w:val="007F52CC"/>
    <w:rsid w:val="007F6886"/>
    <w:rsid w:val="00800BFB"/>
    <w:rsid w:val="00803CD6"/>
    <w:rsid w:val="0080443A"/>
    <w:rsid w:val="008049D4"/>
    <w:rsid w:val="00804B9E"/>
    <w:rsid w:val="00807780"/>
    <w:rsid w:val="008102AF"/>
    <w:rsid w:val="0081043E"/>
    <w:rsid w:val="00813116"/>
    <w:rsid w:val="00813878"/>
    <w:rsid w:val="0081500A"/>
    <w:rsid w:val="00816831"/>
    <w:rsid w:val="00817D62"/>
    <w:rsid w:val="0082008B"/>
    <w:rsid w:val="008205BD"/>
    <w:rsid w:val="0082096D"/>
    <w:rsid w:val="00820D78"/>
    <w:rsid w:val="00820E46"/>
    <w:rsid w:val="0082465A"/>
    <w:rsid w:val="00825027"/>
    <w:rsid w:val="00827DF8"/>
    <w:rsid w:val="00830E45"/>
    <w:rsid w:val="00831FE8"/>
    <w:rsid w:val="00832166"/>
    <w:rsid w:val="00834DA1"/>
    <w:rsid w:val="008356AC"/>
    <w:rsid w:val="008408F7"/>
    <w:rsid w:val="00841B92"/>
    <w:rsid w:val="00842F02"/>
    <w:rsid w:val="0084431C"/>
    <w:rsid w:val="00844AE3"/>
    <w:rsid w:val="0084695C"/>
    <w:rsid w:val="00847323"/>
    <w:rsid w:val="00847488"/>
    <w:rsid w:val="00847F66"/>
    <w:rsid w:val="00847F89"/>
    <w:rsid w:val="00854F39"/>
    <w:rsid w:val="00854F65"/>
    <w:rsid w:val="00857649"/>
    <w:rsid w:val="008576E5"/>
    <w:rsid w:val="00861B06"/>
    <w:rsid w:val="00862093"/>
    <w:rsid w:val="0086350B"/>
    <w:rsid w:val="00865B26"/>
    <w:rsid w:val="0086657C"/>
    <w:rsid w:val="00867476"/>
    <w:rsid w:val="00867551"/>
    <w:rsid w:val="00870F19"/>
    <w:rsid w:val="00872340"/>
    <w:rsid w:val="008731E6"/>
    <w:rsid w:val="0087379C"/>
    <w:rsid w:val="008755A4"/>
    <w:rsid w:val="008762E2"/>
    <w:rsid w:val="00876774"/>
    <w:rsid w:val="0088308E"/>
    <w:rsid w:val="00884C1D"/>
    <w:rsid w:val="0088587E"/>
    <w:rsid w:val="008877A7"/>
    <w:rsid w:val="008877B3"/>
    <w:rsid w:val="00887F7C"/>
    <w:rsid w:val="0089170C"/>
    <w:rsid w:val="008931C2"/>
    <w:rsid w:val="00894E57"/>
    <w:rsid w:val="008957E0"/>
    <w:rsid w:val="00895E2F"/>
    <w:rsid w:val="008962EE"/>
    <w:rsid w:val="00896A0A"/>
    <w:rsid w:val="00897668"/>
    <w:rsid w:val="008A09AF"/>
    <w:rsid w:val="008A1B64"/>
    <w:rsid w:val="008A21D6"/>
    <w:rsid w:val="008A2EA3"/>
    <w:rsid w:val="008A3397"/>
    <w:rsid w:val="008A46C3"/>
    <w:rsid w:val="008A49F6"/>
    <w:rsid w:val="008A57DB"/>
    <w:rsid w:val="008A655A"/>
    <w:rsid w:val="008A6B7F"/>
    <w:rsid w:val="008B0523"/>
    <w:rsid w:val="008B06DA"/>
    <w:rsid w:val="008B389F"/>
    <w:rsid w:val="008B5C8D"/>
    <w:rsid w:val="008B70E3"/>
    <w:rsid w:val="008B7B37"/>
    <w:rsid w:val="008C05E9"/>
    <w:rsid w:val="008C3A12"/>
    <w:rsid w:val="008C527D"/>
    <w:rsid w:val="008C65E1"/>
    <w:rsid w:val="008C7E10"/>
    <w:rsid w:val="008D21F4"/>
    <w:rsid w:val="008D275A"/>
    <w:rsid w:val="008D3BE3"/>
    <w:rsid w:val="008D5755"/>
    <w:rsid w:val="008D57C5"/>
    <w:rsid w:val="008D5968"/>
    <w:rsid w:val="008D5C25"/>
    <w:rsid w:val="008D71E6"/>
    <w:rsid w:val="008D742A"/>
    <w:rsid w:val="008E07A6"/>
    <w:rsid w:val="008E0E05"/>
    <w:rsid w:val="008E2794"/>
    <w:rsid w:val="008E3CC7"/>
    <w:rsid w:val="008E4495"/>
    <w:rsid w:val="008E4FDC"/>
    <w:rsid w:val="008E5E24"/>
    <w:rsid w:val="008E7019"/>
    <w:rsid w:val="008E710C"/>
    <w:rsid w:val="008E7637"/>
    <w:rsid w:val="008E78F6"/>
    <w:rsid w:val="008F0ADC"/>
    <w:rsid w:val="008F15A5"/>
    <w:rsid w:val="008F244D"/>
    <w:rsid w:val="008F24B4"/>
    <w:rsid w:val="008F2FF5"/>
    <w:rsid w:val="008F4CF4"/>
    <w:rsid w:val="008F7304"/>
    <w:rsid w:val="009019EE"/>
    <w:rsid w:val="00901F76"/>
    <w:rsid w:val="00903342"/>
    <w:rsid w:val="0090412E"/>
    <w:rsid w:val="009044E1"/>
    <w:rsid w:val="00910373"/>
    <w:rsid w:val="00911B04"/>
    <w:rsid w:val="00913E48"/>
    <w:rsid w:val="00914535"/>
    <w:rsid w:val="00915049"/>
    <w:rsid w:val="00916F03"/>
    <w:rsid w:val="009173E7"/>
    <w:rsid w:val="009204FD"/>
    <w:rsid w:val="00920810"/>
    <w:rsid w:val="00920B7E"/>
    <w:rsid w:val="0092142E"/>
    <w:rsid w:val="0092177D"/>
    <w:rsid w:val="009219B6"/>
    <w:rsid w:val="009220B7"/>
    <w:rsid w:val="0092250A"/>
    <w:rsid w:val="00924C87"/>
    <w:rsid w:val="00925367"/>
    <w:rsid w:val="00927B46"/>
    <w:rsid w:val="0093328B"/>
    <w:rsid w:val="00934D61"/>
    <w:rsid w:val="00936142"/>
    <w:rsid w:val="009372E9"/>
    <w:rsid w:val="00942536"/>
    <w:rsid w:val="0094678A"/>
    <w:rsid w:val="00946FF4"/>
    <w:rsid w:val="00952D13"/>
    <w:rsid w:val="009536CA"/>
    <w:rsid w:val="00954B30"/>
    <w:rsid w:val="0095662F"/>
    <w:rsid w:val="009640D0"/>
    <w:rsid w:val="009644FC"/>
    <w:rsid w:val="0096478F"/>
    <w:rsid w:val="00964F8F"/>
    <w:rsid w:val="009653DF"/>
    <w:rsid w:val="00965B2B"/>
    <w:rsid w:val="00965B2D"/>
    <w:rsid w:val="00966F6E"/>
    <w:rsid w:val="009723CD"/>
    <w:rsid w:val="00975313"/>
    <w:rsid w:val="00975C30"/>
    <w:rsid w:val="00975E46"/>
    <w:rsid w:val="00976B77"/>
    <w:rsid w:val="00977755"/>
    <w:rsid w:val="009811B4"/>
    <w:rsid w:val="00981307"/>
    <w:rsid w:val="00982BC2"/>
    <w:rsid w:val="009838A5"/>
    <w:rsid w:val="00984B51"/>
    <w:rsid w:val="009860CE"/>
    <w:rsid w:val="0098730E"/>
    <w:rsid w:val="00987676"/>
    <w:rsid w:val="00987777"/>
    <w:rsid w:val="00990C1E"/>
    <w:rsid w:val="00992032"/>
    <w:rsid w:val="00992314"/>
    <w:rsid w:val="00993E7E"/>
    <w:rsid w:val="009947F1"/>
    <w:rsid w:val="009954FE"/>
    <w:rsid w:val="00997300"/>
    <w:rsid w:val="00997336"/>
    <w:rsid w:val="009A02DD"/>
    <w:rsid w:val="009A5BAE"/>
    <w:rsid w:val="009B1495"/>
    <w:rsid w:val="009B1BA4"/>
    <w:rsid w:val="009B26EC"/>
    <w:rsid w:val="009B27B7"/>
    <w:rsid w:val="009B3188"/>
    <w:rsid w:val="009B3A17"/>
    <w:rsid w:val="009B4C93"/>
    <w:rsid w:val="009B5370"/>
    <w:rsid w:val="009B54DF"/>
    <w:rsid w:val="009B55BB"/>
    <w:rsid w:val="009B7FB9"/>
    <w:rsid w:val="009C08F9"/>
    <w:rsid w:val="009C09F3"/>
    <w:rsid w:val="009C0AA2"/>
    <w:rsid w:val="009C324C"/>
    <w:rsid w:val="009C5775"/>
    <w:rsid w:val="009C61F6"/>
    <w:rsid w:val="009C63A6"/>
    <w:rsid w:val="009C73CD"/>
    <w:rsid w:val="009C75DB"/>
    <w:rsid w:val="009D120B"/>
    <w:rsid w:val="009D16D6"/>
    <w:rsid w:val="009D1812"/>
    <w:rsid w:val="009D283E"/>
    <w:rsid w:val="009D40DE"/>
    <w:rsid w:val="009D58FD"/>
    <w:rsid w:val="009E15A6"/>
    <w:rsid w:val="009E16A4"/>
    <w:rsid w:val="009E2E6C"/>
    <w:rsid w:val="009E3A57"/>
    <w:rsid w:val="009E407E"/>
    <w:rsid w:val="009E4381"/>
    <w:rsid w:val="009E4695"/>
    <w:rsid w:val="009E4714"/>
    <w:rsid w:val="009F0968"/>
    <w:rsid w:val="009F0D27"/>
    <w:rsid w:val="009F16CA"/>
    <w:rsid w:val="009F4B00"/>
    <w:rsid w:val="009F6043"/>
    <w:rsid w:val="009F6313"/>
    <w:rsid w:val="009F6B78"/>
    <w:rsid w:val="00A0066E"/>
    <w:rsid w:val="00A0148C"/>
    <w:rsid w:val="00A017BF"/>
    <w:rsid w:val="00A02006"/>
    <w:rsid w:val="00A03A28"/>
    <w:rsid w:val="00A03B23"/>
    <w:rsid w:val="00A046A6"/>
    <w:rsid w:val="00A04A91"/>
    <w:rsid w:val="00A06D1F"/>
    <w:rsid w:val="00A104F5"/>
    <w:rsid w:val="00A112B3"/>
    <w:rsid w:val="00A11B56"/>
    <w:rsid w:val="00A13219"/>
    <w:rsid w:val="00A1470A"/>
    <w:rsid w:val="00A156C0"/>
    <w:rsid w:val="00A15C99"/>
    <w:rsid w:val="00A1682F"/>
    <w:rsid w:val="00A16E88"/>
    <w:rsid w:val="00A1731C"/>
    <w:rsid w:val="00A17F80"/>
    <w:rsid w:val="00A2102E"/>
    <w:rsid w:val="00A21272"/>
    <w:rsid w:val="00A25A83"/>
    <w:rsid w:val="00A27577"/>
    <w:rsid w:val="00A27933"/>
    <w:rsid w:val="00A30E85"/>
    <w:rsid w:val="00A31F05"/>
    <w:rsid w:val="00A32415"/>
    <w:rsid w:val="00A3242D"/>
    <w:rsid w:val="00A33DB3"/>
    <w:rsid w:val="00A33E8D"/>
    <w:rsid w:val="00A34C22"/>
    <w:rsid w:val="00A35996"/>
    <w:rsid w:val="00A35E2E"/>
    <w:rsid w:val="00A36C22"/>
    <w:rsid w:val="00A370AB"/>
    <w:rsid w:val="00A40FE9"/>
    <w:rsid w:val="00A41836"/>
    <w:rsid w:val="00A42603"/>
    <w:rsid w:val="00A453C8"/>
    <w:rsid w:val="00A465CC"/>
    <w:rsid w:val="00A46D18"/>
    <w:rsid w:val="00A47592"/>
    <w:rsid w:val="00A4791F"/>
    <w:rsid w:val="00A52616"/>
    <w:rsid w:val="00A5430F"/>
    <w:rsid w:val="00A54A61"/>
    <w:rsid w:val="00A54E1B"/>
    <w:rsid w:val="00A57A6E"/>
    <w:rsid w:val="00A62568"/>
    <w:rsid w:val="00A64646"/>
    <w:rsid w:val="00A64B85"/>
    <w:rsid w:val="00A65644"/>
    <w:rsid w:val="00A671E0"/>
    <w:rsid w:val="00A677E8"/>
    <w:rsid w:val="00A6781E"/>
    <w:rsid w:val="00A70C79"/>
    <w:rsid w:val="00A71491"/>
    <w:rsid w:val="00A72A15"/>
    <w:rsid w:val="00A75BF3"/>
    <w:rsid w:val="00A76862"/>
    <w:rsid w:val="00A76C62"/>
    <w:rsid w:val="00A77F6A"/>
    <w:rsid w:val="00A81F95"/>
    <w:rsid w:val="00A82676"/>
    <w:rsid w:val="00A82D4F"/>
    <w:rsid w:val="00A82EE7"/>
    <w:rsid w:val="00A84F51"/>
    <w:rsid w:val="00A8526C"/>
    <w:rsid w:val="00A85F00"/>
    <w:rsid w:val="00A86DDC"/>
    <w:rsid w:val="00A900DF"/>
    <w:rsid w:val="00A91637"/>
    <w:rsid w:val="00A91A5B"/>
    <w:rsid w:val="00A92E62"/>
    <w:rsid w:val="00A9372C"/>
    <w:rsid w:val="00A93FD6"/>
    <w:rsid w:val="00A9425C"/>
    <w:rsid w:val="00A94713"/>
    <w:rsid w:val="00A95725"/>
    <w:rsid w:val="00A958B9"/>
    <w:rsid w:val="00A95DE6"/>
    <w:rsid w:val="00A977EC"/>
    <w:rsid w:val="00AA0076"/>
    <w:rsid w:val="00AA0732"/>
    <w:rsid w:val="00AA0AA2"/>
    <w:rsid w:val="00AA1018"/>
    <w:rsid w:val="00AA1337"/>
    <w:rsid w:val="00AA1F7E"/>
    <w:rsid w:val="00AA4FC6"/>
    <w:rsid w:val="00AA530A"/>
    <w:rsid w:val="00AA58D7"/>
    <w:rsid w:val="00AA7917"/>
    <w:rsid w:val="00AAC1C4"/>
    <w:rsid w:val="00AB1BA8"/>
    <w:rsid w:val="00AB2DA1"/>
    <w:rsid w:val="00AB51F6"/>
    <w:rsid w:val="00AB5304"/>
    <w:rsid w:val="00AB5F92"/>
    <w:rsid w:val="00AC0954"/>
    <w:rsid w:val="00AC2576"/>
    <w:rsid w:val="00AC68E0"/>
    <w:rsid w:val="00AD180C"/>
    <w:rsid w:val="00AD341E"/>
    <w:rsid w:val="00AD38E3"/>
    <w:rsid w:val="00AD6137"/>
    <w:rsid w:val="00AD6E25"/>
    <w:rsid w:val="00AE24AD"/>
    <w:rsid w:val="00AE2B32"/>
    <w:rsid w:val="00AE3380"/>
    <w:rsid w:val="00AE3AD5"/>
    <w:rsid w:val="00AE4805"/>
    <w:rsid w:val="00AE4B8E"/>
    <w:rsid w:val="00AE5701"/>
    <w:rsid w:val="00AE6216"/>
    <w:rsid w:val="00AF139C"/>
    <w:rsid w:val="00AF2371"/>
    <w:rsid w:val="00AF41A3"/>
    <w:rsid w:val="00AF45FC"/>
    <w:rsid w:val="00AF464A"/>
    <w:rsid w:val="00AF79AC"/>
    <w:rsid w:val="00AF79B8"/>
    <w:rsid w:val="00AF7B55"/>
    <w:rsid w:val="00B00828"/>
    <w:rsid w:val="00B00C47"/>
    <w:rsid w:val="00B01715"/>
    <w:rsid w:val="00B020B4"/>
    <w:rsid w:val="00B0225B"/>
    <w:rsid w:val="00B028DE"/>
    <w:rsid w:val="00B03468"/>
    <w:rsid w:val="00B04A1E"/>
    <w:rsid w:val="00B05560"/>
    <w:rsid w:val="00B07037"/>
    <w:rsid w:val="00B0760E"/>
    <w:rsid w:val="00B10D0D"/>
    <w:rsid w:val="00B10D94"/>
    <w:rsid w:val="00B117CB"/>
    <w:rsid w:val="00B13143"/>
    <w:rsid w:val="00B139E7"/>
    <w:rsid w:val="00B158E6"/>
    <w:rsid w:val="00B1638A"/>
    <w:rsid w:val="00B178B6"/>
    <w:rsid w:val="00B20229"/>
    <w:rsid w:val="00B216F8"/>
    <w:rsid w:val="00B25EC4"/>
    <w:rsid w:val="00B278BE"/>
    <w:rsid w:val="00B27D86"/>
    <w:rsid w:val="00B27E75"/>
    <w:rsid w:val="00B3267E"/>
    <w:rsid w:val="00B3438B"/>
    <w:rsid w:val="00B35195"/>
    <w:rsid w:val="00B3549F"/>
    <w:rsid w:val="00B40151"/>
    <w:rsid w:val="00B40C2E"/>
    <w:rsid w:val="00B423B6"/>
    <w:rsid w:val="00B435DE"/>
    <w:rsid w:val="00B44A0C"/>
    <w:rsid w:val="00B44CC0"/>
    <w:rsid w:val="00B460E5"/>
    <w:rsid w:val="00B47649"/>
    <w:rsid w:val="00B47F8F"/>
    <w:rsid w:val="00B50C59"/>
    <w:rsid w:val="00B51F6D"/>
    <w:rsid w:val="00B52233"/>
    <w:rsid w:val="00B52734"/>
    <w:rsid w:val="00B53AD0"/>
    <w:rsid w:val="00B56AAD"/>
    <w:rsid w:val="00B57353"/>
    <w:rsid w:val="00B61C25"/>
    <w:rsid w:val="00B62273"/>
    <w:rsid w:val="00B6298B"/>
    <w:rsid w:val="00B62CF0"/>
    <w:rsid w:val="00B62EF5"/>
    <w:rsid w:val="00B633B2"/>
    <w:rsid w:val="00B63A61"/>
    <w:rsid w:val="00B646E0"/>
    <w:rsid w:val="00B6545C"/>
    <w:rsid w:val="00B66DF1"/>
    <w:rsid w:val="00B7314C"/>
    <w:rsid w:val="00B75FDB"/>
    <w:rsid w:val="00B7664A"/>
    <w:rsid w:val="00B81EF0"/>
    <w:rsid w:val="00B85799"/>
    <w:rsid w:val="00B90799"/>
    <w:rsid w:val="00B91F92"/>
    <w:rsid w:val="00B92D6A"/>
    <w:rsid w:val="00B938E6"/>
    <w:rsid w:val="00B94FAA"/>
    <w:rsid w:val="00B95720"/>
    <w:rsid w:val="00B958AD"/>
    <w:rsid w:val="00BA08F2"/>
    <w:rsid w:val="00BA148D"/>
    <w:rsid w:val="00BA2B40"/>
    <w:rsid w:val="00BA3986"/>
    <w:rsid w:val="00BA4B2F"/>
    <w:rsid w:val="00BA5C0D"/>
    <w:rsid w:val="00BA5C1E"/>
    <w:rsid w:val="00BB04AD"/>
    <w:rsid w:val="00BB1F09"/>
    <w:rsid w:val="00BB35C4"/>
    <w:rsid w:val="00BB3E7E"/>
    <w:rsid w:val="00BB645F"/>
    <w:rsid w:val="00BB6844"/>
    <w:rsid w:val="00BB6D2C"/>
    <w:rsid w:val="00BB6EB7"/>
    <w:rsid w:val="00BC09FD"/>
    <w:rsid w:val="00BC0F39"/>
    <w:rsid w:val="00BC1BCE"/>
    <w:rsid w:val="00BC25E3"/>
    <w:rsid w:val="00BC26D6"/>
    <w:rsid w:val="00BC34EE"/>
    <w:rsid w:val="00BC4224"/>
    <w:rsid w:val="00BC4FC2"/>
    <w:rsid w:val="00BC6FA6"/>
    <w:rsid w:val="00BC7382"/>
    <w:rsid w:val="00BC79AA"/>
    <w:rsid w:val="00BD1B60"/>
    <w:rsid w:val="00BD2AE4"/>
    <w:rsid w:val="00BD6E8C"/>
    <w:rsid w:val="00BE0406"/>
    <w:rsid w:val="00BE0526"/>
    <w:rsid w:val="00BE3C38"/>
    <w:rsid w:val="00BE45B2"/>
    <w:rsid w:val="00BE4BC4"/>
    <w:rsid w:val="00BE5651"/>
    <w:rsid w:val="00BF0D12"/>
    <w:rsid w:val="00BF0DF2"/>
    <w:rsid w:val="00BF483A"/>
    <w:rsid w:val="00BF5D99"/>
    <w:rsid w:val="00BF5F24"/>
    <w:rsid w:val="00BF627E"/>
    <w:rsid w:val="00BF62EB"/>
    <w:rsid w:val="00BF6C58"/>
    <w:rsid w:val="00C002C9"/>
    <w:rsid w:val="00C02995"/>
    <w:rsid w:val="00C03864"/>
    <w:rsid w:val="00C03E53"/>
    <w:rsid w:val="00C0485D"/>
    <w:rsid w:val="00C100E0"/>
    <w:rsid w:val="00C12C9A"/>
    <w:rsid w:val="00C13163"/>
    <w:rsid w:val="00C139A0"/>
    <w:rsid w:val="00C13A72"/>
    <w:rsid w:val="00C13EB1"/>
    <w:rsid w:val="00C14477"/>
    <w:rsid w:val="00C14839"/>
    <w:rsid w:val="00C16860"/>
    <w:rsid w:val="00C16A07"/>
    <w:rsid w:val="00C21E40"/>
    <w:rsid w:val="00C229E8"/>
    <w:rsid w:val="00C248DB"/>
    <w:rsid w:val="00C250C7"/>
    <w:rsid w:val="00C2623A"/>
    <w:rsid w:val="00C27189"/>
    <w:rsid w:val="00C27576"/>
    <w:rsid w:val="00C31E4B"/>
    <w:rsid w:val="00C32A4B"/>
    <w:rsid w:val="00C333D9"/>
    <w:rsid w:val="00C341C9"/>
    <w:rsid w:val="00C36C9B"/>
    <w:rsid w:val="00C36E90"/>
    <w:rsid w:val="00C405F3"/>
    <w:rsid w:val="00C40919"/>
    <w:rsid w:val="00C42D7C"/>
    <w:rsid w:val="00C434B0"/>
    <w:rsid w:val="00C43966"/>
    <w:rsid w:val="00C43B52"/>
    <w:rsid w:val="00C441C1"/>
    <w:rsid w:val="00C45790"/>
    <w:rsid w:val="00C47A70"/>
    <w:rsid w:val="00C50B5C"/>
    <w:rsid w:val="00C512A6"/>
    <w:rsid w:val="00C54976"/>
    <w:rsid w:val="00C605CB"/>
    <w:rsid w:val="00C60753"/>
    <w:rsid w:val="00C60AB5"/>
    <w:rsid w:val="00C62424"/>
    <w:rsid w:val="00C65BF6"/>
    <w:rsid w:val="00C66835"/>
    <w:rsid w:val="00C66BD3"/>
    <w:rsid w:val="00C67D77"/>
    <w:rsid w:val="00C70D7B"/>
    <w:rsid w:val="00C72768"/>
    <w:rsid w:val="00C749B4"/>
    <w:rsid w:val="00C80419"/>
    <w:rsid w:val="00C83928"/>
    <w:rsid w:val="00C84578"/>
    <w:rsid w:val="00C84733"/>
    <w:rsid w:val="00C86904"/>
    <w:rsid w:val="00C86F6D"/>
    <w:rsid w:val="00C873EB"/>
    <w:rsid w:val="00C87C69"/>
    <w:rsid w:val="00C9074E"/>
    <w:rsid w:val="00C9401E"/>
    <w:rsid w:val="00C94DBB"/>
    <w:rsid w:val="00C95C29"/>
    <w:rsid w:val="00C96083"/>
    <w:rsid w:val="00CA31DF"/>
    <w:rsid w:val="00CA5053"/>
    <w:rsid w:val="00CA5374"/>
    <w:rsid w:val="00CA6D4B"/>
    <w:rsid w:val="00CA6F99"/>
    <w:rsid w:val="00CB17A9"/>
    <w:rsid w:val="00CB22F2"/>
    <w:rsid w:val="00CB2BA9"/>
    <w:rsid w:val="00CB30D4"/>
    <w:rsid w:val="00CB3F74"/>
    <w:rsid w:val="00CB6C5C"/>
    <w:rsid w:val="00CB73E3"/>
    <w:rsid w:val="00CC068F"/>
    <w:rsid w:val="00CC0895"/>
    <w:rsid w:val="00CC0BAC"/>
    <w:rsid w:val="00CC189D"/>
    <w:rsid w:val="00CC2D31"/>
    <w:rsid w:val="00CC3F7A"/>
    <w:rsid w:val="00CC66EF"/>
    <w:rsid w:val="00CD0C9D"/>
    <w:rsid w:val="00CD23F4"/>
    <w:rsid w:val="00CD281B"/>
    <w:rsid w:val="00CD32C8"/>
    <w:rsid w:val="00CD3B3D"/>
    <w:rsid w:val="00CD3F20"/>
    <w:rsid w:val="00CD4412"/>
    <w:rsid w:val="00CD4D79"/>
    <w:rsid w:val="00CD5B6C"/>
    <w:rsid w:val="00CD5E2E"/>
    <w:rsid w:val="00CD61A5"/>
    <w:rsid w:val="00CE019C"/>
    <w:rsid w:val="00CE0F28"/>
    <w:rsid w:val="00CE1CBF"/>
    <w:rsid w:val="00CE22F6"/>
    <w:rsid w:val="00CE2458"/>
    <w:rsid w:val="00CE3E6B"/>
    <w:rsid w:val="00CE4FB8"/>
    <w:rsid w:val="00CE6A83"/>
    <w:rsid w:val="00CF0058"/>
    <w:rsid w:val="00CF0FBD"/>
    <w:rsid w:val="00CF144E"/>
    <w:rsid w:val="00CF284E"/>
    <w:rsid w:val="00CF470F"/>
    <w:rsid w:val="00CF483F"/>
    <w:rsid w:val="00CF6A8F"/>
    <w:rsid w:val="00CF6A97"/>
    <w:rsid w:val="00CF6BF0"/>
    <w:rsid w:val="00CF767D"/>
    <w:rsid w:val="00CF77C7"/>
    <w:rsid w:val="00CF79D7"/>
    <w:rsid w:val="00D008FA"/>
    <w:rsid w:val="00D01940"/>
    <w:rsid w:val="00D02EED"/>
    <w:rsid w:val="00D067CA"/>
    <w:rsid w:val="00D07058"/>
    <w:rsid w:val="00D0784E"/>
    <w:rsid w:val="00D07A54"/>
    <w:rsid w:val="00D10390"/>
    <w:rsid w:val="00D1359D"/>
    <w:rsid w:val="00D13D9A"/>
    <w:rsid w:val="00D14C0A"/>
    <w:rsid w:val="00D17C3E"/>
    <w:rsid w:val="00D17C6D"/>
    <w:rsid w:val="00D20AAB"/>
    <w:rsid w:val="00D211B2"/>
    <w:rsid w:val="00D222EE"/>
    <w:rsid w:val="00D2297D"/>
    <w:rsid w:val="00D22E08"/>
    <w:rsid w:val="00D22E2C"/>
    <w:rsid w:val="00D24556"/>
    <w:rsid w:val="00D2471C"/>
    <w:rsid w:val="00D27A33"/>
    <w:rsid w:val="00D302AC"/>
    <w:rsid w:val="00D3081A"/>
    <w:rsid w:val="00D31383"/>
    <w:rsid w:val="00D324A5"/>
    <w:rsid w:val="00D32707"/>
    <w:rsid w:val="00D3391D"/>
    <w:rsid w:val="00D367B7"/>
    <w:rsid w:val="00D369EB"/>
    <w:rsid w:val="00D40711"/>
    <w:rsid w:val="00D45153"/>
    <w:rsid w:val="00D45E0E"/>
    <w:rsid w:val="00D46FF1"/>
    <w:rsid w:val="00D515EA"/>
    <w:rsid w:val="00D522A2"/>
    <w:rsid w:val="00D52CA7"/>
    <w:rsid w:val="00D53969"/>
    <w:rsid w:val="00D53DC2"/>
    <w:rsid w:val="00D547A8"/>
    <w:rsid w:val="00D55BCA"/>
    <w:rsid w:val="00D55DE5"/>
    <w:rsid w:val="00D55F39"/>
    <w:rsid w:val="00D57591"/>
    <w:rsid w:val="00D60675"/>
    <w:rsid w:val="00D6072E"/>
    <w:rsid w:val="00D616D0"/>
    <w:rsid w:val="00D61D9F"/>
    <w:rsid w:val="00D62401"/>
    <w:rsid w:val="00D62A2B"/>
    <w:rsid w:val="00D63885"/>
    <w:rsid w:val="00D63D2E"/>
    <w:rsid w:val="00D6506B"/>
    <w:rsid w:val="00D6557E"/>
    <w:rsid w:val="00D656CC"/>
    <w:rsid w:val="00D65CA5"/>
    <w:rsid w:val="00D6759C"/>
    <w:rsid w:val="00D67F75"/>
    <w:rsid w:val="00D705AC"/>
    <w:rsid w:val="00D71726"/>
    <w:rsid w:val="00D73203"/>
    <w:rsid w:val="00D74F85"/>
    <w:rsid w:val="00D75087"/>
    <w:rsid w:val="00D76771"/>
    <w:rsid w:val="00D77AB6"/>
    <w:rsid w:val="00D803A8"/>
    <w:rsid w:val="00D8118F"/>
    <w:rsid w:val="00D81A3E"/>
    <w:rsid w:val="00D845F6"/>
    <w:rsid w:val="00D85223"/>
    <w:rsid w:val="00D91133"/>
    <w:rsid w:val="00D91450"/>
    <w:rsid w:val="00D93738"/>
    <w:rsid w:val="00D9482F"/>
    <w:rsid w:val="00DA11CE"/>
    <w:rsid w:val="00DA28A3"/>
    <w:rsid w:val="00DA3BA5"/>
    <w:rsid w:val="00DA4078"/>
    <w:rsid w:val="00DA4BF4"/>
    <w:rsid w:val="00DB00BE"/>
    <w:rsid w:val="00DB05BC"/>
    <w:rsid w:val="00DB1AA3"/>
    <w:rsid w:val="00DB1E22"/>
    <w:rsid w:val="00DB3D42"/>
    <w:rsid w:val="00DB49FB"/>
    <w:rsid w:val="00DB6538"/>
    <w:rsid w:val="00DB746E"/>
    <w:rsid w:val="00DB7978"/>
    <w:rsid w:val="00DC090D"/>
    <w:rsid w:val="00DC305A"/>
    <w:rsid w:val="00DC3EA1"/>
    <w:rsid w:val="00DC5D9A"/>
    <w:rsid w:val="00DC668E"/>
    <w:rsid w:val="00DD21FC"/>
    <w:rsid w:val="00DD3CF9"/>
    <w:rsid w:val="00DD4954"/>
    <w:rsid w:val="00DD4BEA"/>
    <w:rsid w:val="00DD5D58"/>
    <w:rsid w:val="00DD60F5"/>
    <w:rsid w:val="00DD65F5"/>
    <w:rsid w:val="00DE0431"/>
    <w:rsid w:val="00DE0997"/>
    <w:rsid w:val="00DE0F9F"/>
    <w:rsid w:val="00DE108C"/>
    <w:rsid w:val="00DE1312"/>
    <w:rsid w:val="00DE191B"/>
    <w:rsid w:val="00DE238F"/>
    <w:rsid w:val="00DE2DDB"/>
    <w:rsid w:val="00DE32FA"/>
    <w:rsid w:val="00DE35A4"/>
    <w:rsid w:val="00DE4977"/>
    <w:rsid w:val="00DE4AA7"/>
    <w:rsid w:val="00DE61A0"/>
    <w:rsid w:val="00DE7BA4"/>
    <w:rsid w:val="00DF0CE0"/>
    <w:rsid w:val="00DF2AAC"/>
    <w:rsid w:val="00DF69F3"/>
    <w:rsid w:val="00DF798A"/>
    <w:rsid w:val="00E00239"/>
    <w:rsid w:val="00E00D56"/>
    <w:rsid w:val="00E00E07"/>
    <w:rsid w:val="00E013D7"/>
    <w:rsid w:val="00E0338C"/>
    <w:rsid w:val="00E14127"/>
    <w:rsid w:val="00E1431C"/>
    <w:rsid w:val="00E14F7C"/>
    <w:rsid w:val="00E150F5"/>
    <w:rsid w:val="00E150F6"/>
    <w:rsid w:val="00E153B6"/>
    <w:rsid w:val="00E17071"/>
    <w:rsid w:val="00E20037"/>
    <w:rsid w:val="00E2060B"/>
    <w:rsid w:val="00E20EFD"/>
    <w:rsid w:val="00E21242"/>
    <w:rsid w:val="00E23097"/>
    <w:rsid w:val="00E231DA"/>
    <w:rsid w:val="00E23560"/>
    <w:rsid w:val="00E2670E"/>
    <w:rsid w:val="00E26B05"/>
    <w:rsid w:val="00E27779"/>
    <w:rsid w:val="00E31683"/>
    <w:rsid w:val="00E34792"/>
    <w:rsid w:val="00E348B2"/>
    <w:rsid w:val="00E3701D"/>
    <w:rsid w:val="00E402C9"/>
    <w:rsid w:val="00E40AE4"/>
    <w:rsid w:val="00E44E35"/>
    <w:rsid w:val="00E50BA8"/>
    <w:rsid w:val="00E50D40"/>
    <w:rsid w:val="00E51144"/>
    <w:rsid w:val="00E51322"/>
    <w:rsid w:val="00E51E6B"/>
    <w:rsid w:val="00E53569"/>
    <w:rsid w:val="00E54251"/>
    <w:rsid w:val="00E55A20"/>
    <w:rsid w:val="00E56049"/>
    <w:rsid w:val="00E566FE"/>
    <w:rsid w:val="00E61544"/>
    <w:rsid w:val="00E63546"/>
    <w:rsid w:val="00E63BFC"/>
    <w:rsid w:val="00E6480D"/>
    <w:rsid w:val="00E64B66"/>
    <w:rsid w:val="00E652EA"/>
    <w:rsid w:val="00E67B71"/>
    <w:rsid w:val="00E714E5"/>
    <w:rsid w:val="00E72208"/>
    <w:rsid w:val="00E73240"/>
    <w:rsid w:val="00E74A51"/>
    <w:rsid w:val="00E74FA4"/>
    <w:rsid w:val="00E775D7"/>
    <w:rsid w:val="00E77F4E"/>
    <w:rsid w:val="00E80716"/>
    <w:rsid w:val="00E8410C"/>
    <w:rsid w:val="00E85C22"/>
    <w:rsid w:val="00E87A64"/>
    <w:rsid w:val="00E917DC"/>
    <w:rsid w:val="00E91985"/>
    <w:rsid w:val="00EA24AA"/>
    <w:rsid w:val="00EA47C2"/>
    <w:rsid w:val="00EA49BC"/>
    <w:rsid w:val="00EA4FF9"/>
    <w:rsid w:val="00EA5B46"/>
    <w:rsid w:val="00EA7D56"/>
    <w:rsid w:val="00EB2A01"/>
    <w:rsid w:val="00EB2DAA"/>
    <w:rsid w:val="00EB3A80"/>
    <w:rsid w:val="00EB4864"/>
    <w:rsid w:val="00EB7A63"/>
    <w:rsid w:val="00EC1BD3"/>
    <w:rsid w:val="00EC20DC"/>
    <w:rsid w:val="00EC2A9C"/>
    <w:rsid w:val="00EC2CFF"/>
    <w:rsid w:val="00EC407B"/>
    <w:rsid w:val="00EC597D"/>
    <w:rsid w:val="00EC63BF"/>
    <w:rsid w:val="00ED0089"/>
    <w:rsid w:val="00ED2ED6"/>
    <w:rsid w:val="00ED2FBC"/>
    <w:rsid w:val="00ED475C"/>
    <w:rsid w:val="00ED4D8F"/>
    <w:rsid w:val="00ED6CD5"/>
    <w:rsid w:val="00ED746D"/>
    <w:rsid w:val="00ED7809"/>
    <w:rsid w:val="00EE10B3"/>
    <w:rsid w:val="00EE1180"/>
    <w:rsid w:val="00EE143A"/>
    <w:rsid w:val="00EE391C"/>
    <w:rsid w:val="00EE4139"/>
    <w:rsid w:val="00EE4E4E"/>
    <w:rsid w:val="00EE64B4"/>
    <w:rsid w:val="00EE6847"/>
    <w:rsid w:val="00EE69B0"/>
    <w:rsid w:val="00EF0B0F"/>
    <w:rsid w:val="00EF12A7"/>
    <w:rsid w:val="00EF48AB"/>
    <w:rsid w:val="00EF4A0F"/>
    <w:rsid w:val="00EF5E8F"/>
    <w:rsid w:val="00EF6426"/>
    <w:rsid w:val="00EF6BA3"/>
    <w:rsid w:val="00F014AD"/>
    <w:rsid w:val="00F01630"/>
    <w:rsid w:val="00F01C13"/>
    <w:rsid w:val="00F02641"/>
    <w:rsid w:val="00F03A03"/>
    <w:rsid w:val="00F03B0A"/>
    <w:rsid w:val="00F03B90"/>
    <w:rsid w:val="00F056B5"/>
    <w:rsid w:val="00F07759"/>
    <w:rsid w:val="00F11F05"/>
    <w:rsid w:val="00F12B0F"/>
    <w:rsid w:val="00F135F1"/>
    <w:rsid w:val="00F1477F"/>
    <w:rsid w:val="00F150C0"/>
    <w:rsid w:val="00F165BD"/>
    <w:rsid w:val="00F219F8"/>
    <w:rsid w:val="00F25FF2"/>
    <w:rsid w:val="00F26488"/>
    <w:rsid w:val="00F31734"/>
    <w:rsid w:val="00F34FFA"/>
    <w:rsid w:val="00F37E51"/>
    <w:rsid w:val="00F4015F"/>
    <w:rsid w:val="00F40A98"/>
    <w:rsid w:val="00F41EDC"/>
    <w:rsid w:val="00F42C54"/>
    <w:rsid w:val="00F440BA"/>
    <w:rsid w:val="00F446AA"/>
    <w:rsid w:val="00F45F14"/>
    <w:rsid w:val="00F46ADC"/>
    <w:rsid w:val="00F46D4E"/>
    <w:rsid w:val="00F4748D"/>
    <w:rsid w:val="00F5315D"/>
    <w:rsid w:val="00F532F5"/>
    <w:rsid w:val="00F53C4E"/>
    <w:rsid w:val="00F5445E"/>
    <w:rsid w:val="00F609FA"/>
    <w:rsid w:val="00F6212F"/>
    <w:rsid w:val="00F63110"/>
    <w:rsid w:val="00F632A4"/>
    <w:rsid w:val="00F63726"/>
    <w:rsid w:val="00F63BEC"/>
    <w:rsid w:val="00F64967"/>
    <w:rsid w:val="00F64F96"/>
    <w:rsid w:val="00F65EE5"/>
    <w:rsid w:val="00F67662"/>
    <w:rsid w:val="00F67A51"/>
    <w:rsid w:val="00F70D57"/>
    <w:rsid w:val="00F728AF"/>
    <w:rsid w:val="00F7518D"/>
    <w:rsid w:val="00F75F2F"/>
    <w:rsid w:val="00F76BB9"/>
    <w:rsid w:val="00F80369"/>
    <w:rsid w:val="00F82088"/>
    <w:rsid w:val="00F824E2"/>
    <w:rsid w:val="00F825D4"/>
    <w:rsid w:val="00F82710"/>
    <w:rsid w:val="00F842BE"/>
    <w:rsid w:val="00F844A7"/>
    <w:rsid w:val="00F87AFF"/>
    <w:rsid w:val="00F90528"/>
    <w:rsid w:val="00F905B4"/>
    <w:rsid w:val="00F9272D"/>
    <w:rsid w:val="00F945BC"/>
    <w:rsid w:val="00F95764"/>
    <w:rsid w:val="00FA120C"/>
    <w:rsid w:val="00FA12CC"/>
    <w:rsid w:val="00FA1301"/>
    <w:rsid w:val="00FA2602"/>
    <w:rsid w:val="00FA32BB"/>
    <w:rsid w:val="00FA36CE"/>
    <w:rsid w:val="00FA5C60"/>
    <w:rsid w:val="00FA63BA"/>
    <w:rsid w:val="00FA742B"/>
    <w:rsid w:val="00FA7E19"/>
    <w:rsid w:val="00FB2799"/>
    <w:rsid w:val="00FB4BA3"/>
    <w:rsid w:val="00FB6526"/>
    <w:rsid w:val="00FB684A"/>
    <w:rsid w:val="00FB7DA4"/>
    <w:rsid w:val="00FC1D60"/>
    <w:rsid w:val="00FC264B"/>
    <w:rsid w:val="00FC2CEF"/>
    <w:rsid w:val="00FC4CF9"/>
    <w:rsid w:val="00FC4F50"/>
    <w:rsid w:val="00FC577E"/>
    <w:rsid w:val="00FC57FD"/>
    <w:rsid w:val="00FC5D8C"/>
    <w:rsid w:val="00FC5E9F"/>
    <w:rsid w:val="00FC603E"/>
    <w:rsid w:val="00FC6CF1"/>
    <w:rsid w:val="00FC6ED6"/>
    <w:rsid w:val="00FC7089"/>
    <w:rsid w:val="00FC7FA8"/>
    <w:rsid w:val="00FD0938"/>
    <w:rsid w:val="00FD3142"/>
    <w:rsid w:val="00FD50BC"/>
    <w:rsid w:val="00FD5E97"/>
    <w:rsid w:val="00FD5F9C"/>
    <w:rsid w:val="00FD6709"/>
    <w:rsid w:val="00FE043A"/>
    <w:rsid w:val="00FE16D8"/>
    <w:rsid w:val="00FE26F6"/>
    <w:rsid w:val="00FE31CC"/>
    <w:rsid w:val="00FF1C9C"/>
    <w:rsid w:val="00FF1E82"/>
    <w:rsid w:val="00FF26E9"/>
    <w:rsid w:val="00FF2FF2"/>
    <w:rsid w:val="00FF388C"/>
    <w:rsid w:val="00FF3ACE"/>
    <w:rsid w:val="00FF5415"/>
    <w:rsid w:val="00FF6C4C"/>
    <w:rsid w:val="0113F613"/>
    <w:rsid w:val="011422D3"/>
    <w:rsid w:val="01226E63"/>
    <w:rsid w:val="013BDC63"/>
    <w:rsid w:val="014C2E12"/>
    <w:rsid w:val="014CE59A"/>
    <w:rsid w:val="01563A0A"/>
    <w:rsid w:val="015E9F00"/>
    <w:rsid w:val="015FA005"/>
    <w:rsid w:val="0164C481"/>
    <w:rsid w:val="0194BCE3"/>
    <w:rsid w:val="019600D3"/>
    <w:rsid w:val="01B03AD2"/>
    <w:rsid w:val="01E1283A"/>
    <w:rsid w:val="01E3A42E"/>
    <w:rsid w:val="01F9CA3D"/>
    <w:rsid w:val="02060E6C"/>
    <w:rsid w:val="0248E878"/>
    <w:rsid w:val="0253ADB3"/>
    <w:rsid w:val="026C61C9"/>
    <w:rsid w:val="0292C7E3"/>
    <w:rsid w:val="029645D3"/>
    <w:rsid w:val="02B7E9ED"/>
    <w:rsid w:val="02B83D81"/>
    <w:rsid w:val="02BFA085"/>
    <w:rsid w:val="02C2E459"/>
    <w:rsid w:val="02C3E2C4"/>
    <w:rsid w:val="02D1E5EF"/>
    <w:rsid w:val="02F71740"/>
    <w:rsid w:val="02F7F991"/>
    <w:rsid w:val="03154E5E"/>
    <w:rsid w:val="03224BE2"/>
    <w:rsid w:val="0339600F"/>
    <w:rsid w:val="0357239D"/>
    <w:rsid w:val="03578BE1"/>
    <w:rsid w:val="036E28A5"/>
    <w:rsid w:val="037454A3"/>
    <w:rsid w:val="039D4810"/>
    <w:rsid w:val="03A02DF9"/>
    <w:rsid w:val="03A84B27"/>
    <w:rsid w:val="03CC8042"/>
    <w:rsid w:val="03D534CE"/>
    <w:rsid w:val="03EFF20F"/>
    <w:rsid w:val="03F3AB0E"/>
    <w:rsid w:val="04134831"/>
    <w:rsid w:val="041B7062"/>
    <w:rsid w:val="042670AE"/>
    <w:rsid w:val="042B1965"/>
    <w:rsid w:val="04332296"/>
    <w:rsid w:val="045F9ECB"/>
    <w:rsid w:val="046C9EC7"/>
    <w:rsid w:val="048E9BDE"/>
    <w:rsid w:val="04A051AA"/>
    <w:rsid w:val="04A05C42"/>
    <w:rsid w:val="04A6E5A9"/>
    <w:rsid w:val="04BB7EA1"/>
    <w:rsid w:val="04CDF13C"/>
    <w:rsid w:val="04D5200C"/>
    <w:rsid w:val="04D90134"/>
    <w:rsid w:val="04E5909A"/>
    <w:rsid w:val="04EC08BF"/>
    <w:rsid w:val="04FA4060"/>
    <w:rsid w:val="0528130D"/>
    <w:rsid w:val="053B9F3F"/>
    <w:rsid w:val="054340F9"/>
    <w:rsid w:val="05723FEE"/>
    <w:rsid w:val="0591EDAB"/>
    <w:rsid w:val="05AF5F6A"/>
    <w:rsid w:val="05CB027B"/>
    <w:rsid w:val="05CBEFEB"/>
    <w:rsid w:val="05D08BA6"/>
    <w:rsid w:val="05D16702"/>
    <w:rsid w:val="05F04548"/>
    <w:rsid w:val="060446C3"/>
    <w:rsid w:val="06079D6C"/>
    <w:rsid w:val="060E7301"/>
    <w:rsid w:val="0614399D"/>
    <w:rsid w:val="062F46AE"/>
    <w:rsid w:val="065983B6"/>
    <w:rsid w:val="0668F84F"/>
    <w:rsid w:val="0669C19D"/>
    <w:rsid w:val="0672691D"/>
    <w:rsid w:val="06738FCE"/>
    <w:rsid w:val="068FFDD9"/>
    <w:rsid w:val="06A4DBFD"/>
    <w:rsid w:val="06BE2B98"/>
    <w:rsid w:val="06C40D6A"/>
    <w:rsid w:val="06E70B14"/>
    <w:rsid w:val="06E80EE2"/>
    <w:rsid w:val="07109A9B"/>
    <w:rsid w:val="074F3E16"/>
    <w:rsid w:val="0760D66B"/>
    <w:rsid w:val="07634F41"/>
    <w:rsid w:val="0767C1D6"/>
    <w:rsid w:val="078BD755"/>
    <w:rsid w:val="07AE073B"/>
    <w:rsid w:val="07C39067"/>
    <w:rsid w:val="07DC573F"/>
    <w:rsid w:val="07E50802"/>
    <w:rsid w:val="080A16FB"/>
    <w:rsid w:val="081A6F6D"/>
    <w:rsid w:val="083155F8"/>
    <w:rsid w:val="083704BC"/>
    <w:rsid w:val="08463029"/>
    <w:rsid w:val="084C1F91"/>
    <w:rsid w:val="084D40DC"/>
    <w:rsid w:val="08592976"/>
    <w:rsid w:val="0864630A"/>
    <w:rsid w:val="0867B593"/>
    <w:rsid w:val="086BC39E"/>
    <w:rsid w:val="086C06C2"/>
    <w:rsid w:val="087689D8"/>
    <w:rsid w:val="08B12480"/>
    <w:rsid w:val="08B3F621"/>
    <w:rsid w:val="08CA307D"/>
    <w:rsid w:val="09556BB0"/>
    <w:rsid w:val="0968113F"/>
    <w:rsid w:val="09695BBC"/>
    <w:rsid w:val="096982FA"/>
    <w:rsid w:val="096EAC4C"/>
    <w:rsid w:val="096FE8A1"/>
    <w:rsid w:val="09925297"/>
    <w:rsid w:val="09B016B5"/>
    <w:rsid w:val="09B4B145"/>
    <w:rsid w:val="09BAA239"/>
    <w:rsid w:val="09BE4FE5"/>
    <w:rsid w:val="09C581CF"/>
    <w:rsid w:val="09D030E1"/>
    <w:rsid w:val="09EE096B"/>
    <w:rsid w:val="09F4892C"/>
    <w:rsid w:val="0A1C70E8"/>
    <w:rsid w:val="0A320555"/>
    <w:rsid w:val="0A832032"/>
    <w:rsid w:val="0A8F63D6"/>
    <w:rsid w:val="0AA4628C"/>
    <w:rsid w:val="0ABA9058"/>
    <w:rsid w:val="0AEFB570"/>
    <w:rsid w:val="0B0F36C1"/>
    <w:rsid w:val="0B10898E"/>
    <w:rsid w:val="0B2C51F8"/>
    <w:rsid w:val="0B3859F2"/>
    <w:rsid w:val="0B39A349"/>
    <w:rsid w:val="0B3CC381"/>
    <w:rsid w:val="0B474B55"/>
    <w:rsid w:val="0B4FE9A0"/>
    <w:rsid w:val="0B6AD34D"/>
    <w:rsid w:val="0B6FD520"/>
    <w:rsid w:val="0B743983"/>
    <w:rsid w:val="0B93D8FA"/>
    <w:rsid w:val="0BA62003"/>
    <w:rsid w:val="0BB1CD96"/>
    <w:rsid w:val="0BB5BC2B"/>
    <w:rsid w:val="0BBF68F6"/>
    <w:rsid w:val="0BC0F7D5"/>
    <w:rsid w:val="0BD721ED"/>
    <w:rsid w:val="0BE99BA0"/>
    <w:rsid w:val="0BF55231"/>
    <w:rsid w:val="0BF6CD36"/>
    <w:rsid w:val="0BFF68C7"/>
    <w:rsid w:val="0C012F2F"/>
    <w:rsid w:val="0C06A22F"/>
    <w:rsid w:val="0C08BD8E"/>
    <w:rsid w:val="0C24A872"/>
    <w:rsid w:val="0C2F3880"/>
    <w:rsid w:val="0C4ECD8C"/>
    <w:rsid w:val="0C5797E3"/>
    <w:rsid w:val="0C6B329E"/>
    <w:rsid w:val="0CA2DC77"/>
    <w:rsid w:val="0CAA06E6"/>
    <w:rsid w:val="0CDB9430"/>
    <w:rsid w:val="0D00B7A2"/>
    <w:rsid w:val="0D053755"/>
    <w:rsid w:val="0D06C88E"/>
    <w:rsid w:val="0D107923"/>
    <w:rsid w:val="0D1C7B92"/>
    <w:rsid w:val="0D226DC6"/>
    <w:rsid w:val="0D2E85E1"/>
    <w:rsid w:val="0D4CF0CB"/>
    <w:rsid w:val="0D7891A4"/>
    <w:rsid w:val="0D7BB2BB"/>
    <w:rsid w:val="0D850623"/>
    <w:rsid w:val="0D8EF67F"/>
    <w:rsid w:val="0DAD4265"/>
    <w:rsid w:val="0DB35097"/>
    <w:rsid w:val="0DB4E3AD"/>
    <w:rsid w:val="0DB4E9D8"/>
    <w:rsid w:val="0DEBAB31"/>
    <w:rsid w:val="0DECAC0C"/>
    <w:rsid w:val="0E1B9F17"/>
    <w:rsid w:val="0E218B81"/>
    <w:rsid w:val="0E3C8F76"/>
    <w:rsid w:val="0E425229"/>
    <w:rsid w:val="0E48463A"/>
    <w:rsid w:val="0E761544"/>
    <w:rsid w:val="0E89E32A"/>
    <w:rsid w:val="0E8BD278"/>
    <w:rsid w:val="0EA74B7A"/>
    <w:rsid w:val="0EAF1143"/>
    <w:rsid w:val="0EC1A01F"/>
    <w:rsid w:val="0EE55D1B"/>
    <w:rsid w:val="0EE8974A"/>
    <w:rsid w:val="0EED7023"/>
    <w:rsid w:val="0EF7EB3C"/>
    <w:rsid w:val="0F0817D9"/>
    <w:rsid w:val="0F126A79"/>
    <w:rsid w:val="0F2F46F6"/>
    <w:rsid w:val="0F583707"/>
    <w:rsid w:val="0F84805E"/>
    <w:rsid w:val="0FA34D91"/>
    <w:rsid w:val="0FC0D919"/>
    <w:rsid w:val="0FD2A7E0"/>
    <w:rsid w:val="0FD3DDAA"/>
    <w:rsid w:val="0FF1AF72"/>
    <w:rsid w:val="0FF3EE38"/>
    <w:rsid w:val="1006C126"/>
    <w:rsid w:val="100A04AD"/>
    <w:rsid w:val="100ABB29"/>
    <w:rsid w:val="10105E5F"/>
    <w:rsid w:val="102DEF8D"/>
    <w:rsid w:val="1037F7A3"/>
    <w:rsid w:val="10428EA4"/>
    <w:rsid w:val="10580DE2"/>
    <w:rsid w:val="105CBD93"/>
    <w:rsid w:val="106CB815"/>
    <w:rsid w:val="107E49C1"/>
    <w:rsid w:val="10AF09F1"/>
    <w:rsid w:val="10BE19B9"/>
    <w:rsid w:val="10C9993C"/>
    <w:rsid w:val="10E5D70C"/>
    <w:rsid w:val="10E87CED"/>
    <w:rsid w:val="10F8BDBF"/>
    <w:rsid w:val="11043405"/>
    <w:rsid w:val="1118FFC9"/>
    <w:rsid w:val="111A5C72"/>
    <w:rsid w:val="1133786E"/>
    <w:rsid w:val="1153F067"/>
    <w:rsid w:val="1154BE97"/>
    <w:rsid w:val="1155FA52"/>
    <w:rsid w:val="1160F1C9"/>
    <w:rsid w:val="11681B54"/>
    <w:rsid w:val="1193414F"/>
    <w:rsid w:val="11946B83"/>
    <w:rsid w:val="1198B83B"/>
    <w:rsid w:val="11E1B95B"/>
    <w:rsid w:val="1206A219"/>
    <w:rsid w:val="1226EB55"/>
    <w:rsid w:val="122F0D0F"/>
    <w:rsid w:val="123EB44F"/>
    <w:rsid w:val="124382E1"/>
    <w:rsid w:val="125091A7"/>
    <w:rsid w:val="12531654"/>
    <w:rsid w:val="125320EC"/>
    <w:rsid w:val="125F5EB4"/>
    <w:rsid w:val="126C30C0"/>
    <w:rsid w:val="12ADC425"/>
    <w:rsid w:val="12B728F2"/>
    <w:rsid w:val="12B86117"/>
    <w:rsid w:val="12BF2110"/>
    <w:rsid w:val="12CE3D76"/>
    <w:rsid w:val="12CF0E21"/>
    <w:rsid w:val="12DFCC95"/>
    <w:rsid w:val="12F3D947"/>
    <w:rsid w:val="12FF2C71"/>
    <w:rsid w:val="131C116C"/>
    <w:rsid w:val="1330B4F7"/>
    <w:rsid w:val="13570C68"/>
    <w:rsid w:val="135B1500"/>
    <w:rsid w:val="1373360D"/>
    <w:rsid w:val="1374B642"/>
    <w:rsid w:val="1382569C"/>
    <w:rsid w:val="1382CDD4"/>
    <w:rsid w:val="13A396D2"/>
    <w:rsid w:val="13BDFBD9"/>
    <w:rsid w:val="13C1FD00"/>
    <w:rsid w:val="13CC587E"/>
    <w:rsid w:val="13D07792"/>
    <w:rsid w:val="13D531C2"/>
    <w:rsid w:val="13F0A3F6"/>
    <w:rsid w:val="13F188FA"/>
    <w:rsid w:val="140EB007"/>
    <w:rsid w:val="1415EFEA"/>
    <w:rsid w:val="1416E9F7"/>
    <w:rsid w:val="141CF681"/>
    <w:rsid w:val="1422D4A3"/>
    <w:rsid w:val="1440FFC6"/>
    <w:rsid w:val="144A7550"/>
    <w:rsid w:val="1459612D"/>
    <w:rsid w:val="146F6FDA"/>
    <w:rsid w:val="148BC7E1"/>
    <w:rsid w:val="1494C914"/>
    <w:rsid w:val="14B66AED"/>
    <w:rsid w:val="14C4047D"/>
    <w:rsid w:val="14DD576B"/>
    <w:rsid w:val="14E66E2A"/>
    <w:rsid w:val="14F250E8"/>
    <w:rsid w:val="1504F818"/>
    <w:rsid w:val="1518FDB0"/>
    <w:rsid w:val="15580CD5"/>
    <w:rsid w:val="156C03A5"/>
    <w:rsid w:val="1578F0B9"/>
    <w:rsid w:val="158B778B"/>
    <w:rsid w:val="158CD1D7"/>
    <w:rsid w:val="159ED097"/>
    <w:rsid w:val="15A7414B"/>
    <w:rsid w:val="15B2625B"/>
    <w:rsid w:val="15C769C8"/>
    <w:rsid w:val="15C7F1E4"/>
    <w:rsid w:val="15EC1D58"/>
    <w:rsid w:val="15EF2F56"/>
    <w:rsid w:val="15F6BFBD"/>
    <w:rsid w:val="1659C6D4"/>
    <w:rsid w:val="165E982E"/>
    <w:rsid w:val="1673E402"/>
    <w:rsid w:val="1675CDCD"/>
    <w:rsid w:val="1684FC23"/>
    <w:rsid w:val="1691325C"/>
    <w:rsid w:val="169AA578"/>
    <w:rsid w:val="169C11DB"/>
    <w:rsid w:val="16A4B529"/>
    <w:rsid w:val="16B86061"/>
    <w:rsid w:val="16D25475"/>
    <w:rsid w:val="16D4B1E1"/>
    <w:rsid w:val="16DECEB7"/>
    <w:rsid w:val="17175B09"/>
    <w:rsid w:val="17366C20"/>
    <w:rsid w:val="17762082"/>
    <w:rsid w:val="17B4ADD2"/>
    <w:rsid w:val="17B77059"/>
    <w:rsid w:val="17D88085"/>
    <w:rsid w:val="17E4DE15"/>
    <w:rsid w:val="1826FC52"/>
    <w:rsid w:val="182CBEC9"/>
    <w:rsid w:val="18496C93"/>
    <w:rsid w:val="1849BAFC"/>
    <w:rsid w:val="1850D75E"/>
    <w:rsid w:val="18672928"/>
    <w:rsid w:val="1870B999"/>
    <w:rsid w:val="187319CF"/>
    <w:rsid w:val="188D4EC7"/>
    <w:rsid w:val="188EFA6D"/>
    <w:rsid w:val="189074C0"/>
    <w:rsid w:val="18D23C81"/>
    <w:rsid w:val="18E61438"/>
    <w:rsid w:val="18E689ED"/>
    <w:rsid w:val="18ED34E3"/>
    <w:rsid w:val="1908D758"/>
    <w:rsid w:val="1915BCEF"/>
    <w:rsid w:val="192ACB2C"/>
    <w:rsid w:val="1933D365"/>
    <w:rsid w:val="1955F8A9"/>
    <w:rsid w:val="19732BCA"/>
    <w:rsid w:val="198C6DBC"/>
    <w:rsid w:val="19951297"/>
    <w:rsid w:val="199FF000"/>
    <w:rsid w:val="19B07D34"/>
    <w:rsid w:val="19C599D2"/>
    <w:rsid w:val="19CAF791"/>
    <w:rsid w:val="19DA6596"/>
    <w:rsid w:val="19FAC243"/>
    <w:rsid w:val="1A0520AE"/>
    <w:rsid w:val="1A282FC9"/>
    <w:rsid w:val="1A4B2B17"/>
    <w:rsid w:val="1A4F5286"/>
    <w:rsid w:val="1A5760CA"/>
    <w:rsid w:val="1A5E0B93"/>
    <w:rsid w:val="1A66E9A5"/>
    <w:rsid w:val="1A743E98"/>
    <w:rsid w:val="1A745634"/>
    <w:rsid w:val="1A927FE6"/>
    <w:rsid w:val="1AAE384B"/>
    <w:rsid w:val="1AB07838"/>
    <w:rsid w:val="1AB0D247"/>
    <w:rsid w:val="1AB9522D"/>
    <w:rsid w:val="1AD0A631"/>
    <w:rsid w:val="1AE601C6"/>
    <w:rsid w:val="1AECBECE"/>
    <w:rsid w:val="1B2D3EDC"/>
    <w:rsid w:val="1B47BF12"/>
    <w:rsid w:val="1B52B21C"/>
    <w:rsid w:val="1B6DBD67"/>
    <w:rsid w:val="1B6F16D7"/>
    <w:rsid w:val="1B7164C4"/>
    <w:rsid w:val="1BA5BA56"/>
    <w:rsid w:val="1BB8699A"/>
    <w:rsid w:val="1BBB95AA"/>
    <w:rsid w:val="1BD2B7D8"/>
    <w:rsid w:val="1BD2EF65"/>
    <w:rsid w:val="1BF08DA8"/>
    <w:rsid w:val="1C0285D2"/>
    <w:rsid w:val="1C06A715"/>
    <w:rsid w:val="1C16BF9E"/>
    <w:rsid w:val="1C3137AE"/>
    <w:rsid w:val="1C3156B2"/>
    <w:rsid w:val="1C3279C2"/>
    <w:rsid w:val="1C4461AD"/>
    <w:rsid w:val="1C458388"/>
    <w:rsid w:val="1C4A2405"/>
    <w:rsid w:val="1C5E069E"/>
    <w:rsid w:val="1C6195AA"/>
    <w:rsid w:val="1C6EBBBB"/>
    <w:rsid w:val="1CA9D07A"/>
    <w:rsid w:val="1CAE99E7"/>
    <w:rsid w:val="1CC18759"/>
    <w:rsid w:val="1CC33FD0"/>
    <w:rsid w:val="1CDD76BB"/>
    <w:rsid w:val="1CF4B691"/>
    <w:rsid w:val="1D075E4C"/>
    <w:rsid w:val="1D1FB977"/>
    <w:rsid w:val="1D30EC14"/>
    <w:rsid w:val="1D34A1E1"/>
    <w:rsid w:val="1D71DE1B"/>
    <w:rsid w:val="1D765DD5"/>
    <w:rsid w:val="1D87B2FD"/>
    <w:rsid w:val="1D899B82"/>
    <w:rsid w:val="1DB3B6B5"/>
    <w:rsid w:val="1DBE48DF"/>
    <w:rsid w:val="1DC47B84"/>
    <w:rsid w:val="1DD116D8"/>
    <w:rsid w:val="1DD9041A"/>
    <w:rsid w:val="1DDDF3C9"/>
    <w:rsid w:val="1DE1D75D"/>
    <w:rsid w:val="1DE6B31C"/>
    <w:rsid w:val="1DE770C8"/>
    <w:rsid w:val="1DF2DE37"/>
    <w:rsid w:val="1DFA4BD3"/>
    <w:rsid w:val="1E04C453"/>
    <w:rsid w:val="1E095B9B"/>
    <w:rsid w:val="1E2BD661"/>
    <w:rsid w:val="1E385F00"/>
    <w:rsid w:val="1E644066"/>
    <w:rsid w:val="1E69A50A"/>
    <w:rsid w:val="1E723F29"/>
    <w:rsid w:val="1E751C75"/>
    <w:rsid w:val="1E92E4D2"/>
    <w:rsid w:val="1E95BA2B"/>
    <w:rsid w:val="1E9E9003"/>
    <w:rsid w:val="1EB135EC"/>
    <w:rsid w:val="1EB932C9"/>
    <w:rsid w:val="1ED808DB"/>
    <w:rsid w:val="1EEBBC79"/>
    <w:rsid w:val="1F044758"/>
    <w:rsid w:val="1F144737"/>
    <w:rsid w:val="1F1B7914"/>
    <w:rsid w:val="1F3D8B2B"/>
    <w:rsid w:val="1F600337"/>
    <w:rsid w:val="1F779702"/>
    <w:rsid w:val="1F887958"/>
    <w:rsid w:val="1FAC5EE9"/>
    <w:rsid w:val="1FD38B3F"/>
    <w:rsid w:val="1FD69673"/>
    <w:rsid w:val="1FFE531A"/>
    <w:rsid w:val="2009D70D"/>
    <w:rsid w:val="20434716"/>
    <w:rsid w:val="2063F076"/>
    <w:rsid w:val="209022C8"/>
    <w:rsid w:val="2094F6FD"/>
    <w:rsid w:val="20953049"/>
    <w:rsid w:val="20B0A21A"/>
    <w:rsid w:val="20E46F45"/>
    <w:rsid w:val="20F0DE81"/>
    <w:rsid w:val="210ABDBF"/>
    <w:rsid w:val="2113AA85"/>
    <w:rsid w:val="2117BD81"/>
    <w:rsid w:val="211B74ED"/>
    <w:rsid w:val="211EEB56"/>
    <w:rsid w:val="2139007E"/>
    <w:rsid w:val="213CD910"/>
    <w:rsid w:val="215017B8"/>
    <w:rsid w:val="21590BF8"/>
    <w:rsid w:val="216323D9"/>
    <w:rsid w:val="217297FE"/>
    <w:rsid w:val="21738727"/>
    <w:rsid w:val="2175A9FC"/>
    <w:rsid w:val="2180390E"/>
    <w:rsid w:val="21B3239F"/>
    <w:rsid w:val="21B6579B"/>
    <w:rsid w:val="21C65442"/>
    <w:rsid w:val="21EFCE37"/>
    <w:rsid w:val="221B651D"/>
    <w:rsid w:val="22323E4F"/>
    <w:rsid w:val="2240CF28"/>
    <w:rsid w:val="225BC26D"/>
    <w:rsid w:val="228C85EB"/>
    <w:rsid w:val="228D13F2"/>
    <w:rsid w:val="2295A028"/>
    <w:rsid w:val="229E0A7F"/>
    <w:rsid w:val="22BE9366"/>
    <w:rsid w:val="22D3CFA8"/>
    <w:rsid w:val="22D76534"/>
    <w:rsid w:val="22DC693E"/>
    <w:rsid w:val="22E5B1A7"/>
    <w:rsid w:val="230DED8D"/>
    <w:rsid w:val="230F2407"/>
    <w:rsid w:val="231CA880"/>
    <w:rsid w:val="23267E72"/>
    <w:rsid w:val="23461B31"/>
    <w:rsid w:val="234DF7E1"/>
    <w:rsid w:val="23688178"/>
    <w:rsid w:val="2371CE55"/>
    <w:rsid w:val="2372A336"/>
    <w:rsid w:val="2374699E"/>
    <w:rsid w:val="237EE5FB"/>
    <w:rsid w:val="238253AB"/>
    <w:rsid w:val="23B07AF7"/>
    <w:rsid w:val="23BF9B7E"/>
    <w:rsid w:val="23C96C74"/>
    <w:rsid w:val="23F55EF8"/>
    <w:rsid w:val="24311ED6"/>
    <w:rsid w:val="24335139"/>
    <w:rsid w:val="2440C94D"/>
    <w:rsid w:val="24773F54"/>
    <w:rsid w:val="2479A172"/>
    <w:rsid w:val="248DF26A"/>
    <w:rsid w:val="249B98C6"/>
    <w:rsid w:val="24A8F432"/>
    <w:rsid w:val="24AC1712"/>
    <w:rsid w:val="24B4F34B"/>
    <w:rsid w:val="24C5D253"/>
    <w:rsid w:val="24C623A4"/>
    <w:rsid w:val="24C97007"/>
    <w:rsid w:val="24F6835F"/>
    <w:rsid w:val="24F8CD72"/>
    <w:rsid w:val="250E7139"/>
    <w:rsid w:val="2521A7A7"/>
    <w:rsid w:val="2526EBF3"/>
    <w:rsid w:val="252CEE31"/>
    <w:rsid w:val="253BA3EA"/>
    <w:rsid w:val="254BE044"/>
    <w:rsid w:val="256BE2E2"/>
    <w:rsid w:val="2575897A"/>
    <w:rsid w:val="2578CD43"/>
    <w:rsid w:val="257FFCE6"/>
    <w:rsid w:val="2599BDDD"/>
    <w:rsid w:val="259A304A"/>
    <w:rsid w:val="259AE693"/>
    <w:rsid w:val="25AD91E0"/>
    <w:rsid w:val="25B28135"/>
    <w:rsid w:val="25B70DE5"/>
    <w:rsid w:val="25E2B02E"/>
    <w:rsid w:val="25E5FACC"/>
    <w:rsid w:val="25F607AE"/>
    <w:rsid w:val="260A2A30"/>
    <w:rsid w:val="26124E04"/>
    <w:rsid w:val="2613D608"/>
    <w:rsid w:val="262C0246"/>
    <w:rsid w:val="2635C2FA"/>
    <w:rsid w:val="265AD698"/>
    <w:rsid w:val="266C4756"/>
    <w:rsid w:val="2682D61C"/>
    <w:rsid w:val="2683C7A3"/>
    <w:rsid w:val="26A294D6"/>
    <w:rsid w:val="26B88F48"/>
    <w:rsid w:val="26BF9D09"/>
    <w:rsid w:val="26C360DA"/>
    <w:rsid w:val="26CACF7E"/>
    <w:rsid w:val="26D7A6B3"/>
    <w:rsid w:val="26E4040D"/>
    <w:rsid w:val="26ED4AE4"/>
    <w:rsid w:val="270FB39B"/>
    <w:rsid w:val="27188AE0"/>
    <w:rsid w:val="27236010"/>
    <w:rsid w:val="273BB1FD"/>
    <w:rsid w:val="273FA675"/>
    <w:rsid w:val="2742CB96"/>
    <w:rsid w:val="27791E48"/>
    <w:rsid w:val="278BFF36"/>
    <w:rsid w:val="279FB8E7"/>
    <w:rsid w:val="27A852ED"/>
    <w:rsid w:val="27CD4295"/>
    <w:rsid w:val="27D98B0B"/>
    <w:rsid w:val="27E2BAFE"/>
    <w:rsid w:val="27FAB9DE"/>
    <w:rsid w:val="280F02B1"/>
    <w:rsid w:val="283964BC"/>
    <w:rsid w:val="2847A7F0"/>
    <w:rsid w:val="284B471D"/>
    <w:rsid w:val="2852F297"/>
    <w:rsid w:val="28835C26"/>
    <w:rsid w:val="2889CF78"/>
    <w:rsid w:val="288DE817"/>
    <w:rsid w:val="28BFA0AB"/>
    <w:rsid w:val="28C21F01"/>
    <w:rsid w:val="28CC1C53"/>
    <w:rsid w:val="28D3EAD8"/>
    <w:rsid w:val="28E4DD6F"/>
    <w:rsid w:val="28FDEE8C"/>
    <w:rsid w:val="29061B34"/>
    <w:rsid w:val="290F9E10"/>
    <w:rsid w:val="29208553"/>
    <w:rsid w:val="2921742A"/>
    <w:rsid w:val="2973C677"/>
    <w:rsid w:val="29789C85"/>
    <w:rsid w:val="29A46B17"/>
    <w:rsid w:val="29C47F24"/>
    <w:rsid w:val="29C75E6B"/>
    <w:rsid w:val="29E98290"/>
    <w:rsid w:val="29EB97AD"/>
    <w:rsid w:val="2A15A0D2"/>
    <w:rsid w:val="2A21747B"/>
    <w:rsid w:val="2A44BECB"/>
    <w:rsid w:val="2A8BCFD1"/>
    <w:rsid w:val="2AD832A7"/>
    <w:rsid w:val="2AE4F4DE"/>
    <w:rsid w:val="2AED6E49"/>
    <w:rsid w:val="2B0BCC3D"/>
    <w:rsid w:val="2B138E7B"/>
    <w:rsid w:val="2B3DAC58"/>
    <w:rsid w:val="2B642B24"/>
    <w:rsid w:val="2B7376E2"/>
    <w:rsid w:val="2B90BA89"/>
    <w:rsid w:val="2B96A5EB"/>
    <w:rsid w:val="2B9AB3FA"/>
    <w:rsid w:val="2BAFED4C"/>
    <w:rsid w:val="2BB673F9"/>
    <w:rsid w:val="2BCCD7AF"/>
    <w:rsid w:val="2BD271AF"/>
    <w:rsid w:val="2C1AB968"/>
    <w:rsid w:val="2C243A85"/>
    <w:rsid w:val="2C456C13"/>
    <w:rsid w:val="2C4EAC6E"/>
    <w:rsid w:val="2C53A192"/>
    <w:rsid w:val="2C682347"/>
    <w:rsid w:val="2C7176E4"/>
    <w:rsid w:val="2C8DC69E"/>
    <w:rsid w:val="2C8F3C2C"/>
    <w:rsid w:val="2C90E4F3"/>
    <w:rsid w:val="2C93A35D"/>
    <w:rsid w:val="2CA099F9"/>
    <w:rsid w:val="2CA594DF"/>
    <w:rsid w:val="2CA96C51"/>
    <w:rsid w:val="2CAB330B"/>
    <w:rsid w:val="2CB35D52"/>
    <w:rsid w:val="2CB4CFD3"/>
    <w:rsid w:val="2CB7A885"/>
    <w:rsid w:val="2D39ADF5"/>
    <w:rsid w:val="2D3C6BB0"/>
    <w:rsid w:val="2D6E86EF"/>
    <w:rsid w:val="2D7CF60A"/>
    <w:rsid w:val="2D88763C"/>
    <w:rsid w:val="2DA777A3"/>
    <w:rsid w:val="2DB9FBB2"/>
    <w:rsid w:val="2DCBADAA"/>
    <w:rsid w:val="2DD723DF"/>
    <w:rsid w:val="2DE851C0"/>
    <w:rsid w:val="2DECC484"/>
    <w:rsid w:val="2DF1CF0F"/>
    <w:rsid w:val="2DF709D7"/>
    <w:rsid w:val="2DF7FE94"/>
    <w:rsid w:val="2E0D4611"/>
    <w:rsid w:val="2E1D6406"/>
    <w:rsid w:val="2E22FC12"/>
    <w:rsid w:val="2E29E620"/>
    <w:rsid w:val="2E588DBA"/>
    <w:rsid w:val="2EC64F8A"/>
    <w:rsid w:val="2ED3062E"/>
    <w:rsid w:val="2EE3A329"/>
    <w:rsid w:val="2EE83B49"/>
    <w:rsid w:val="2F07D232"/>
    <w:rsid w:val="2F27DFA8"/>
    <w:rsid w:val="2F2ED232"/>
    <w:rsid w:val="2F3065C9"/>
    <w:rsid w:val="2F38A6BC"/>
    <w:rsid w:val="2F3DA16F"/>
    <w:rsid w:val="2F7BDDE5"/>
    <w:rsid w:val="2F8FE9F8"/>
    <w:rsid w:val="2F9029D1"/>
    <w:rsid w:val="2F915046"/>
    <w:rsid w:val="2F9F2C91"/>
    <w:rsid w:val="2FCA5A6C"/>
    <w:rsid w:val="3003B08A"/>
    <w:rsid w:val="302BC050"/>
    <w:rsid w:val="303B01AF"/>
    <w:rsid w:val="304EE6D3"/>
    <w:rsid w:val="30615FA8"/>
    <w:rsid w:val="306C999C"/>
    <w:rsid w:val="307AF409"/>
    <w:rsid w:val="30866757"/>
    <w:rsid w:val="308C1F3C"/>
    <w:rsid w:val="30A0980B"/>
    <w:rsid w:val="30C5118A"/>
    <w:rsid w:val="31025E0F"/>
    <w:rsid w:val="311E3A0B"/>
    <w:rsid w:val="31268F37"/>
    <w:rsid w:val="313B73A7"/>
    <w:rsid w:val="31535F23"/>
    <w:rsid w:val="316C19A4"/>
    <w:rsid w:val="317462F8"/>
    <w:rsid w:val="319E4642"/>
    <w:rsid w:val="31A045F6"/>
    <w:rsid w:val="31AFBA65"/>
    <w:rsid w:val="31D49C4D"/>
    <w:rsid w:val="31E73523"/>
    <w:rsid w:val="32112E6F"/>
    <w:rsid w:val="3239661E"/>
    <w:rsid w:val="3246C62C"/>
    <w:rsid w:val="3248DF49"/>
    <w:rsid w:val="324A0143"/>
    <w:rsid w:val="3260B178"/>
    <w:rsid w:val="326FE3F5"/>
    <w:rsid w:val="3279978D"/>
    <w:rsid w:val="3292EF54"/>
    <w:rsid w:val="32968D61"/>
    <w:rsid w:val="32A63FDF"/>
    <w:rsid w:val="32C7F207"/>
    <w:rsid w:val="32C8B5E1"/>
    <w:rsid w:val="32EA2851"/>
    <w:rsid w:val="32FC1A0C"/>
    <w:rsid w:val="33014700"/>
    <w:rsid w:val="3308F1B7"/>
    <w:rsid w:val="336618F0"/>
    <w:rsid w:val="336E977B"/>
    <w:rsid w:val="33A25FE1"/>
    <w:rsid w:val="33AD6B41"/>
    <w:rsid w:val="33DE4979"/>
    <w:rsid w:val="33E1340B"/>
    <w:rsid w:val="34068539"/>
    <w:rsid w:val="3417202C"/>
    <w:rsid w:val="341C8136"/>
    <w:rsid w:val="3427AE5B"/>
    <w:rsid w:val="34291856"/>
    <w:rsid w:val="342D6FD7"/>
    <w:rsid w:val="3431941F"/>
    <w:rsid w:val="3434BF47"/>
    <w:rsid w:val="343FEB74"/>
    <w:rsid w:val="3443DEB5"/>
    <w:rsid w:val="3457BE55"/>
    <w:rsid w:val="345D3B73"/>
    <w:rsid w:val="3486DB8B"/>
    <w:rsid w:val="348B2A7C"/>
    <w:rsid w:val="348D12E8"/>
    <w:rsid w:val="34A055FB"/>
    <w:rsid w:val="34B5BB0C"/>
    <w:rsid w:val="34BE4E21"/>
    <w:rsid w:val="34DD0A41"/>
    <w:rsid w:val="34DD6ACB"/>
    <w:rsid w:val="34EBCB8D"/>
    <w:rsid w:val="3503BFE2"/>
    <w:rsid w:val="350E318B"/>
    <w:rsid w:val="3520D8BB"/>
    <w:rsid w:val="3523C568"/>
    <w:rsid w:val="35311773"/>
    <w:rsid w:val="35363BF7"/>
    <w:rsid w:val="3539A709"/>
    <w:rsid w:val="354ACEFD"/>
    <w:rsid w:val="355F5951"/>
    <w:rsid w:val="356FAEF3"/>
    <w:rsid w:val="3577CA31"/>
    <w:rsid w:val="3586E9AF"/>
    <w:rsid w:val="359AB206"/>
    <w:rsid w:val="35A09000"/>
    <w:rsid w:val="35D002EB"/>
    <w:rsid w:val="35D3ECE2"/>
    <w:rsid w:val="35DFCBE9"/>
    <w:rsid w:val="35E105FB"/>
    <w:rsid w:val="35E1F328"/>
    <w:rsid w:val="35E7FC58"/>
    <w:rsid w:val="362261B3"/>
    <w:rsid w:val="363A0148"/>
    <w:rsid w:val="363C52E2"/>
    <w:rsid w:val="36756915"/>
    <w:rsid w:val="36800EF2"/>
    <w:rsid w:val="36829410"/>
    <w:rsid w:val="368A0E78"/>
    <w:rsid w:val="36A7D132"/>
    <w:rsid w:val="36AF05AD"/>
    <w:rsid w:val="36B8298D"/>
    <w:rsid w:val="3705A536"/>
    <w:rsid w:val="3706DED7"/>
    <w:rsid w:val="371D11DC"/>
    <w:rsid w:val="3732B3F0"/>
    <w:rsid w:val="3737AF92"/>
    <w:rsid w:val="37388351"/>
    <w:rsid w:val="375D9EE0"/>
    <w:rsid w:val="376E7510"/>
    <w:rsid w:val="377EAB61"/>
    <w:rsid w:val="3788AFC8"/>
    <w:rsid w:val="379ABBA4"/>
    <w:rsid w:val="379BBEF2"/>
    <w:rsid w:val="37B90FC2"/>
    <w:rsid w:val="37BB726E"/>
    <w:rsid w:val="37D76CC5"/>
    <w:rsid w:val="37DFEEAF"/>
    <w:rsid w:val="37F037FF"/>
    <w:rsid w:val="37F1341E"/>
    <w:rsid w:val="37F57B6C"/>
    <w:rsid w:val="38000778"/>
    <w:rsid w:val="3812E49B"/>
    <w:rsid w:val="3825BB0C"/>
    <w:rsid w:val="383B4F91"/>
    <w:rsid w:val="3841B539"/>
    <w:rsid w:val="3842B454"/>
    <w:rsid w:val="386581B3"/>
    <w:rsid w:val="387C9618"/>
    <w:rsid w:val="3886CD2D"/>
    <w:rsid w:val="3893117C"/>
    <w:rsid w:val="3895219B"/>
    <w:rsid w:val="389958FA"/>
    <w:rsid w:val="38A53DF2"/>
    <w:rsid w:val="38A9B83F"/>
    <w:rsid w:val="38BB2D2A"/>
    <w:rsid w:val="38E35DA9"/>
    <w:rsid w:val="38F3D920"/>
    <w:rsid w:val="39017D8A"/>
    <w:rsid w:val="3907A3AD"/>
    <w:rsid w:val="391A46C0"/>
    <w:rsid w:val="391F05A2"/>
    <w:rsid w:val="3928248C"/>
    <w:rsid w:val="39423C80"/>
    <w:rsid w:val="39545551"/>
    <w:rsid w:val="395A8C7D"/>
    <w:rsid w:val="398C43D4"/>
    <w:rsid w:val="39B4F489"/>
    <w:rsid w:val="39BBC1EE"/>
    <w:rsid w:val="39C8DFF3"/>
    <w:rsid w:val="39CBEF93"/>
    <w:rsid w:val="39E3C56B"/>
    <w:rsid w:val="39EB1E9C"/>
    <w:rsid w:val="39F3D5A7"/>
    <w:rsid w:val="39FCA6A3"/>
    <w:rsid w:val="3A11E338"/>
    <w:rsid w:val="3A1AD17B"/>
    <w:rsid w:val="3A441818"/>
    <w:rsid w:val="3A58E95C"/>
    <w:rsid w:val="3A76536B"/>
    <w:rsid w:val="3A9772B3"/>
    <w:rsid w:val="3A9B00A8"/>
    <w:rsid w:val="3AA21B30"/>
    <w:rsid w:val="3AA2A2DC"/>
    <w:rsid w:val="3AA9BE19"/>
    <w:rsid w:val="3AF16B57"/>
    <w:rsid w:val="3AF5245B"/>
    <w:rsid w:val="3AF75CE8"/>
    <w:rsid w:val="3B0253CF"/>
    <w:rsid w:val="3B02588B"/>
    <w:rsid w:val="3B0B4CC8"/>
    <w:rsid w:val="3B6A9E26"/>
    <w:rsid w:val="3B74E474"/>
    <w:rsid w:val="3B8C1E30"/>
    <w:rsid w:val="3BA8DAA0"/>
    <w:rsid w:val="3BAB31F9"/>
    <w:rsid w:val="3BBC3F1F"/>
    <w:rsid w:val="3BE01A4F"/>
    <w:rsid w:val="3BEE06BA"/>
    <w:rsid w:val="3BEF1D21"/>
    <w:rsid w:val="3BF68ABD"/>
    <w:rsid w:val="3BFD54FE"/>
    <w:rsid w:val="3C01CF7B"/>
    <w:rsid w:val="3C05C2BE"/>
    <w:rsid w:val="3C2297B3"/>
    <w:rsid w:val="3C474557"/>
    <w:rsid w:val="3C4F8224"/>
    <w:rsid w:val="3C58E123"/>
    <w:rsid w:val="3C5E11FE"/>
    <w:rsid w:val="3C73A610"/>
    <w:rsid w:val="3C980D61"/>
    <w:rsid w:val="3CB32D01"/>
    <w:rsid w:val="3CB33219"/>
    <w:rsid w:val="3CBABFC8"/>
    <w:rsid w:val="3CD5BC1F"/>
    <w:rsid w:val="3CE9C1CB"/>
    <w:rsid w:val="3CF7F350"/>
    <w:rsid w:val="3D00F0EF"/>
    <w:rsid w:val="3D0E9D93"/>
    <w:rsid w:val="3D5CC110"/>
    <w:rsid w:val="3D6B84BA"/>
    <w:rsid w:val="3DB6CFFD"/>
    <w:rsid w:val="3DBC2AF7"/>
    <w:rsid w:val="3DC6E17F"/>
    <w:rsid w:val="3DD4041B"/>
    <w:rsid w:val="3E02B99A"/>
    <w:rsid w:val="3E11D753"/>
    <w:rsid w:val="3E192C66"/>
    <w:rsid w:val="3E1BDE8D"/>
    <w:rsid w:val="3E2EB108"/>
    <w:rsid w:val="3E352F17"/>
    <w:rsid w:val="3E38E088"/>
    <w:rsid w:val="3E4BE1C7"/>
    <w:rsid w:val="3E5A120C"/>
    <w:rsid w:val="3E5FA1BC"/>
    <w:rsid w:val="3E603839"/>
    <w:rsid w:val="3E6BBC2C"/>
    <w:rsid w:val="3E6BF995"/>
    <w:rsid w:val="3E74DCBF"/>
    <w:rsid w:val="3E77263A"/>
    <w:rsid w:val="3E816DE4"/>
    <w:rsid w:val="3E924B55"/>
    <w:rsid w:val="3E9BB99E"/>
    <w:rsid w:val="3E9FFC0A"/>
    <w:rsid w:val="3EA507EA"/>
    <w:rsid w:val="3EA7FD01"/>
    <w:rsid w:val="3EBF7467"/>
    <w:rsid w:val="3EC94E98"/>
    <w:rsid w:val="3EDC4BBA"/>
    <w:rsid w:val="3EED8ECB"/>
    <w:rsid w:val="3F145E60"/>
    <w:rsid w:val="3F152B5B"/>
    <w:rsid w:val="3F1BC096"/>
    <w:rsid w:val="3F23D67C"/>
    <w:rsid w:val="3F347EF3"/>
    <w:rsid w:val="3F3A49A1"/>
    <w:rsid w:val="3F4E640E"/>
    <w:rsid w:val="3F61AF85"/>
    <w:rsid w:val="3F737C7D"/>
    <w:rsid w:val="3F7D0376"/>
    <w:rsid w:val="3F90B6CF"/>
    <w:rsid w:val="3F9B522C"/>
    <w:rsid w:val="3FB28356"/>
    <w:rsid w:val="3FDC907E"/>
    <w:rsid w:val="4000AFEE"/>
    <w:rsid w:val="400100C8"/>
    <w:rsid w:val="4007C37B"/>
    <w:rsid w:val="400F35B8"/>
    <w:rsid w:val="4010A447"/>
    <w:rsid w:val="4015000C"/>
    <w:rsid w:val="405E2E8D"/>
    <w:rsid w:val="40BD0439"/>
    <w:rsid w:val="40DDC8BF"/>
    <w:rsid w:val="40E38271"/>
    <w:rsid w:val="410567BB"/>
    <w:rsid w:val="41169E30"/>
    <w:rsid w:val="412387A5"/>
    <w:rsid w:val="4153C280"/>
    <w:rsid w:val="415B3FCC"/>
    <w:rsid w:val="415B6CE6"/>
    <w:rsid w:val="4161A118"/>
    <w:rsid w:val="416BDE6F"/>
    <w:rsid w:val="41A71F62"/>
    <w:rsid w:val="41AB0A68"/>
    <w:rsid w:val="41B85D42"/>
    <w:rsid w:val="41E06B6F"/>
    <w:rsid w:val="41E239B5"/>
    <w:rsid w:val="41E432F3"/>
    <w:rsid w:val="41F8BB86"/>
    <w:rsid w:val="420EDFE2"/>
    <w:rsid w:val="4211D11D"/>
    <w:rsid w:val="4234A4F7"/>
    <w:rsid w:val="4243F8A3"/>
    <w:rsid w:val="42596FF9"/>
    <w:rsid w:val="428F85C3"/>
    <w:rsid w:val="42B7E64D"/>
    <w:rsid w:val="42D65971"/>
    <w:rsid w:val="42EDBEF1"/>
    <w:rsid w:val="42F92AA4"/>
    <w:rsid w:val="43016FC8"/>
    <w:rsid w:val="4317FABD"/>
    <w:rsid w:val="431AE6A1"/>
    <w:rsid w:val="431B5C70"/>
    <w:rsid w:val="434DE655"/>
    <w:rsid w:val="43500897"/>
    <w:rsid w:val="435BFAF5"/>
    <w:rsid w:val="435C6ADA"/>
    <w:rsid w:val="435F1EDA"/>
    <w:rsid w:val="43667F80"/>
    <w:rsid w:val="437D713B"/>
    <w:rsid w:val="43811122"/>
    <w:rsid w:val="43A2B01E"/>
    <w:rsid w:val="43AB6B77"/>
    <w:rsid w:val="43CBAE6A"/>
    <w:rsid w:val="43DBC08E"/>
    <w:rsid w:val="43E57576"/>
    <w:rsid w:val="43F49907"/>
    <w:rsid w:val="43F62C7C"/>
    <w:rsid w:val="441B9D9E"/>
    <w:rsid w:val="4421EAB7"/>
    <w:rsid w:val="442F143B"/>
    <w:rsid w:val="443387BA"/>
    <w:rsid w:val="444A6862"/>
    <w:rsid w:val="44502B52"/>
    <w:rsid w:val="44512F32"/>
    <w:rsid w:val="44611F82"/>
    <w:rsid w:val="4473B94C"/>
    <w:rsid w:val="447A827A"/>
    <w:rsid w:val="44D40D44"/>
    <w:rsid w:val="44DE1988"/>
    <w:rsid w:val="44E1C063"/>
    <w:rsid w:val="44E3FF57"/>
    <w:rsid w:val="44EE9667"/>
    <w:rsid w:val="44F8BA58"/>
    <w:rsid w:val="450A3C6C"/>
    <w:rsid w:val="45124638"/>
    <w:rsid w:val="456095BC"/>
    <w:rsid w:val="45621B67"/>
    <w:rsid w:val="4564EB8E"/>
    <w:rsid w:val="456C1BD3"/>
    <w:rsid w:val="45768C07"/>
    <w:rsid w:val="457951D3"/>
    <w:rsid w:val="458ADBFE"/>
    <w:rsid w:val="458B6263"/>
    <w:rsid w:val="45940601"/>
    <w:rsid w:val="45A351FC"/>
    <w:rsid w:val="45A91D4C"/>
    <w:rsid w:val="45B36BD4"/>
    <w:rsid w:val="45E41352"/>
    <w:rsid w:val="45E568B9"/>
    <w:rsid w:val="46006F8B"/>
    <w:rsid w:val="46625C95"/>
    <w:rsid w:val="4696F26D"/>
    <w:rsid w:val="469EB7BA"/>
    <w:rsid w:val="46A6CD2C"/>
    <w:rsid w:val="46E136DD"/>
    <w:rsid w:val="46F3E66C"/>
    <w:rsid w:val="470DB03A"/>
    <w:rsid w:val="4718013E"/>
    <w:rsid w:val="4727C068"/>
    <w:rsid w:val="4746E2D6"/>
    <w:rsid w:val="475FADBE"/>
    <w:rsid w:val="477DBBD5"/>
    <w:rsid w:val="47933406"/>
    <w:rsid w:val="47AAD663"/>
    <w:rsid w:val="47BEE0B7"/>
    <w:rsid w:val="47C2248B"/>
    <w:rsid w:val="47C9319E"/>
    <w:rsid w:val="47CF117E"/>
    <w:rsid w:val="47D9613F"/>
    <w:rsid w:val="47DEFF9C"/>
    <w:rsid w:val="47FFBC93"/>
    <w:rsid w:val="482F22A7"/>
    <w:rsid w:val="484981B8"/>
    <w:rsid w:val="48732636"/>
    <w:rsid w:val="4880EDD0"/>
    <w:rsid w:val="488FA2DB"/>
    <w:rsid w:val="48A263F7"/>
    <w:rsid w:val="48A4A6F0"/>
    <w:rsid w:val="48AE0490"/>
    <w:rsid w:val="48B2FD2A"/>
    <w:rsid w:val="48BC6B97"/>
    <w:rsid w:val="48CB503A"/>
    <w:rsid w:val="48E68FFB"/>
    <w:rsid w:val="48F7FF40"/>
    <w:rsid w:val="4913E634"/>
    <w:rsid w:val="4927B3B6"/>
    <w:rsid w:val="492C3BAA"/>
    <w:rsid w:val="4931DD70"/>
    <w:rsid w:val="4936F3F1"/>
    <w:rsid w:val="49576A2D"/>
    <w:rsid w:val="49639276"/>
    <w:rsid w:val="4977D1D6"/>
    <w:rsid w:val="49916169"/>
    <w:rsid w:val="49B19F70"/>
    <w:rsid w:val="49C15D6C"/>
    <w:rsid w:val="49CF29C3"/>
    <w:rsid w:val="49D34938"/>
    <w:rsid w:val="49D77141"/>
    <w:rsid w:val="49EAE5DC"/>
    <w:rsid w:val="49F3CF81"/>
    <w:rsid w:val="49F85F60"/>
    <w:rsid w:val="49FED644"/>
    <w:rsid w:val="4A02AF29"/>
    <w:rsid w:val="4A10AE74"/>
    <w:rsid w:val="4A17B710"/>
    <w:rsid w:val="4A1CE983"/>
    <w:rsid w:val="4A24EC33"/>
    <w:rsid w:val="4A37AEBE"/>
    <w:rsid w:val="4A3975D3"/>
    <w:rsid w:val="4A3CFE2B"/>
    <w:rsid w:val="4A433E94"/>
    <w:rsid w:val="4A46A37A"/>
    <w:rsid w:val="4A7134E5"/>
    <w:rsid w:val="4A75CBBC"/>
    <w:rsid w:val="4A785299"/>
    <w:rsid w:val="4A801528"/>
    <w:rsid w:val="4AC5E1F7"/>
    <w:rsid w:val="4AE02567"/>
    <w:rsid w:val="4AEDEB68"/>
    <w:rsid w:val="4B09A9E0"/>
    <w:rsid w:val="4B166771"/>
    <w:rsid w:val="4B217092"/>
    <w:rsid w:val="4B517FEC"/>
    <w:rsid w:val="4B564311"/>
    <w:rsid w:val="4B5F7B17"/>
    <w:rsid w:val="4B6CE3F2"/>
    <w:rsid w:val="4B6F3127"/>
    <w:rsid w:val="4B82BF46"/>
    <w:rsid w:val="4B882911"/>
    <w:rsid w:val="4BACC353"/>
    <w:rsid w:val="4BBC33A5"/>
    <w:rsid w:val="4BCC6AB7"/>
    <w:rsid w:val="4BCC7775"/>
    <w:rsid w:val="4BD4D43A"/>
    <w:rsid w:val="4C1D52E1"/>
    <w:rsid w:val="4C208209"/>
    <w:rsid w:val="4C2D62E5"/>
    <w:rsid w:val="4C6E1102"/>
    <w:rsid w:val="4CB269A8"/>
    <w:rsid w:val="4CBD7015"/>
    <w:rsid w:val="4CC0E2F3"/>
    <w:rsid w:val="4CC35C7E"/>
    <w:rsid w:val="4D0CC91C"/>
    <w:rsid w:val="4D145232"/>
    <w:rsid w:val="4D3973D7"/>
    <w:rsid w:val="4D45C5DB"/>
    <w:rsid w:val="4D5684B3"/>
    <w:rsid w:val="4D645DFA"/>
    <w:rsid w:val="4D9258B7"/>
    <w:rsid w:val="4D998410"/>
    <w:rsid w:val="4DB0D115"/>
    <w:rsid w:val="4DB15421"/>
    <w:rsid w:val="4DBD5127"/>
    <w:rsid w:val="4DE2BC2D"/>
    <w:rsid w:val="4DF5C804"/>
    <w:rsid w:val="4E0AC2C5"/>
    <w:rsid w:val="4E0C4822"/>
    <w:rsid w:val="4E129166"/>
    <w:rsid w:val="4E4A1EB8"/>
    <w:rsid w:val="4E6D49BD"/>
    <w:rsid w:val="4E9E9700"/>
    <w:rsid w:val="4EB13B58"/>
    <w:rsid w:val="4EC99BC9"/>
    <w:rsid w:val="4EDDAF3F"/>
    <w:rsid w:val="4EDF8CAA"/>
    <w:rsid w:val="4EE4911D"/>
    <w:rsid w:val="4EF4354D"/>
    <w:rsid w:val="4F098D1A"/>
    <w:rsid w:val="4F19B6FA"/>
    <w:rsid w:val="4F24A718"/>
    <w:rsid w:val="4F4759D1"/>
    <w:rsid w:val="4F668513"/>
    <w:rsid w:val="4F6771CF"/>
    <w:rsid w:val="4F858534"/>
    <w:rsid w:val="4F88B9F0"/>
    <w:rsid w:val="4F90B68E"/>
    <w:rsid w:val="4FC1C7AD"/>
    <w:rsid w:val="4FCCDC61"/>
    <w:rsid w:val="4FD56064"/>
    <w:rsid w:val="50264922"/>
    <w:rsid w:val="5028CFA3"/>
    <w:rsid w:val="50464EAB"/>
    <w:rsid w:val="5052ECF9"/>
    <w:rsid w:val="505339C5"/>
    <w:rsid w:val="50560FE6"/>
    <w:rsid w:val="5066F58E"/>
    <w:rsid w:val="5072ECB5"/>
    <w:rsid w:val="507620B2"/>
    <w:rsid w:val="50817DB0"/>
    <w:rsid w:val="5087B83D"/>
    <w:rsid w:val="5088C829"/>
    <w:rsid w:val="50C4B4E4"/>
    <w:rsid w:val="50D59CEE"/>
    <w:rsid w:val="50F2C05F"/>
    <w:rsid w:val="510C11B9"/>
    <w:rsid w:val="511A93DD"/>
    <w:rsid w:val="511ED54E"/>
    <w:rsid w:val="512AAF74"/>
    <w:rsid w:val="51345476"/>
    <w:rsid w:val="513F9A20"/>
    <w:rsid w:val="5156D3F8"/>
    <w:rsid w:val="5164121E"/>
    <w:rsid w:val="516AAD3A"/>
    <w:rsid w:val="51837164"/>
    <w:rsid w:val="519641BC"/>
    <w:rsid w:val="519A5EE3"/>
    <w:rsid w:val="51AA4337"/>
    <w:rsid w:val="51C5FD09"/>
    <w:rsid w:val="51D323E7"/>
    <w:rsid w:val="51EFFF57"/>
    <w:rsid w:val="521193FF"/>
    <w:rsid w:val="521C48BB"/>
    <w:rsid w:val="521DD2AA"/>
    <w:rsid w:val="523E218D"/>
    <w:rsid w:val="5255328E"/>
    <w:rsid w:val="526A4E2F"/>
    <w:rsid w:val="5293202A"/>
    <w:rsid w:val="52997D88"/>
    <w:rsid w:val="529DB131"/>
    <w:rsid w:val="529E61F8"/>
    <w:rsid w:val="52BD5B25"/>
    <w:rsid w:val="52E62AC2"/>
    <w:rsid w:val="52FF141D"/>
    <w:rsid w:val="5331AB18"/>
    <w:rsid w:val="537BB0A1"/>
    <w:rsid w:val="537C229F"/>
    <w:rsid w:val="53824390"/>
    <w:rsid w:val="5384DA90"/>
    <w:rsid w:val="539FE3B9"/>
    <w:rsid w:val="53A775BD"/>
    <w:rsid w:val="53B41275"/>
    <w:rsid w:val="53B44DF5"/>
    <w:rsid w:val="53BF0AC6"/>
    <w:rsid w:val="53DDE24E"/>
    <w:rsid w:val="53E7765F"/>
    <w:rsid w:val="53F012C9"/>
    <w:rsid w:val="54038099"/>
    <w:rsid w:val="5404EFA0"/>
    <w:rsid w:val="541BC5B0"/>
    <w:rsid w:val="542C7A22"/>
    <w:rsid w:val="54318AD9"/>
    <w:rsid w:val="5449FF96"/>
    <w:rsid w:val="54560EF0"/>
    <w:rsid w:val="5456EDC1"/>
    <w:rsid w:val="545A8C4C"/>
    <w:rsid w:val="54726C7D"/>
    <w:rsid w:val="547D74AE"/>
    <w:rsid w:val="5485014A"/>
    <w:rsid w:val="54879561"/>
    <w:rsid w:val="54889D29"/>
    <w:rsid w:val="54890B12"/>
    <w:rsid w:val="54AEBB3C"/>
    <w:rsid w:val="54B10846"/>
    <w:rsid w:val="54D008D1"/>
    <w:rsid w:val="54D93090"/>
    <w:rsid w:val="54DF593F"/>
    <w:rsid w:val="54EB9F64"/>
    <w:rsid w:val="55018E47"/>
    <w:rsid w:val="5502FF5C"/>
    <w:rsid w:val="5526D4A7"/>
    <w:rsid w:val="55297119"/>
    <w:rsid w:val="553E3B65"/>
    <w:rsid w:val="555E3DC2"/>
    <w:rsid w:val="556C6F9C"/>
    <w:rsid w:val="557AB549"/>
    <w:rsid w:val="55925033"/>
    <w:rsid w:val="55C97B3B"/>
    <w:rsid w:val="55D37304"/>
    <w:rsid w:val="55D56B42"/>
    <w:rsid w:val="55EDB16C"/>
    <w:rsid w:val="563B04E3"/>
    <w:rsid w:val="5649272C"/>
    <w:rsid w:val="566F8978"/>
    <w:rsid w:val="568D8031"/>
    <w:rsid w:val="5693DC9A"/>
    <w:rsid w:val="569EAE9F"/>
    <w:rsid w:val="56A54716"/>
    <w:rsid w:val="56A6B78C"/>
    <w:rsid w:val="56B2B136"/>
    <w:rsid w:val="56BCE0BD"/>
    <w:rsid w:val="56D22633"/>
    <w:rsid w:val="56DB652B"/>
    <w:rsid w:val="56EEF4AD"/>
    <w:rsid w:val="56F04716"/>
    <w:rsid w:val="56F13E08"/>
    <w:rsid w:val="56F1407F"/>
    <w:rsid w:val="5704F5DC"/>
    <w:rsid w:val="574031C1"/>
    <w:rsid w:val="5743DD3B"/>
    <w:rsid w:val="57533971"/>
    <w:rsid w:val="57633B6B"/>
    <w:rsid w:val="576360B5"/>
    <w:rsid w:val="576B23D9"/>
    <w:rsid w:val="5779CEFA"/>
    <w:rsid w:val="577AB6F6"/>
    <w:rsid w:val="5797DE38"/>
    <w:rsid w:val="5797E90A"/>
    <w:rsid w:val="57AAD9CB"/>
    <w:rsid w:val="57C21B2C"/>
    <w:rsid w:val="57D691E5"/>
    <w:rsid w:val="57DC4881"/>
    <w:rsid w:val="57E81BEA"/>
    <w:rsid w:val="57F96BF2"/>
    <w:rsid w:val="57FAA15D"/>
    <w:rsid w:val="580E646C"/>
    <w:rsid w:val="581240BB"/>
    <w:rsid w:val="58165970"/>
    <w:rsid w:val="5828BE7B"/>
    <w:rsid w:val="58333C56"/>
    <w:rsid w:val="5833DCCC"/>
    <w:rsid w:val="586899BF"/>
    <w:rsid w:val="586AA38A"/>
    <w:rsid w:val="586B3AA6"/>
    <w:rsid w:val="5874AEAF"/>
    <w:rsid w:val="5885314B"/>
    <w:rsid w:val="58ABCD63"/>
    <w:rsid w:val="58B21379"/>
    <w:rsid w:val="58B51892"/>
    <w:rsid w:val="58C69F44"/>
    <w:rsid w:val="58D69331"/>
    <w:rsid w:val="58F91362"/>
    <w:rsid w:val="58FD9B56"/>
    <w:rsid w:val="59170BB4"/>
    <w:rsid w:val="591D4F78"/>
    <w:rsid w:val="59237AB3"/>
    <w:rsid w:val="5925796C"/>
    <w:rsid w:val="592E80C2"/>
    <w:rsid w:val="59383A19"/>
    <w:rsid w:val="5943FE3D"/>
    <w:rsid w:val="595D0E72"/>
    <w:rsid w:val="5982882D"/>
    <w:rsid w:val="59951B90"/>
    <w:rsid w:val="599CC437"/>
    <w:rsid w:val="599CF26E"/>
    <w:rsid w:val="59A83975"/>
    <w:rsid w:val="59C77E09"/>
    <w:rsid w:val="59CE2B7E"/>
    <w:rsid w:val="59DD2E1A"/>
    <w:rsid w:val="59E352DA"/>
    <w:rsid w:val="59FE38E4"/>
    <w:rsid w:val="5A004058"/>
    <w:rsid w:val="5A1775F7"/>
    <w:rsid w:val="5A3D3548"/>
    <w:rsid w:val="5A579597"/>
    <w:rsid w:val="5A58A7C5"/>
    <w:rsid w:val="5A6FD71E"/>
    <w:rsid w:val="5A9D67C6"/>
    <w:rsid w:val="5ABDC890"/>
    <w:rsid w:val="5ACE85BD"/>
    <w:rsid w:val="5ACEF254"/>
    <w:rsid w:val="5ADF1321"/>
    <w:rsid w:val="5AE0FDEF"/>
    <w:rsid w:val="5AF17D52"/>
    <w:rsid w:val="5B0640BC"/>
    <w:rsid w:val="5B28719E"/>
    <w:rsid w:val="5B29230B"/>
    <w:rsid w:val="5B4055C8"/>
    <w:rsid w:val="5B423478"/>
    <w:rsid w:val="5B45DAD6"/>
    <w:rsid w:val="5B5B2272"/>
    <w:rsid w:val="5B5E9225"/>
    <w:rsid w:val="5B76642D"/>
    <w:rsid w:val="5BA2DC7B"/>
    <w:rsid w:val="5BD382B4"/>
    <w:rsid w:val="5BE7609C"/>
    <w:rsid w:val="5BFD9BB2"/>
    <w:rsid w:val="5C110B79"/>
    <w:rsid w:val="5C37CC71"/>
    <w:rsid w:val="5C3A5B46"/>
    <w:rsid w:val="5C48A520"/>
    <w:rsid w:val="5C967043"/>
    <w:rsid w:val="5C9D25FF"/>
    <w:rsid w:val="5CB55A5D"/>
    <w:rsid w:val="5CCA4942"/>
    <w:rsid w:val="5CCDDD51"/>
    <w:rsid w:val="5CD4D989"/>
    <w:rsid w:val="5CD6CD71"/>
    <w:rsid w:val="5CFC6F05"/>
    <w:rsid w:val="5D03FF72"/>
    <w:rsid w:val="5D1CCB29"/>
    <w:rsid w:val="5D29DB58"/>
    <w:rsid w:val="5D347E42"/>
    <w:rsid w:val="5D4C77AF"/>
    <w:rsid w:val="5D6E3DFB"/>
    <w:rsid w:val="5D6EA13F"/>
    <w:rsid w:val="5D765BC9"/>
    <w:rsid w:val="5D98B469"/>
    <w:rsid w:val="5DDE2820"/>
    <w:rsid w:val="5DDFD35D"/>
    <w:rsid w:val="5DE01C41"/>
    <w:rsid w:val="5DF42532"/>
    <w:rsid w:val="5E063F82"/>
    <w:rsid w:val="5E07CE1D"/>
    <w:rsid w:val="5E41FBE9"/>
    <w:rsid w:val="5E5469D6"/>
    <w:rsid w:val="5E91DD9D"/>
    <w:rsid w:val="5ED3B35D"/>
    <w:rsid w:val="5ED9C6D8"/>
    <w:rsid w:val="5EEAD17B"/>
    <w:rsid w:val="5EF6F7ED"/>
    <w:rsid w:val="5F0BB6C9"/>
    <w:rsid w:val="5F16AF31"/>
    <w:rsid w:val="5F1CB9A9"/>
    <w:rsid w:val="5F302CD3"/>
    <w:rsid w:val="5F457419"/>
    <w:rsid w:val="5F4D5B89"/>
    <w:rsid w:val="5F56DCA6"/>
    <w:rsid w:val="5F634893"/>
    <w:rsid w:val="5F678E05"/>
    <w:rsid w:val="5F90E9C2"/>
    <w:rsid w:val="5FAE5470"/>
    <w:rsid w:val="5FAFEE69"/>
    <w:rsid w:val="5FB2A64C"/>
    <w:rsid w:val="5FD52275"/>
    <w:rsid w:val="5FDEAA0D"/>
    <w:rsid w:val="5FE74A72"/>
    <w:rsid w:val="5FFE8F6E"/>
    <w:rsid w:val="6029D2B2"/>
    <w:rsid w:val="6033ACE3"/>
    <w:rsid w:val="60354C0D"/>
    <w:rsid w:val="604C7E2C"/>
    <w:rsid w:val="6054A942"/>
    <w:rsid w:val="6054C10A"/>
    <w:rsid w:val="608819CD"/>
    <w:rsid w:val="6096C45D"/>
    <w:rsid w:val="609B7A66"/>
    <w:rsid w:val="609EA650"/>
    <w:rsid w:val="60D3691F"/>
    <w:rsid w:val="60D44E46"/>
    <w:rsid w:val="60E21440"/>
    <w:rsid w:val="60E2D8C7"/>
    <w:rsid w:val="60F9FD5E"/>
    <w:rsid w:val="61093646"/>
    <w:rsid w:val="61130DD1"/>
    <w:rsid w:val="611E794E"/>
    <w:rsid w:val="611E9DFA"/>
    <w:rsid w:val="6127C3C8"/>
    <w:rsid w:val="615ED68A"/>
    <w:rsid w:val="616000FB"/>
    <w:rsid w:val="61644769"/>
    <w:rsid w:val="61793A73"/>
    <w:rsid w:val="617CCCD1"/>
    <w:rsid w:val="617D3CF5"/>
    <w:rsid w:val="618A381C"/>
    <w:rsid w:val="61911DAD"/>
    <w:rsid w:val="61B4E4DC"/>
    <w:rsid w:val="61D59D56"/>
    <w:rsid w:val="61DA2E9E"/>
    <w:rsid w:val="61FC0FA4"/>
    <w:rsid w:val="62074420"/>
    <w:rsid w:val="6249E664"/>
    <w:rsid w:val="624A6C29"/>
    <w:rsid w:val="624D5EE1"/>
    <w:rsid w:val="625BE767"/>
    <w:rsid w:val="625FC1B8"/>
    <w:rsid w:val="626F234D"/>
    <w:rsid w:val="627C6EA9"/>
    <w:rsid w:val="627E532B"/>
    <w:rsid w:val="62B2038A"/>
    <w:rsid w:val="62F757EB"/>
    <w:rsid w:val="62FFCA3E"/>
    <w:rsid w:val="630D8D80"/>
    <w:rsid w:val="63160CC0"/>
    <w:rsid w:val="632153F0"/>
    <w:rsid w:val="6344A917"/>
    <w:rsid w:val="63469828"/>
    <w:rsid w:val="6352C5F5"/>
    <w:rsid w:val="635C169F"/>
    <w:rsid w:val="636F7DEA"/>
    <w:rsid w:val="63A1C0B1"/>
    <w:rsid w:val="63D7AB3A"/>
    <w:rsid w:val="6419CEC6"/>
    <w:rsid w:val="641B3539"/>
    <w:rsid w:val="6427DDE8"/>
    <w:rsid w:val="64298F13"/>
    <w:rsid w:val="6442F842"/>
    <w:rsid w:val="644957E4"/>
    <w:rsid w:val="644E132A"/>
    <w:rsid w:val="6450E621"/>
    <w:rsid w:val="64587A3B"/>
    <w:rsid w:val="64619B30"/>
    <w:rsid w:val="647B7845"/>
    <w:rsid w:val="6480D1D7"/>
    <w:rsid w:val="648DD89F"/>
    <w:rsid w:val="649E9A85"/>
    <w:rsid w:val="649EFE42"/>
    <w:rsid w:val="64ACAA2F"/>
    <w:rsid w:val="64BD2451"/>
    <w:rsid w:val="64BFFC08"/>
    <w:rsid w:val="64CAAAE9"/>
    <w:rsid w:val="64D137DA"/>
    <w:rsid w:val="64D47D6D"/>
    <w:rsid w:val="64E72A5F"/>
    <w:rsid w:val="650A7349"/>
    <w:rsid w:val="652D03DE"/>
    <w:rsid w:val="65476564"/>
    <w:rsid w:val="6548B47B"/>
    <w:rsid w:val="657D1F7C"/>
    <w:rsid w:val="65800E76"/>
    <w:rsid w:val="6597276F"/>
    <w:rsid w:val="65BF3856"/>
    <w:rsid w:val="65C8DB4E"/>
    <w:rsid w:val="65DBC1F1"/>
    <w:rsid w:val="65FAAE28"/>
    <w:rsid w:val="660BA4E9"/>
    <w:rsid w:val="6612470B"/>
    <w:rsid w:val="661274C4"/>
    <w:rsid w:val="661433F8"/>
    <w:rsid w:val="66302A2D"/>
    <w:rsid w:val="663A7B13"/>
    <w:rsid w:val="6644D850"/>
    <w:rsid w:val="66542653"/>
    <w:rsid w:val="66578F30"/>
    <w:rsid w:val="6668374B"/>
    <w:rsid w:val="66B6586A"/>
    <w:rsid w:val="66BA37D3"/>
    <w:rsid w:val="66BED726"/>
    <w:rsid w:val="66BFA6B6"/>
    <w:rsid w:val="66D14217"/>
    <w:rsid w:val="66D7E2D7"/>
    <w:rsid w:val="66DB5AAC"/>
    <w:rsid w:val="66EB739A"/>
    <w:rsid w:val="66ECE81C"/>
    <w:rsid w:val="67034B94"/>
    <w:rsid w:val="6723CF7F"/>
    <w:rsid w:val="672BB8E8"/>
    <w:rsid w:val="672FB3FC"/>
    <w:rsid w:val="6733A6A1"/>
    <w:rsid w:val="675284B4"/>
    <w:rsid w:val="678393EC"/>
    <w:rsid w:val="678426FC"/>
    <w:rsid w:val="6790EDD7"/>
    <w:rsid w:val="67BA5A15"/>
    <w:rsid w:val="67C68FC8"/>
    <w:rsid w:val="67CE40FB"/>
    <w:rsid w:val="67D7BC4E"/>
    <w:rsid w:val="67DD1706"/>
    <w:rsid w:val="67E25B4C"/>
    <w:rsid w:val="67E643EA"/>
    <w:rsid w:val="6807B1E6"/>
    <w:rsid w:val="68245780"/>
    <w:rsid w:val="68276608"/>
    <w:rsid w:val="6864A4A0"/>
    <w:rsid w:val="686AC24E"/>
    <w:rsid w:val="6870A16C"/>
    <w:rsid w:val="68718959"/>
    <w:rsid w:val="68A13ECA"/>
    <w:rsid w:val="68A2C4BF"/>
    <w:rsid w:val="68A7153D"/>
    <w:rsid w:val="68C50CFE"/>
    <w:rsid w:val="68C67B1C"/>
    <w:rsid w:val="68DD2278"/>
    <w:rsid w:val="68E121D1"/>
    <w:rsid w:val="68FDCC12"/>
    <w:rsid w:val="69148969"/>
    <w:rsid w:val="6956E46B"/>
    <w:rsid w:val="695AB9E0"/>
    <w:rsid w:val="69619AF8"/>
    <w:rsid w:val="696C63F6"/>
    <w:rsid w:val="69BE631B"/>
    <w:rsid w:val="69C1999D"/>
    <w:rsid w:val="69C26331"/>
    <w:rsid w:val="69C980A8"/>
    <w:rsid w:val="69D39EBD"/>
    <w:rsid w:val="69D9F83A"/>
    <w:rsid w:val="69EFD1A2"/>
    <w:rsid w:val="69FD4240"/>
    <w:rsid w:val="6A14FE44"/>
    <w:rsid w:val="6A1FC1B9"/>
    <w:rsid w:val="6A5ED9F0"/>
    <w:rsid w:val="6A80E1C2"/>
    <w:rsid w:val="6A897B77"/>
    <w:rsid w:val="6A96027D"/>
    <w:rsid w:val="6ABD4AF1"/>
    <w:rsid w:val="6AE7560F"/>
    <w:rsid w:val="6B01C9C9"/>
    <w:rsid w:val="6B06F6D6"/>
    <w:rsid w:val="6B0EFD85"/>
    <w:rsid w:val="6B35A213"/>
    <w:rsid w:val="6B4142AC"/>
    <w:rsid w:val="6B51D29A"/>
    <w:rsid w:val="6B6C6C4B"/>
    <w:rsid w:val="6B6D440F"/>
    <w:rsid w:val="6B83B47D"/>
    <w:rsid w:val="6B8BFB17"/>
    <w:rsid w:val="6B9E3308"/>
    <w:rsid w:val="6BCF34D3"/>
    <w:rsid w:val="6BCF77B4"/>
    <w:rsid w:val="6BE9A3D5"/>
    <w:rsid w:val="6C34AFAD"/>
    <w:rsid w:val="6C4834DA"/>
    <w:rsid w:val="6C4A360A"/>
    <w:rsid w:val="6C5733A8"/>
    <w:rsid w:val="6C77449F"/>
    <w:rsid w:val="6C788296"/>
    <w:rsid w:val="6C8909F8"/>
    <w:rsid w:val="6CAE2C02"/>
    <w:rsid w:val="6CB792D7"/>
    <w:rsid w:val="6CBABF33"/>
    <w:rsid w:val="6CDB4CA5"/>
    <w:rsid w:val="6CF7A04D"/>
    <w:rsid w:val="6CFCE594"/>
    <w:rsid w:val="6D19D560"/>
    <w:rsid w:val="6D4300F0"/>
    <w:rsid w:val="6D50CDE6"/>
    <w:rsid w:val="6D74B96B"/>
    <w:rsid w:val="6D86E227"/>
    <w:rsid w:val="6D89AD87"/>
    <w:rsid w:val="6DA2303F"/>
    <w:rsid w:val="6DAA0A34"/>
    <w:rsid w:val="6DCA68A0"/>
    <w:rsid w:val="6DD09897"/>
    <w:rsid w:val="6DF1F331"/>
    <w:rsid w:val="6DF699B7"/>
    <w:rsid w:val="6E05636B"/>
    <w:rsid w:val="6E5271B1"/>
    <w:rsid w:val="6E8231BA"/>
    <w:rsid w:val="6E91D8FA"/>
    <w:rsid w:val="6E9ACBD4"/>
    <w:rsid w:val="6E9D9A56"/>
    <w:rsid w:val="6EA7D7CB"/>
    <w:rsid w:val="6EB80BA6"/>
    <w:rsid w:val="6EBEF9F9"/>
    <w:rsid w:val="6ED3ACD8"/>
    <w:rsid w:val="6EE77765"/>
    <w:rsid w:val="6F11E114"/>
    <w:rsid w:val="6F1E93F7"/>
    <w:rsid w:val="6F4E3306"/>
    <w:rsid w:val="6F7CE519"/>
    <w:rsid w:val="6FAF11BD"/>
    <w:rsid w:val="6FB2A407"/>
    <w:rsid w:val="6FDDED07"/>
    <w:rsid w:val="6FEA8F38"/>
    <w:rsid w:val="702B7070"/>
    <w:rsid w:val="70502A9C"/>
    <w:rsid w:val="7067D04D"/>
    <w:rsid w:val="70710DDD"/>
    <w:rsid w:val="708420C4"/>
    <w:rsid w:val="708B3034"/>
    <w:rsid w:val="708BAB06"/>
    <w:rsid w:val="70943FBA"/>
    <w:rsid w:val="70A91A2D"/>
    <w:rsid w:val="70B415FC"/>
    <w:rsid w:val="70E01501"/>
    <w:rsid w:val="70F16636"/>
    <w:rsid w:val="712596B8"/>
    <w:rsid w:val="71406F7E"/>
    <w:rsid w:val="714E5E3D"/>
    <w:rsid w:val="715EAAB6"/>
    <w:rsid w:val="719099B4"/>
    <w:rsid w:val="719C8EED"/>
    <w:rsid w:val="719E8845"/>
    <w:rsid w:val="71A64558"/>
    <w:rsid w:val="71AB8C4A"/>
    <w:rsid w:val="71B9C943"/>
    <w:rsid w:val="71C6E7A8"/>
    <w:rsid w:val="71F3DA3E"/>
    <w:rsid w:val="71FB3C9B"/>
    <w:rsid w:val="720456B3"/>
    <w:rsid w:val="724D4499"/>
    <w:rsid w:val="725C72FC"/>
    <w:rsid w:val="725C9C6C"/>
    <w:rsid w:val="727B7786"/>
    <w:rsid w:val="7292F2BC"/>
    <w:rsid w:val="729DFD27"/>
    <w:rsid w:val="72B16945"/>
    <w:rsid w:val="72B485DB"/>
    <w:rsid w:val="72D2A716"/>
    <w:rsid w:val="72D82853"/>
    <w:rsid w:val="72F1035F"/>
    <w:rsid w:val="72F263AC"/>
    <w:rsid w:val="72F9453D"/>
    <w:rsid w:val="72FCAAE8"/>
    <w:rsid w:val="730D1486"/>
    <w:rsid w:val="730D51EF"/>
    <w:rsid w:val="730ECF3F"/>
    <w:rsid w:val="73171CE2"/>
    <w:rsid w:val="733FCF2A"/>
    <w:rsid w:val="735D7BF7"/>
    <w:rsid w:val="736C0032"/>
    <w:rsid w:val="73C1BEFC"/>
    <w:rsid w:val="73E8C166"/>
    <w:rsid w:val="73EAADCB"/>
    <w:rsid w:val="740AB0B3"/>
    <w:rsid w:val="7416127C"/>
    <w:rsid w:val="741B857B"/>
    <w:rsid w:val="742CA24A"/>
    <w:rsid w:val="7436B4F4"/>
    <w:rsid w:val="7438840D"/>
    <w:rsid w:val="74476C97"/>
    <w:rsid w:val="744FF195"/>
    <w:rsid w:val="745E27C0"/>
    <w:rsid w:val="74817D9E"/>
    <w:rsid w:val="74866A7D"/>
    <w:rsid w:val="749E96BB"/>
    <w:rsid w:val="74A48FC4"/>
    <w:rsid w:val="74A8CD75"/>
    <w:rsid w:val="74BB3377"/>
    <w:rsid w:val="74E24099"/>
    <w:rsid w:val="74E62639"/>
    <w:rsid w:val="74FBA520"/>
    <w:rsid w:val="750413F3"/>
    <w:rsid w:val="7523D928"/>
    <w:rsid w:val="752C7EB8"/>
    <w:rsid w:val="755817D2"/>
    <w:rsid w:val="755FD2A0"/>
    <w:rsid w:val="75682274"/>
    <w:rsid w:val="756ADD32"/>
    <w:rsid w:val="756C7C68"/>
    <w:rsid w:val="756FA0A2"/>
    <w:rsid w:val="75852621"/>
    <w:rsid w:val="75CD5B29"/>
    <w:rsid w:val="75E79733"/>
    <w:rsid w:val="75F2E438"/>
    <w:rsid w:val="75F7D1CE"/>
    <w:rsid w:val="7605C8D1"/>
    <w:rsid w:val="7618A466"/>
    <w:rsid w:val="763448D7"/>
    <w:rsid w:val="764AF291"/>
    <w:rsid w:val="764C104D"/>
    <w:rsid w:val="765CAEC8"/>
    <w:rsid w:val="765E15F3"/>
    <w:rsid w:val="7662C0CF"/>
    <w:rsid w:val="7664D8A9"/>
    <w:rsid w:val="766778EB"/>
    <w:rsid w:val="76679F4D"/>
    <w:rsid w:val="767498F3"/>
    <w:rsid w:val="768AF56F"/>
    <w:rsid w:val="768F6692"/>
    <w:rsid w:val="76935E33"/>
    <w:rsid w:val="769904FB"/>
    <w:rsid w:val="76DB0BAA"/>
    <w:rsid w:val="76DBD827"/>
    <w:rsid w:val="76E410FA"/>
    <w:rsid w:val="770D4C46"/>
    <w:rsid w:val="772C5D8B"/>
    <w:rsid w:val="7745C169"/>
    <w:rsid w:val="7749813C"/>
    <w:rsid w:val="776F16C0"/>
    <w:rsid w:val="77859BFB"/>
    <w:rsid w:val="779C5903"/>
    <w:rsid w:val="77A49E31"/>
    <w:rsid w:val="77B36506"/>
    <w:rsid w:val="77CCA7AB"/>
    <w:rsid w:val="77D2402A"/>
    <w:rsid w:val="77E6A92F"/>
    <w:rsid w:val="77EB6147"/>
    <w:rsid w:val="77EEF759"/>
    <w:rsid w:val="77F69D03"/>
    <w:rsid w:val="7815B8B2"/>
    <w:rsid w:val="781D00CF"/>
    <w:rsid w:val="78454487"/>
    <w:rsid w:val="7864FBA4"/>
    <w:rsid w:val="78847B5D"/>
    <w:rsid w:val="789E668D"/>
    <w:rsid w:val="78A01B1D"/>
    <w:rsid w:val="78AF6A76"/>
    <w:rsid w:val="78CA99C6"/>
    <w:rsid w:val="78CC0CA0"/>
    <w:rsid w:val="78D5778C"/>
    <w:rsid w:val="78F926C2"/>
    <w:rsid w:val="790290BE"/>
    <w:rsid w:val="791C33E8"/>
    <w:rsid w:val="7925890B"/>
    <w:rsid w:val="7933142A"/>
    <w:rsid w:val="79343D05"/>
    <w:rsid w:val="7938E9D9"/>
    <w:rsid w:val="7946964C"/>
    <w:rsid w:val="794F3FB0"/>
    <w:rsid w:val="795C90FF"/>
    <w:rsid w:val="795D7FFE"/>
    <w:rsid w:val="7967B69C"/>
    <w:rsid w:val="797B7F75"/>
    <w:rsid w:val="79D35635"/>
    <w:rsid w:val="7A014C30"/>
    <w:rsid w:val="7A0B7D9C"/>
    <w:rsid w:val="7A143CAB"/>
    <w:rsid w:val="7A1BF342"/>
    <w:rsid w:val="7A1C4FAF"/>
    <w:rsid w:val="7A3645A8"/>
    <w:rsid w:val="7A417473"/>
    <w:rsid w:val="7A435686"/>
    <w:rsid w:val="7A494D31"/>
    <w:rsid w:val="7A7DFEED"/>
    <w:rsid w:val="7A87FAC7"/>
    <w:rsid w:val="7AB3F727"/>
    <w:rsid w:val="7ABB4C3A"/>
    <w:rsid w:val="7B0E1367"/>
    <w:rsid w:val="7B3B84AE"/>
    <w:rsid w:val="7B3C206A"/>
    <w:rsid w:val="7B42B693"/>
    <w:rsid w:val="7B44A2A0"/>
    <w:rsid w:val="7B4B2E65"/>
    <w:rsid w:val="7B4F3C82"/>
    <w:rsid w:val="7B5D28ED"/>
    <w:rsid w:val="7B7515C2"/>
    <w:rsid w:val="7B85F2D3"/>
    <w:rsid w:val="7B8B5FF7"/>
    <w:rsid w:val="7B986156"/>
    <w:rsid w:val="7BADDE4E"/>
    <w:rsid w:val="7BB3F2A7"/>
    <w:rsid w:val="7BC5FA6D"/>
    <w:rsid w:val="7BC6600F"/>
    <w:rsid w:val="7BC86044"/>
    <w:rsid w:val="7BD13401"/>
    <w:rsid w:val="7BDD54D4"/>
    <w:rsid w:val="7BDE2D26"/>
    <w:rsid w:val="7BE57FDB"/>
    <w:rsid w:val="7BEBB3F4"/>
    <w:rsid w:val="7BF1FBD0"/>
    <w:rsid w:val="7C0594BE"/>
    <w:rsid w:val="7C0DAFC6"/>
    <w:rsid w:val="7C2DBA9E"/>
    <w:rsid w:val="7C521BB7"/>
    <w:rsid w:val="7C840605"/>
    <w:rsid w:val="7C8F21DB"/>
    <w:rsid w:val="7CA454FA"/>
    <w:rsid w:val="7CC5A1DD"/>
    <w:rsid w:val="7CDAB185"/>
    <w:rsid w:val="7CF66222"/>
    <w:rsid w:val="7D02F0DD"/>
    <w:rsid w:val="7D070CF7"/>
    <w:rsid w:val="7D1DD826"/>
    <w:rsid w:val="7D286BD0"/>
    <w:rsid w:val="7D2F6C5A"/>
    <w:rsid w:val="7D32CC38"/>
    <w:rsid w:val="7D381892"/>
    <w:rsid w:val="7D4861E6"/>
    <w:rsid w:val="7D7A6812"/>
    <w:rsid w:val="7D8D7764"/>
    <w:rsid w:val="7D994C07"/>
    <w:rsid w:val="7E273198"/>
    <w:rsid w:val="7E32118B"/>
    <w:rsid w:val="7E327C7E"/>
    <w:rsid w:val="7E37E3EB"/>
    <w:rsid w:val="7E9383FF"/>
    <w:rsid w:val="7EB6AB9F"/>
    <w:rsid w:val="7EB9B26D"/>
    <w:rsid w:val="7EBB390E"/>
    <w:rsid w:val="7EBD4B76"/>
    <w:rsid w:val="7EC98C7E"/>
    <w:rsid w:val="7ECAAFDB"/>
    <w:rsid w:val="7ED430F8"/>
    <w:rsid w:val="7EE2C390"/>
    <w:rsid w:val="7EF7A28B"/>
    <w:rsid w:val="7EFD3688"/>
    <w:rsid w:val="7F0F3FC5"/>
    <w:rsid w:val="7F0F91A6"/>
    <w:rsid w:val="7F152BA2"/>
    <w:rsid w:val="7F4CAED0"/>
    <w:rsid w:val="7F650F42"/>
    <w:rsid w:val="7F806C4B"/>
    <w:rsid w:val="7F909B9C"/>
    <w:rsid w:val="7F92A43C"/>
    <w:rsid w:val="7FAD4B1F"/>
    <w:rsid w:val="7FB516C4"/>
    <w:rsid w:val="7FCCC3E0"/>
    <w:rsid w:val="7FD3ECB1"/>
    <w:rsid w:val="7FEC6C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5F0FF"/>
  <w15:chartTrackingRefBased/>
  <w15:docId w15:val="{7B3732BD-D5D9-45A6-B282-055D05A4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F00"/>
    <w:rPr>
      <w:rFonts w:asciiTheme="majorBidi" w:hAnsiTheme="majorBidi"/>
    </w:rPr>
  </w:style>
  <w:style w:type="paragraph" w:styleId="Heading1">
    <w:name w:val="heading 1"/>
    <w:basedOn w:val="Normal"/>
    <w:next w:val="Normal"/>
    <w:link w:val="Heading1Char"/>
    <w:uiPriority w:val="9"/>
    <w:qFormat/>
    <w:rsid w:val="001E4429"/>
    <w:pPr>
      <w:keepNext/>
      <w:keepLines/>
      <w:spacing w:before="240" w:after="0"/>
      <w:outlineLvl w:val="0"/>
    </w:pPr>
    <w:rPr>
      <w:rFonts w:eastAsiaTheme="majorEastAsia"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1E4429"/>
    <w:pPr>
      <w:keepNext/>
      <w:keepLines/>
      <w:spacing w:before="40" w:after="0"/>
      <w:outlineLvl w:val="1"/>
    </w:pPr>
    <w:rPr>
      <w:rFonts w:eastAsiaTheme="majorEastAsia" w:cstheme="majorBidi"/>
      <w:i/>
      <w:color w:val="2F5496" w:themeColor="accent1" w:themeShade="BF"/>
      <w:sz w:val="24"/>
      <w:szCs w:val="26"/>
    </w:rPr>
  </w:style>
  <w:style w:type="paragraph" w:styleId="Heading3">
    <w:name w:val="heading 3"/>
    <w:basedOn w:val="Normal"/>
    <w:next w:val="Normal"/>
    <w:link w:val="Heading3Char"/>
    <w:uiPriority w:val="9"/>
    <w:unhideWhenUsed/>
    <w:qFormat/>
    <w:rsid w:val="00BC4224"/>
    <w:pPr>
      <w:keepNext/>
      <w:keepLines/>
      <w:spacing w:before="40" w:after="0"/>
      <w:outlineLvl w:val="2"/>
    </w:pPr>
    <w:rPr>
      <w:rFonts w:eastAsiaTheme="majorEastAsia" w:cstheme="majorBidi"/>
      <w:i/>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028"/>
    <w:pPr>
      <w:ind w:left="720"/>
      <w:contextualSpacing/>
    </w:pPr>
  </w:style>
  <w:style w:type="paragraph" w:styleId="FootnoteText">
    <w:name w:val="footnote text"/>
    <w:basedOn w:val="Normal"/>
    <w:link w:val="FootnoteTextChar"/>
    <w:semiHidden/>
    <w:rsid w:val="00F825D4"/>
    <w:pPr>
      <w:spacing w:after="0" w:line="240" w:lineRule="auto"/>
    </w:pPr>
    <w:rPr>
      <w:rFonts w:ascii="Times New Roman" w:eastAsia="Times New Roman" w:hAnsi="Times New Roman" w:cs="Traditional Arabic"/>
      <w:sz w:val="20"/>
      <w:szCs w:val="20"/>
    </w:rPr>
  </w:style>
  <w:style w:type="character" w:customStyle="1" w:styleId="FootnoteTextChar">
    <w:name w:val="Footnote Text Char"/>
    <w:basedOn w:val="DefaultParagraphFont"/>
    <w:link w:val="FootnoteText"/>
    <w:semiHidden/>
    <w:rsid w:val="00F825D4"/>
    <w:rPr>
      <w:rFonts w:ascii="Times New Roman" w:eastAsia="Times New Roman" w:hAnsi="Times New Roman" w:cs="Traditional Arabic"/>
      <w:sz w:val="20"/>
      <w:szCs w:val="20"/>
    </w:rPr>
  </w:style>
  <w:style w:type="character" w:styleId="FootnoteReference">
    <w:name w:val="footnote reference"/>
    <w:semiHidden/>
    <w:rsid w:val="00F825D4"/>
    <w:rPr>
      <w:vertAlign w:val="superscript"/>
    </w:rPr>
  </w:style>
  <w:style w:type="character" w:customStyle="1" w:styleId="normaltextrun">
    <w:name w:val="normaltextrun"/>
    <w:basedOn w:val="DefaultParagraphFont"/>
    <w:rsid w:val="00F825D4"/>
  </w:style>
  <w:style w:type="character" w:customStyle="1" w:styleId="apple-converted-space">
    <w:name w:val="apple-converted-space"/>
    <w:basedOn w:val="DefaultParagraphFont"/>
    <w:rsid w:val="00FB4BA3"/>
  </w:style>
  <w:style w:type="paragraph" w:styleId="NormalWeb">
    <w:name w:val="Normal (Web)"/>
    <w:basedOn w:val="Normal"/>
    <w:uiPriority w:val="99"/>
    <w:unhideWhenUsed/>
    <w:rsid w:val="00FB4B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B4BA3"/>
    <w:rPr>
      <w:sz w:val="16"/>
      <w:szCs w:val="16"/>
    </w:rPr>
  </w:style>
  <w:style w:type="paragraph" w:styleId="CommentText">
    <w:name w:val="annotation text"/>
    <w:basedOn w:val="Normal"/>
    <w:link w:val="CommentTextChar"/>
    <w:uiPriority w:val="99"/>
    <w:semiHidden/>
    <w:unhideWhenUsed/>
    <w:rsid w:val="00FB4BA3"/>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FB4BA3"/>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uiPriority w:val="9"/>
    <w:rsid w:val="001E4429"/>
    <w:rPr>
      <w:rFonts w:asciiTheme="majorBidi" w:eastAsiaTheme="majorEastAsia" w:hAnsiTheme="majorBidi" w:cstheme="majorBidi"/>
      <w:b/>
      <w:color w:val="2F5496" w:themeColor="accent1" w:themeShade="BF"/>
      <w:sz w:val="28"/>
      <w:szCs w:val="32"/>
    </w:rPr>
  </w:style>
  <w:style w:type="paragraph" w:styleId="CommentSubject">
    <w:name w:val="annotation subject"/>
    <w:basedOn w:val="CommentText"/>
    <w:next w:val="CommentText"/>
    <w:link w:val="CommentSubjectChar"/>
    <w:uiPriority w:val="99"/>
    <w:semiHidden/>
    <w:unhideWhenUsed/>
    <w:rsid w:val="007A0FE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7A0FE4"/>
    <w:rPr>
      <w:rFonts w:ascii="Times New Roman" w:eastAsia="Times New Roman" w:hAnsi="Times New Roman" w:cs="Times New Roman"/>
      <w:b/>
      <w:bCs/>
      <w:sz w:val="20"/>
      <w:szCs w:val="20"/>
      <w:lang w:eastAsia="en-GB"/>
    </w:rPr>
  </w:style>
  <w:style w:type="table" w:styleId="TableGrid">
    <w:name w:val="Table Grid"/>
    <w:basedOn w:val="TableNormal"/>
    <w:uiPriority w:val="59"/>
    <w:rsid w:val="00041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1B2C"/>
    <w:rPr>
      <w:color w:val="0000FF"/>
      <w:u w:val="single"/>
    </w:rPr>
  </w:style>
  <w:style w:type="character" w:customStyle="1" w:styleId="Heading2Char">
    <w:name w:val="Heading 2 Char"/>
    <w:basedOn w:val="DefaultParagraphFont"/>
    <w:link w:val="Heading2"/>
    <w:uiPriority w:val="9"/>
    <w:rsid w:val="001E4429"/>
    <w:rPr>
      <w:rFonts w:asciiTheme="majorBidi" w:eastAsiaTheme="majorEastAsia" w:hAnsiTheme="majorBidi" w:cstheme="majorBidi"/>
      <w:i/>
      <w:color w:val="2F5496" w:themeColor="accent1" w:themeShade="BF"/>
      <w:sz w:val="24"/>
      <w:szCs w:val="26"/>
    </w:rPr>
  </w:style>
  <w:style w:type="character" w:customStyle="1" w:styleId="Heading3Char">
    <w:name w:val="Heading 3 Char"/>
    <w:basedOn w:val="DefaultParagraphFont"/>
    <w:link w:val="Heading3"/>
    <w:uiPriority w:val="9"/>
    <w:rsid w:val="00BC4224"/>
    <w:rPr>
      <w:rFonts w:asciiTheme="majorBidi" w:eastAsiaTheme="majorEastAsia" w:hAnsiTheme="majorBidi" w:cstheme="majorBidi"/>
      <w:i/>
      <w:color w:val="2F5496" w:themeColor="accent1" w:themeShade="BF"/>
      <w:szCs w:val="24"/>
    </w:rPr>
  </w:style>
  <w:style w:type="paragraph" w:styleId="TOCHeading">
    <w:name w:val="TOC Heading"/>
    <w:basedOn w:val="Heading1"/>
    <w:next w:val="Normal"/>
    <w:uiPriority w:val="39"/>
    <w:unhideWhenUsed/>
    <w:qFormat/>
    <w:rsid w:val="000628FD"/>
    <w:pPr>
      <w:outlineLvl w:val="9"/>
    </w:pPr>
  </w:style>
  <w:style w:type="paragraph" w:styleId="TOC1">
    <w:name w:val="toc 1"/>
    <w:basedOn w:val="Normal"/>
    <w:next w:val="Normal"/>
    <w:autoRedefine/>
    <w:uiPriority w:val="39"/>
    <w:unhideWhenUsed/>
    <w:rsid w:val="000628FD"/>
    <w:pPr>
      <w:spacing w:before="240" w:after="120"/>
    </w:pPr>
    <w:rPr>
      <w:rFonts w:cstheme="minorHAnsi"/>
      <w:b/>
      <w:bCs/>
      <w:sz w:val="20"/>
      <w:szCs w:val="24"/>
    </w:rPr>
  </w:style>
  <w:style w:type="paragraph" w:styleId="TOC3">
    <w:name w:val="toc 3"/>
    <w:basedOn w:val="Normal"/>
    <w:next w:val="Normal"/>
    <w:autoRedefine/>
    <w:uiPriority w:val="39"/>
    <w:unhideWhenUsed/>
    <w:rsid w:val="000628FD"/>
    <w:pPr>
      <w:spacing w:after="0"/>
      <w:ind w:left="440"/>
    </w:pPr>
    <w:rPr>
      <w:rFonts w:cstheme="minorHAnsi"/>
      <w:sz w:val="20"/>
      <w:szCs w:val="24"/>
    </w:rPr>
  </w:style>
  <w:style w:type="paragraph" w:styleId="TOC2">
    <w:name w:val="toc 2"/>
    <w:basedOn w:val="Normal"/>
    <w:next w:val="Normal"/>
    <w:autoRedefine/>
    <w:uiPriority w:val="39"/>
    <w:unhideWhenUsed/>
    <w:rsid w:val="009838A5"/>
    <w:pPr>
      <w:spacing w:before="120" w:after="0"/>
      <w:ind w:left="220"/>
    </w:pPr>
    <w:rPr>
      <w:rFonts w:cstheme="minorHAnsi"/>
      <w:i/>
      <w:iCs/>
      <w:sz w:val="20"/>
      <w:szCs w:val="24"/>
    </w:rPr>
  </w:style>
  <w:style w:type="table" w:styleId="PlainTable3">
    <w:name w:val="Plain Table 3"/>
    <w:basedOn w:val="TableNormal"/>
    <w:uiPriority w:val="43"/>
    <w:rsid w:val="00BC422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C422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7Colorful-Accent3">
    <w:name w:val="Grid Table 7 Colorful Accent 3"/>
    <w:basedOn w:val="TableNormal"/>
    <w:uiPriority w:val="52"/>
    <w:rsid w:val="00BC422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3">
    <w:name w:val="Grid Table 3 Accent 3"/>
    <w:basedOn w:val="TableNormal"/>
    <w:uiPriority w:val="48"/>
    <w:rsid w:val="00BC422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5">
    <w:name w:val="Grid Table 3 Accent 5"/>
    <w:basedOn w:val="TableNormal"/>
    <w:uiPriority w:val="48"/>
    <w:rsid w:val="00BC1BC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ListTable3-Accent3">
    <w:name w:val="List Table 3 Accent 3"/>
    <w:basedOn w:val="TableNormal"/>
    <w:uiPriority w:val="48"/>
    <w:rsid w:val="00870F1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5Dark-Accent3">
    <w:name w:val="Grid Table 5 Dark Accent 3"/>
    <w:basedOn w:val="TableNormal"/>
    <w:uiPriority w:val="50"/>
    <w:rsid w:val="00870F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TOC4">
    <w:name w:val="toc 4"/>
    <w:basedOn w:val="Normal"/>
    <w:next w:val="Normal"/>
    <w:autoRedefine/>
    <w:uiPriority w:val="39"/>
    <w:semiHidden/>
    <w:unhideWhenUsed/>
    <w:rsid w:val="00A82D4F"/>
    <w:pPr>
      <w:spacing w:after="0"/>
      <w:ind w:left="660"/>
    </w:pPr>
    <w:rPr>
      <w:rFonts w:cstheme="minorHAnsi"/>
      <w:sz w:val="20"/>
      <w:szCs w:val="24"/>
    </w:rPr>
  </w:style>
  <w:style w:type="paragraph" w:styleId="TOC5">
    <w:name w:val="toc 5"/>
    <w:basedOn w:val="Normal"/>
    <w:next w:val="Normal"/>
    <w:autoRedefine/>
    <w:uiPriority w:val="39"/>
    <w:semiHidden/>
    <w:unhideWhenUsed/>
    <w:rsid w:val="00A82D4F"/>
    <w:pPr>
      <w:spacing w:after="0"/>
      <w:ind w:left="880"/>
    </w:pPr>
    <w:rPr>
      <w:rFonts w:cstheme="minorHAnsi"/>
      <w:sz w:val="20"/>
      <w:szCs w:val="24"/>
    </w:rPr>
  </w:style>
  <w:style w:type="paragraph" w:styleId="TOC6">
    <w:name w:val="toc 6"/>
    <w:basedOn w:val="Normal"/>
    <w:next w:val="Normal"/>
    <w:autoRedefine/>
    <w:uiPriority w:val="39"/>
    <w:semiHidden/>
    <w:unhideWhenUsed/>
    <w:rsid w:val="00A82D4F"/>
    <w:pPr>
      <w:spacing w:after="0"/>
      <w:ind w:left="1100"/>
    </w:pPr>
    <w:rPr>
      <w:rFonts w:cstheme="minorHAnsi"/>
      <w:sz w:val="20"/>
      <w:szCs w:val="24"/>
    </w:rPr>
  </w:style>
  <w:style w:type="paragraph" w:styleId="TOC7">
    <w:name w:val="toc 7"/>
    <w:basedOn w:val="Normal"/>
    <w:next w:val="Normal"/>
    <w:autoRedefine/>
    <w:uiPriority w:val="39"/>
    <w:semiHidden/>
    <w:unhideWhenUsed/>
    <w:rsid w:val="00A82D4F"/>
    <w:pPr>
      <w:spacing w:after="0"/>
      <w:ind w:left="1320"/>
    </w:pPr>
    <w:rPr>
      <w:rFonts w:cstheme="minorHAnsi"/>
      <w:sz w:val="20"/>
      <w:szCs w:val="24"/>
    </w:rPr>
  </w:style>
  <w:style w:type="paragraph" w:styleId="TOC8">
    <w:name w:val="toc 8"/>
    <w:basedOn w:val="Normal"/>
    <w:next w:val="Normal"/>
    <w:autoRedefine/>
    <w:uiPriority w:val="39"/>
    <w:semiHidden/>
    <w:unhideWhenUsed/>
    <w:rsid w:val="00A82D4F"/>
    <w:pPr>
      <w:spacing w:after="0"/>
      <w:ind w:left="1540"/>
    </w:pPr>
    <w:rPr>
      <w:rFonts w:cstheme="minorHAnsi"/>
      <w:sz w:val="20"/>
      <w:szCs w:val="24"/>
    </w:rPr>
  </w:style>
  <w:style w:type="paragraph" w:styleId="TOC9">
    <w:name w:val="toc 9"/>
    <w:basedOn w:val="Normal"/>
    <w:next w:val="Normal"/>
    <w:autoRedefine/>
    <w:uiPriority w:val="39"/>
    <w:semiHidden/>
    <w:unhideWhenUsed/>
    <w:rsid w:val="00A82D4F"/>
    <w:pPr>
      <w:spacing w:after="0"/>
      <w:ind w:left="1760"/>
    </w:pPr>
    <w:rPr>
      <w:rFonts w:cstheme="minorHAnsi"/>
      <w:sz w:val="20"/>
      <w:szCs w:val="24"/>
    </w:rPr>
  </w:style>
  <w:style w:type="table" w:styleId="ListTable7Colorful-Accent3">
    <w:name w:val="List Table 7 Colorful Accent 3"/>
    <w:basedOn w:val="TableNormal"/>
    <w:uiPriority w:val="52"/>
    <w:rsid w:val="00C27189"/>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2718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4">
    <w:name w:val="Grid Table 3 Accent 4"/>
    <w:basedOn w:val="TableNormal"/>
    <w:uiPriority w:val="48"/>
    <w:rsid w:val="00FF3AC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1">
    <w:name w:val="Grid Table 3 Accent 1"/>
    <w:basedOn w:val="TableNormal"/>
    <w:uiPriority w:val="48"/>
    <w:rsid w:val="00FF3AC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NoSpacing">
    <w:name w:val="No Spacing"/>
    <w:uiPriority w:val="1"/>
    <w:qFormat/>
    <w:rsid w:val="005B5B74"/>
    <w:pPr>
      <w:spacing w:after="0" w:line="240" w:lineRule="auto"/>
    </w:pPr>
  </w:style>
  <w:style w:type="table" w:styleId="PlainTable5">
    <w:name w:val="Plain Table 5"/>
    <w:basedOn w:val="TableNormal"/>
    <w:uiPriority w:val="45"/>
    <w:rsid w:val="00EF0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11B1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5F3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9E4"/>
  </w:style>
  <w:style w:type="paragraph" w:styleId="Footer">
    <w:name w:val="footer"/>
    <w:basedOn w:val="Normal"/>
    <w:link w:val="FooterChar"/>
    <w:uiPriority w:val="99"/>
    <w:unhideWhenUsed/>
    <w:rsid w:val="005F3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9E4"/>
  </w:style>
  <w:style w:type="character" w:styleId="PageNumber">
    <w:name w:val="page number"/>
    <w:basedOn w:val="DefaultParagraphFont"/>
    <w:uiPriority w:val="99"/>
    <w:semiHidden/>
    <w:unhideWhenUsed/>
    <w:rsid w:val="00032DA6"/>
  </w:style>
  <w:style w:type="character" w:customStyle="1" w:styleId="A10">
    <w:name w:val="A10"/>
    <w:uiPriority w:val="99"/>
    <w:rsid w:val="00EF48AB"/>
    <w:rPr>
      <w:color w:val="000000"/>
      <w:sz w:val="21"/>
      <w:szCs w:val="21"/>
    </w:rPr>
  </w:style>
  <w:style w:type="character" w:styleId="PlaceholderText">
    <w:name w:val="Placeholder Text"/>
    <w:basedOn w:val="DefaultParagraphFont"/>
    <w:uiPriority w:val="99"/>
    <w:semiHidden/>
    <w:rsid w:val="00D57591"/>
    <w:rPr>
      <w:color w:val="808080"/>
    </w:rPr>
  </w:style>
  <w:style w:type="paragraph" w:styleId="BalloonText">
    <w:name w:val="Balloon Text"/>
    <w:basedOn w:val="Normal"/>
    <w:link w:val="BalloonTextChar"/>
    <w:uiPriority w:val="99"/>
    <w:semiHidden/>
    <w:unhideWhenUsed/>
    <w:rsid w:val="00BB3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5C4"/>
    <w:rPr>
      <w:rFonts w:ascii="Tahoma" w:hAnsi="Tahoma" w:cs="Tahoma"/>
      <w:sz w:val="16"/>
      <w:szCs w:val="16"/>
    </w:rPr>
  </w:style>
  <w:style w:type="character" w:customStyle="1" w:styleId="BalloonTextChar1">
    <w:name w:val="Balloon Text Char1"/>
    <w:basedOn w:val="DefaultParagraphFont"/>
    <w:uiPriority w:val="99"/>
    <w:semiHidden/>
    <w:rsid w:val="00581E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32527">
      <w:bodyDiv w:val="1"/>
      <w:marLeft w:val="0"/>
      <w:marRight w:val="0"/>
      <w:marTop w:val="0"/>
      <w:marBottom w:val="0"/>
      <w:divBdr>
        <w:top w:val="none" w:sz="0" w:space="0" w:color="auto"/>
        <w:left w:val="none" w:sz="0" w:space="0" w:color="auto"/>
        <w:bottom w:val="none" w:sz="0" w:space="0" w:color="auto"/>
        <w:right w:val="none" w:sz="0" w:space="0" w:color="auto"/>
      </w:divBdr>
    </w:div>
    <w:div w:id="161782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aggregated" TargetMode="Externa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458c54efb488444f" Type="http://schemas.microsoft.com/office/2019/09/relationships/intelligence" Target="intelligence.xml"/><Relationship Id="rId5" Type="http://schemas.openxmlformats.org/officeDocument/2006/relationships/webSettings" Target="webSettings.xml"/><Relationship Id="rId15" Type="http://schemas.openxmlformats.org/officeDocument/2006/relationships/hyperlink" Target="http://www.jstor.org/stable/1813352" TargetMode="Externa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footnotes.xml.rels><?xml version="1.0" encoding="UTF-8" standalone="yes"?>
<Relationships xmlns="http://schemas.openxmlformats.org/package/2006/relationships"><Relationship Id="rId2" Type="http://schemas.openxmlformats.org/officeDocument/2006/relationships/hyperlink" Target="http://www.tasheed.org/ar/Default.aspx" TargetMode="External"/><Relationship Id="rId1" Type="http://schemas.openxmlformats.org/officeDocument/2006/relationships/hyperlink" Target="https://sis.gov.eg/Story/156142/CAPMAS-Egypt's-population-at-home-reached-102-million?lang=en-u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SARAH\Research%20activities\Housing%20Bubbles-%20YIRG\Descriptive%20SK%20and%20M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SARAH\Research%20activities\Housing%20Bubbles-%20YIRG\Descriptive%20Household%20buyers%20and%20sellers%20(version%201).xlsb.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SARAH\Research%20activities\Housing%20Bubbles-%20YIRG\Descriptive%20Household%20buyers%20and%20sellers%20(version%201).xlsb.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SARAH\Research%20activities\Housing%20Bubbles-%20YIRG\Descriptive%20Household%20buyers%20and%20sellers%20(version%201).xlsb.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SARAH\Research%20activities\Housing%20Bubbles-%20YIRG\Descriptive%20SK%20and%20MR.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SARAH\Research%20activities\Housing%20Bubbles-%20YIRG\Descriptive%20Household%20buyers%20and%20sellers.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Sheet3!$C$2</c:f>
              <c:strCache>
                <c:ptCount val="1"/>
                <c:pt idx="0">
                  <c:v>Normal times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6"/>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Sheet3!$B$3:$B$9</c:f>
              <c:strCache>
                <c:ptCount val="5"/>
                <c:pt idx="0">
                  <c:v>Bank deposits and certificates </c:v>
                </c:pt>
                <c:pt idx="1">
                  <c:v>Housing </c:v>
                </c:pt>
                <c:pt idx="2">
                  <c:v>Land</c:v>
                </c:pt>
                <c:pt idx="3">
                  <c:v>Gold and FX </c:v>
                </c:pt>
                <c:pt idx="4">
                  <c:v>Other </c:v>
                </c:pt>
              </c:strCache>
            </c:strRef>
          </c:cat>
          <c:val>
            <c:numRef>
              <c:f>Sheet3!$C$3:$C$9</c:f>
              <c:numCache>
                <c:formatCode>General</c:formatCode>
                <c:ptCount val="5"/>
                <c:pt idx="0">
                  <c:v>63.9</c:v>
                </c:pt>
                <c:pt idx="1">
                  <c:v>19.2</c:v>
                </c:pt>
                <c:pt idx="2">
                  <c:v>1.8</c:v>
                </c:pt>
                <c:pt idx="3">
                  <c:v>8.1999999999999993</c:v>
                </c:pt>
                <c:pt idx="4">
                  <c:v>6.8</c:v>
                </c:pt>
              </c:numCache>
            </c:numRef>
          </c:val>
          <c:extLst>
            <c:ext xmlns:c16="http://schemas.microsoft.com/office/drawing/2014/chart" uri="{C3380CC4-5D6E-409C-BE32-E72D297353CC}">
              <c16:uniqueId val="{00000000-1E9C-DD45-948C-01D0533395F8}"/>
            </c:ext>
          </c:extLst>
        </c:ser>
        <c:ser>
          <c:idx val="1"/>
          <c:order val="1"/>
          <c:tx>
            <c:strRef>
              <c:f>Sheet3!$D$2</c:f>
              <c:strCache>
                <c:ptCount val="1"/>
                <c:pt idx="0">
                  <c:v>During periods of uncertainty </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5"/>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Sheet3!$B$3:$B$9</c:f>
              <c:strCache>
                <c:ptCount val="5"/>
                <c:pt idx="0">
                  <c:v>Bank deposits and certificates </c:v>
                </c:pt>
                <c:pt idx="1">
                  <c:v>Housing </c:v>
                </c:pt>
                <c:pt idx="2">
                  <c:v>Land</c:v>
                </c:pt>
                <c:pt idx="3">
                  <c:v>Gold and FX </c:v>
                </c:pt>
                <c:pt idx="4">
                  <c:v>Other </c:v>
                </c:pt>
              </c:strCache>
            </c:strRef>
          </c:cat>
          <c:val>
            <c:numRef>
              <c:f>Sheet3!$D$3:$D$9</c:f>
              <c:numCache>
                <c:formatCode>General</c:formatCode>
                <c:ptCount val="5"/>
                <c:pt idx="0">
                  <c:v>28.3</c:v>
                </c:pt>
                <c:pt idx="1">
                  <c:v>45.8</c:v>
                </c:pt>
                <c:pt idx="2">
                  <c:v>4</c:v>
                </c:pt>
                <c:pt idx="3">
                  <c:v>21.8</c:v>
                </c:pt>
                <c:pt idx="4">
                  <c:v>0.10000000000000853</c:v>
                </c:pt>
              </c:numCache>
            </c:numRef>
          </c:val>
          <c:extLst>
            <c:ext xmlns:c16="http://schemas.microsoft.com/office/drawing/2014/chart" uri="{C3380CC4-5D6E-409C-BE32-E72D297353CC}">
              <c16:uniqueId val="{00000001-1E9C-DD45-948C-01D0533395F8}"/>
            </c:ext>
          </c:extLst>
        </c:ser>
        <c:dLbls>
          <c:showLegendKey val="0"/>
          <c:showVal val="0"/>
          <c:showCatName val="0"/>
          <c:showSerName val="0"/>
          <c:showPercent val="0"/>
          <c:showBubbleSize val="0"/>
        </c:dLbls>
        <c:gapWidth val="219"/>
        <c:overlap val="-27"/>
        <c:axId val="1814741727"/>
        <c:axId val="1814747551"/>
      </c:barChart>
      <c:catAx>
        <c:axId val="1814741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4747551"/>
        <c:crosses val="autoZero"/>
        <c:auto val="1"/>
        <c:lblAlgn val="ctr"/>
        <c:lblOffset val="100"/>
        <c:noMultiLvlLbl val="0"/>
      </c:catAx>
      <c:valAx>
        <c:axId val="18147475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47417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a:t>Real Estate Developers' and Brokers' Expectations on Housing Prices in the Next Five Years</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w="19050">
              <a:solidFill>
                <a:schemeClr val="lt1"/>
              </a:solidFill>
            </a:ln>
            <a:effectLst/>
          </c:spPr>
          <c:invertIfNegative val="0"/>
          <c:dPt>
            <c:idx val="0"/>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1-4D43-0248-99A6-FDFDDFED9684}"/>
              </c:ext>
            </c:extLst>
          </c:dPt>
          <c:dPt>
            <c:idx val="1"/>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3-4D43-0248-99A6-FDFDDFED9684}"/>
              </c:ext>
            </c:extLst>
          </c:dPt>
          <c:dPt>
            <c:idx val="2"/>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5-4D43-0248-99A6-FDFDDFED968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Sheet7!$B$25:$B$27</c:f>
              <c:strCache>
                <c:ptCount val="3"/>
                <c:pt idx="0">
                  <c:v>Small increase (less than 10%)</c:v>
                </c:pt>
                <c:pt idx="1">
                  <c:v>Normal increase (about  10%)</c:v>
                </c:pt>
                <c:pt idx="2">
                  <c:v>Over increase (more than 10%)</c:v>
                </c:pt>
              </c:strCache>
            </c:strRef>
          </c:cat>
          <c:val>
            <c:numRef>
              <c:f>Sheet7!$C$25:$C$27</c:f>
              <c:numCache>
                <c:formatCode>0.00%</c:formatCode>
                <c:ptCount val="3"/>
                <c:pt idx="0" formatCode="0%">
                  <c:v>7.0000000000000007E-2</c:v>
                </c:pt>
                <c:pt idx="1">
                  <c:v>0.35399999999999998</c:v>
                </c:pt>
                <c:pt idx="2">
                  <c:v>0.57499999999999996</c:v>
                </c:pt>
              </c:numCache>
            </c:numRef>
          </c:val>
          <c:extLst>
            <c:ext xmlns:c16="http://schemas.microsoft.com/office/drawing/2014/chart" uri="{C3380CC4-5D6E-409C-BE32-E72D297353CC}">
              <c16:uniqueId val="{00000006-4D43-0248-99A6-FDFDDFED9684}"/>
            </c:ext>
          </c:extLst>
        </c:ser>
        <c:dLbls>
          <c:showLegendKey val="0"/>
          <c:showVal val="0"/>
          <c:showCatName val="0"/>
          <c:showSerName val="0"/>
          <c:showPercent val="0"/>
          <c:showBubbleSize val="0"/>
        </c:dLbls>
        <c:gapWidth val="100"/>
        <c:axId val="1150206624"/>
        <c:axId val="1150212864"/>
      </c:barChart>
      <c:catAx>
        <c:axId val="11502066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0212864"/>
        <c:crosses val="autoZero"/>
        <c:auto val="1"/>
        <c:lblAlgn val="ctr"/>
        <c:lblOffset val="100"/>
        <c:noMultiLvlLbl val="0"/>
      </c:catAx>
      <c:valAx>
        <c:axId val="11502128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02066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a:t>Real Estate Developers'</a:t>
            </a:r>
            <a:r>
              <a:rPr lang="en-US" sz="1000" baseline="0"/>
              <a:t> and Brokers' Perceptions of Housing D</a:t>
            </a:r>
            <a:r>
              <a:rPr lang="en-US" sz="1000"/>
              <a:t>emand in the Past Five Years</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484591365734456"/>
          <c:y val="0.25522988505747124"/>
          <c:w val="0.8675926554439316"/>
          <c:h val="0.5425676531812833"/>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 (2)'!$B$5:$B$8</c:f>
              <c:strCache>
                <c:ptCount val="4"/>
                <c:pt idx="0">
                  <c:v>Increase</c:v>
                </c:pt>
                <c:pt idx="1">
                  <c:v>Decrease </c:v>
                </c:pt>
                <c:pt idx="2">
                  <c:v>Constant </c:v>
                </c:pt>
                <c:pt idx="3">
                  <c:v>Can’t determine</c:v>
                </c:pt>
              </c:strCache>
            </c:strRef>
          </c:cat>
          <c:val>
            <c:numRef>
              <c:f>'Sheet7 (2)'!$C$5:$C$8</c:f>
              <c:numCache>
                <c:formatCode>0%</c:formatCode>
                <c:ptCount val="4"/>
                <c:pt idx="0" formatCode="0.00%">
                  <c:v>0.57299999999999995</c:v>
                </c:pt>
                <c:pt idx="1">
                  <c:v>0.34599999999999997</c:v>
                </c:pt>
                <c:pt idx="2" formatCode="0.00%">
                  <c:v>6.4000000000000001E-2</c:v>
                </c:pt>
                <c:pt idx="3" formatCode="0.00%">
                  <c:v>1.7000000000000001E-2</c:v>
                </c:pt>
              </c:numCache>
            </c:numRef>
          </c:val>
          <c:extLst>
            <c:ext xmlns:c16="http://schemas.microsoft.com/office/drawing/2014/chart" uri="{C3380CC4-5D6E-409C-BE32-E72D297353CC}">
              <c16:uniqueId val="{00000000-802D-8347-8E01-F0A460EE72E3}"/>
            </c:ext>
          </c:extLst>
        </c:ser>
        <c:dLbls>
          <c:showLegendKey val="0"/>
          <c:showVal val="0"/>
          <c:showCatName val="0"/>
          <c:showSerName val="0"/>
          <c:showPercent val="0"/>
          <c:showBubbleSize val="0"/>
        </c:dLbls>
        <c:gapWidth val="219"/>
        <c:overlap val="-27"/>
        <c:axId val="1150245312"/>
        <c:axId val="1150245728"/>
      </c:barChart>
      <c:catAx>
        <c:axId val="1150245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0245728"/>
        <c:crosses val="autoZero"/>
        <c:auto val="1"/>
        <c:lblAlgn val="ctr"/>
        <c:lblOffset val="100"/>
        <c:noMultiLvlLbl val="0"/>
      </c:catAx>
      <c:valAx>
        <c:axId val="11502457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1502453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798-A348-8FAA-AD12B9388248}"/>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4798-A348-8FAA-AD12B9388248}"/>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4798-A348-8FAA-AD12B9388248}"/>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4798-A348-8FAA-AD12B9388248}"/>
              </c:ext>
            </c:extLst>
          </c:dPt>
          <c:dLbls>
            <c:dLbl>
              <c:idx val="0"/>
              <c:layout>
                <c:manualLayout>
                  <c:x val="-0.1446733888645331"/>
                  <c:y val="-0.15094339622641509"/>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7446278224428433"/>
                      <c:h val="0.23393346513833813"/>
                    </c:manualLayout>
                  </c15:layout>
                </c:ext>
                <c:ext xmlns:c16="http://schemas.microsoft.com/office/drawing/2014/chart" uri="{C3380CC4-5D6E-409C-BE32-E72D297353CC}">
                  <c16:uniqueId val="{00000001-4798-A348-8FAA-AD12B9388248}"/>
                </c:ext>
              </c:extLst>
            </c:dLbl>
            <c:dLbl>
              <c:idx val="1"/>
              <c:layout>
                <c:manualLayout>
                  <c:x val="-0.12718551690472654"/>
                  <c:y val="-7.5077876411945327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798-A348-8FAA-AD12B9388248}"/>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Sheet13!$A$4:$A$7</c:f>
              <c:strCache>
                <c:ptCount val="4"/>
                <c:pt idx="0">
                  <c:v>Direct installments  </c:v>
                </c:pt>
                <c:pt idx="1">
                  <c:v>Mortgage Finance</c:v>
                </c:pt>
                <c:pt idx="2">
                  <c:v>Cash</c:v>
                </c:pt>
                <c:pt idx="3">
                  <c:v>Other</c:v>
                </c:pt>
              </c:strCache>
            </c:strRef>
          </c:cat>
          <c:val>
            <c:numRef>
              <c:f>Sheet13!$B$4:$B$7</c:f>
              <c:numCache>
                <c:formatCode>0.00%</c:formatCode>
                <c:ptCount val="4"/>
                <c:pt idx="0">
                  <c:v>0.38800000000000001</c:v>
                </c:pt>
                <c:pt idx="1">
                  <c:v>0.29599999999999999</c:v>
                </c:pt>
                <c:pt idx="2">
                  <c:v>0.30599999999999999</c:v>
                </c:pt>
                <c:pt idx="3" formatCode="0%">
                  <c:v>0.01</c:v>
                </c:pt>
              </c:numCache>
            </c:numRef>
          </c:val>
          <c:extLst>
            <c:ext xmlns:c16="http://schemas.microsoft.com/office/drawing/2014/chart" uri="{C3380CC4-5D6E-409C-BE32-E72D297353CC}">
              <c16:uniqueId val="{00000008-4798-A348-8FAA-AD12B9388248}"/>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1651989906347191"/>
          <c:y val="0.17779093288230122"/>
          <c:w val="0.28348021891435699"/>
          <c:h val="0.4393220563517888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Sheet1!$A$4:$A$9</c:f>
              <c:strCache>
                <c:ptCount val="6"/>
                <c:pt idx="0">
                  <c:v>Acquaintances and friends</c:v>
                </c:pt>
                <c:pt idx="1">
                  <c:v>Websites platforms</c:v>
                </c:pt>
                <c:pt idx="2">
                  <c:v>Developer reputation</c:v>
                </c:pt>
                <c:pt idx="3">
                  <c:v>Real Estate marketing exhibitions </c:v>
                </c:pt>
                <c:pt idx="4">
                  <c:v>T.V advertisements</c:v>
                </c:pt>
                <c:pt idx="5">
                  <c:v>Newspaper and Magazine Advertisments</c:v>
                </c:pt>
              </c:strCache>
            </c:strRef>
          </c:cat>
          <c:val>
            <c:numRef>
              <c:f>Sheet1!$B$4:$B$9</c:f>
              <c:numCache>
                <c:formatCode>General</c:formatCode>
                <c:ptCount val="6"/>
                <c:pt idx="0">
                  <c:v>60.1</c:v>
                </c:pt>
                <c:pt idx="1">
                  <c:v>45.2</c:v>
                </c:pt>
                <c:pt idx="2">
                  <c:v>24.9</c:v>
                </c:pt>
                <c:pt idx="3">
                  <c:v>10.9</c:v>
                </c:pt>
                <c:pt idx="4">
                  <c:v>6.2</c:v>
                </c:pt>
                <c:pt idx="5">
                  <c:v>0.6</c:v>
                </c:pt>
              </c:numCache>
            </c:numRef>
          </c:val>
          <c:extLst>
            <c:ext xmlns:c16="http://schemas.microsoft.com/office/drawing/2014/chart" uri="{C3380CC4-5D6E-409C-BE32-E72D297353CC}">
              <c16:uniqueId val="{00000000-E41E-D545-9CA5-0DA621B26796}"/>
            </c:ext>
          </c:extLst>
        </c:ser>
        <c:dLbls>
          <c:showLegendKey val="0"/>
          <c:showVal val="0"/>
          <c:showCatName val="0"/>
          <c:showSerName val="0"/>
          <c:showPercent val="0"/>
          <c:showBubbleSize val="0"/>
        </c:dLbls>
        <c:gapWidth val="219"/>
        <c:overlap val="-27"/>
        <c:axId val="1076013279"/>
        <c:axId val="1070640831"/>
      </c:barChart>
      <c:catAx>
        <c:axId val="10760132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70640831"/>
        <c:crosses val="autoZero"/>
        <c:auto val="1"/>
        <c:lblAlgn val="ctr"/>
        <c:lblOffset val="100"/>
        <c:noMultiLvlLbl val="0"/>
      </c:catAx>
      <c:valAx>
        <c:axId val="10706408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601327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63688429466736"/>
          <c:y val="2.4735508601843596E-2"/>
          <c:w val="0.83914085739282585"/>
          <c:h val="0.40910412618371256"/>
        </c:manualLayout>
      </c:layout>
      <c:barChart>
        <c:barDir val="col"/>
        <c:grouping val="clustered"/>
        <c:varyColors val="0"/>
        <c:ser>
          <c:idx val="0"/>
          <c:order val="0"/>
          <c:tx>
            <c:strRef>
              <c:f>Sheet2!$C$1</c:f>
              <c:strCache>
                <c:ptCount val="1"/>
                <c:pt idx="0">
                  <c:v>Household survey </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6"/>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Sheet2!$B$2:$B$10</c:f>
              <c:strCache>
                <c:ptCount val="9"/>
                <c:pt idx="0">
                  <c:v>Infratructure (transportation- communication- electricity-water)</c:v>
                </c:pt>
                <c:pt idx="1">
                  <c:v>Facilities and welfare </c:v>
                </c:pt>
                <c:pt idx="2">
                  <c:v>Ease of resale</c:v>
                </c:pt>
                <c:pt idx="3">
                  <c:v>New and better communities</c:v>
                </c:pt>
                <c:pt idx="4">
                  <c:v>Distance to work/ Schools/Univerisities</c:v>
                </c:pt>
                <c:pt idx="5">
                  <c:v>Preference for low-croweded areas</c:v>
                </c:pt>
                <c:pt idx="6">
                  <c:v>Finishing Standard</c:v>
                </c:pt>
                <c:pt idx="7">
                  <c:v>Living in the same house with parents siblings </c:v>
                </c:pt>
                <c:pt idx="8">
                  <c:v>Living inside a compound</c:v>
                </c:pt>
              </c:strCache>
            </c:strRef>
          </c:cat>
          <c:val>
            <c:numRef>
              <c:f>Sheet2!$C$2:$C$10</c:f>
              <c:numCache>
                <c:formatCode>General</c:formatCode>
                <c:ptCount val="9"/>
                <c:pt idx="0">
                  <c:v>97</c:v>
                </c:pt>
                <c:pt idx="1">
                  <c:v>90</c:v>
                </c:pt>
                <c:pt idx="2">
                  <c:v>83</c:v>
                </c:pt>
                <c:pt idx="3">
                  <c:v>82</c:v>
                </c:pt>
                <c:pt idx="4">
                  <c:v>80</c:v>
                </c:pt>
                <c:pt idx="5">
                  <c:v>78</c:v>
                </c:pt>
                <c:pt idx="6">
                  <c:v>72</c:v>
                </c:pt>
                <c:pt idx="7">
                  <c:v>64</c:v>
                </c:pt>
                <c:pt idx="8">
                  <c:v>47</c:v>
                </c:pt>
              </c:numCache>
            </c:numRef>
          </c:val>
          <c:extLst>
            <c:ext xmlns:c16="http://schemas.microsoft.com/office/drawing/2014/chart" uri="{C3380CC4-5D6E-409C-BE32-E72D297353CC}">
              <c16:uniqueId val="{00000000-D341-D842-9B41-D05024FAAAD9}"/>
            </c:ext>
          </c:extLst>
        </c:ser>
        <c:ser>
          <c:idx val="1"/>
          <c:order val="1"/>
          <c:tx>
            <c:strRef>
              <c:f>Sheet2!$D$1</c:f>
              <c:strCache>
                <c:ptCount val="1"/>
                <c:pt idx="0">
                  <c:v>Real-Estate Developers Survey </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5"/>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Sheet2!$D$2:$D$10</c:f>
              <c:numCache>
                <c:formatCode>0</c:formatCode>
                <c:ptCount val="9"/>
                <c:pt idx="0">
                  <c:v>90.5</c:v>
                </c:pt>
                <c:pt idx="1">
                  <c:v>83.5</c:v>
                </c:pt>
                <c:pt idx="2">
                  <c:v>61.7</c:v>
                </c:pt>
                <c:pt idx="3">
                  <c:v>75</c:v>
                </c:pt>
                <c:pt idx="4">
                  <c:v>72.099999999999994</c:v>
                </c:pt>
                <c:pt idx="5">
                  <c:v>63.3</c:v>
                </c:pt>
                <c:pt idx="6">
                  <c:v>69.7</c:v>
                </c:pt>
                <c:pt idx="7">
                  <c:v>21.6</c:v>
                </c:pt>
                <c:pt idx="8">
                  <c:v>68</c:v>
                </c:pt>
              </c:numCache>
            </c:numRef>
          </c:val>
          <c:extLst>
            <c:ext xmlns:c16="http://schemas.microsoft.com/office/drawing/2014/chart" uri="{C3380CC4-5D6E-409C-BE32-E72D297353CC}">
              <c16:uniqueId val="{00000001-D341-D842-9B41-D05024FAAAD9}"/>
            </c:ext>
          </c:extLst>
        </c:ser>
        <c:dLbls>
          <c:showLegendKey val="0"/>
          <c:showVal val="0"/>
          <c:showCatName val="0"/>
          <c:showSerName val="0"/>
          <c:showPercent val="0"/>
          <c:showBubbleSize val="0"/>
        </c:dLbls>
        <c:gapWidth val="219"/>
        <c:overlap val="-27"/>
        <c:axId val="1067534607"/>
        <c:axId val="1066756463"/>
      </c:barChart>
      <c:catAx>
        <c:axId val="10675346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6756463"/>
        <c:crosses val="autoZero"/>
        <c:auto val="1"/>
        <c:lblAlgn val="ctr"/>
        <c:lblOffset val="100"/>
        <c:noMultiLvlLbl val="0"/>
      </c:catAx>
      <c:valAx>
        <c:axId val="10667564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75346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AC67B-1089-BA4B-B38B-B5B1C1F58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1</Pages>
  <Words>15749</Words>
  <Characters>89770</Characters>
  <Application>Microsoft Office Word</Application>
  <DocSecurity>4</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El-Khishin</dc:creator>
  <cp:keywords/>
  <dc:description/>
  <cp:lastModifiedBy>Sarah El-Khishin</cp:lastModifiedBy>
  <cp:revision>799</cp:revision>
  <cp:lastPrinted>2021-12-23T06:58:00Z</cp:lastPrinted>
  <dcterms:created xsi:type="dcterms:W3CDTF">2021-12-26T17:24:00Z</dcterms:created>
  <dcterms:modified xsi:type="dcterms:W3CDTF">2021-12-27T05:40:00Z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e5ebcc8f-e3b9-39ab-8436-dd25d9289b19</vt:lpwstr>
  </property>
</Properties>
</file>