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0A" w:rsidRPr="009038A6" w:rsidRDefault="003A690A" w:rsidP="00FE7874">
      <w:pPr>
        <w:spacing w:before="120" w:after="120" w:line="360" w:lineRule="auto"/>
        <w:jc w:val="center"/>
        <w:rPr>
          <w:rFonts w:cstheme="minorHAnsi"/>
          <w:b/>
          <w:shd w:val="clear" w:color="auto" w:fill="FFFFFF"/>
          <w:lang w:val="en-US"/>
        </w:rPr>
      </w:pPr>
      <w:bookmarkStart w:id="0" w:name="_GoBack"/>
      <w:bookmarkEnd w:id="0"/>
    </w:p>
    <w:p w:rsidR="00CF5987" w:rsidRDefault="00CF5987" w:rsidP="00CC7895">
      <w:pPr>
        <w:spacing w:before="120" w:after="120" w:line="360" w:lineRule="auto"/>
        <w:jc w:val="center"/>
        <w:rPr>
          <w:rFonts w:cstheme="minorHAnsi"/>
          <w:b/>
          <w:shd w:val="clear" w:color="auto" w:fill="FFFFFF"/>
          <w:lang w:val="en-US"/>
        </w:rPr>
      </w:pPr>
      <w:r w:rsidRPr="009038A6">
        <w:rPr>
          <w:rFonts w:cstheme="minorHAnsi"/>
          <w:b/>
          <w:shd w:val="clear" w:color="auto" w:fill="FFFFFF"/>
          <w:lang w:val="en-US"/>
        </w:rPr>
        <w:t>Interest Rate Uncertainty and the</w:t>
      </w:r>
      <w:r w:rsidR="00635362" w:rsidRPr="009038A6">
        <w:rPr>
          <w:rFonts w:cstheme="minorHAnsi"/>
          <w:b/>
          <w:shd w:val="clear" w:color="auto" w:fill="FFFFFF"/>
          <w:lang w:val="en-US"/>
        </w:rPr>
        <w:t xml:space="preserve"> </w:t>
      </w:r>
      <w:r w:rsidR="00A55D2A">
        <w:rPr>
          <w:rFonts w:cstheme="minorHAnsi"/>
          <w:b/>
          <w:shd w:val="clear" w:color="auto" w:fill="FFFFFF"/>
          <w:lang w:val="en-US"/>
        </w:rPr>
        <w:t>Macro</w:t>
      </w:r>
      <w:r w:rsidR="00A55D2A" w:rsidRPr="009038A6">
        <w:rPr>
          <w:rFonts w:cstheme="minorHAnsi"/>
          <w:b/>
          <w:shd w:val="clear" w:color="auto" w:fill="FFFFFF"/>
          <w:lang w:val="en-US"/>
        </w:rPr>
        <w:t>economics</w:t>
      </w:r>
      <w:r w:rsidRPr="009038A6">
        <w:rPr>
          <w:rFonts w:cstheme="minorHAnsi"/>
          <w:b/>
          <w:shd w:val="clear" w:color="auto" w:fill="FFFFFF"/>
          <w:lang w:val="en-US"/>
        </w:rPr>
        <w:t xml:space="preserve"> in Turkey</w:t>
      </w:r>
    </w:p>
    <w:p w:rsidR="0058660F" w:rsidRPr="0058660F" w:rsidRDefault="0058660F" w:rsidP="00FE7874">
      <w:pPr>
        <w:spacing w:before="120" w:after="120" w:line="360" w:lineRule="auto"/>
        <w:jc w:val="center"/>
        <w:rPr>
          <w:rFonts w:cstheme="minorHAnsi"/>
          <w:shd w:val="clear" w:color="auto" w:fill="FFFFFF"/>
          <w:lang w:val="en-US"/>
        </w:rPr>
      </w:pPr>
      <w:proofErr w:type="spellStart"/>
      <w:r w:rsidRPr="0058660F">
        <w:rPr>
          <w:rFonts w:cstheme="minorHAnsi"/>
          <w:shd w:val="clear" w:color="auto" w:fill="FFFFFF"/>
          <w:lang w:val="en-US"/>
        </w:rPr>
        <w:t>Pelin</w:t>
      </w:r>
      <w:proofErr w:type="spellEnd"/>
      <w:r w:rsidRPr="0058660F">
        <w:rPr>
          <w:rFonts w:cstheme="minorHAnsi"/>
          <w:shd w:val="clear" w:color="auto" w:fill="FFFFFF"/>
          <w:lang w:val="en-US"/>
        </w:rPr>
        <w:t xml:space="preserve"> ÖGE GÜNEY</w:t>
      </w:r>
      <w:r w:rsidRPr="0058660F">
        <w:rPr>
          <w:rStyle w:val="FootnoteReference"/>
          <w:rFonts w:cstheme="minorHAnsi"/>
          <w:shd w:val="clear" w:color="auto" w:fill="FFFFFF"/>
          <w:lang w:val="en-US"/>
        </w:rPr>
        <w:footnoteReference w:id="1"/>
      </w:r>
    </w:p>
    <w:p w:rsidR="009A61BD" w:rsidRPr="009038A6" w:rsidRDefault="009A61BD" w:rsidP="00FE7874">
      <w:pPr>
        <w:pStyle w:val="Heading1"/>
        <w:spacing w:before="120" w:after="120" w:line="360" w:lineRule="auto"/>
        <w:jc w:val="both"/>
        <w:rPr>
          <w:rFonts w:asciiTheme="minorHAnsi" w:eastAsia="Times New Roman" w:hAnsiTheme="minorHAnsi" w:cstheme="minorHAnsi"/>
          <w:i/>
          <w:iCs/>
          <w:color w:val="auto"/>
          <w:sz w:val="22"/>
          <w:szCs w:val="22"/>
          <w:lang w:val="en-US" w:eastAsia="tr-TR"/>
        </w:rPr>
      </w:pPr>
    </w:p>
    <w:p w:rsidR="009A61BD" w:rsidRPr="00FE7874" w:rsidRDefault="009A61BD" w:rsidP="00FE7874">
      <w:pPr>
        <w:pStyle w:val="Heading1"/>
        <w:spacing w:before="120" w:after="120" w:line="360" w:lineRule="auto"/>
        <w:jc w:val="both"/>
        <w:rPr>
          <w:rFonts w:asciiTheme="minorHAnsi" w:eastAsia="Times New Roman" w:hAnsiTheme="minorHAnsi" w:cstheme="minorHAnsi"/>
          <w:b/>
          <w:i/>
          <w:iCs/>
          <w:color w:val="auto"/>
          <w:sz w:val="22"/>
          <w:szCs w:val="22"/>
          <w:lang w:val="en-US" w:eastAsia="tr-TR"/>
        </w:rPr>
      </w:pPr>
      <w:r w:rsidRPr="00FE7874">
        <w:rPr>
          <w:rFonts w:asciiTheme="minorHAnsi" w:eastAsia="Times New Roman" w:hAnsiTheme="minorHAnsi" w:cstheme="minorHAnsi"/>
          <w:b/>
          <w:i/>
          <w:iCs/>
          <w:color w:val="auto"/>
          <w:sz w:val="22"/>
          <w:szCs w:val="22"/>
          <w:lang w:val="en-US" w:eastAsia="tr-TR"/>
        </w:rPr>
        <w:t>Abstract</w:t>
      </w:r>
    </w:p>
    <w:p w:rsidR="009A61BD" w:rsidRDefault="009A61BD" w:rsidP="00FE7874">
      <w:pPr>
        <w:spacing w:before="120" w:after="120" w:line="360" w:lineRule="auto"/>
        <w:jc w:val="both"/>
        <w:rPr>
          <w:rFonts w:eastAsia="Times New Roman" w:cstheme="minorHAnsi"/>
          <w:iCs/>
          <w:lang w:val="en-US" w:eastAsia="tr-TR"/>
        </w:rPr>
      </w:pPr>
      <w:r w:rsidRPr="009038A6">
        <w:rPr>
          <w:rFonts w:eastAsia="Times New Roman" w:cstheme="minorHAnsi"/>
          <w:iCs/>
          <w:lang w:val="en-US" w:eastAsia="tr-TR"/>
        </w:rPr>
        <w:t>Monetary policy has a central role in stabilizing macroeconomic fluctuations. In addition to monetary policy, uncertainty about monetary policy associated wi</w:t>
      </w:r>
      <w:r w:rsidR="00FC069A" w:rsidRPr="009038A6">
        <w:rPr>
          <w:rFonts w:eastAsia="Times New Roman" w:cstheme="minorHAnsi"/>
          <w:iCs/>
          <w:lang w:val="en-US" w:eastAsia="tr-TR"/>
        </w:rPr>
        <w:t>th uncertainty in interest rate</w:t>
      </w:r>
      <w:r w:rsidRPr="009038A6">
        <w:rPr>
          <w:rFonts w:eastAsia="Times New Roman" w:cstheme="minorHAnsi"/>
          <w:iCs/>
          <w:lang w:val="en-US" w:eastAsia="tr-TR"/>
        </w:rPr>
        <w:t xml:space="preserve"> </w:t>
      </w:r>
      <w:r w:rsidR="0020444F" w:rsidRPr="009038A6">
        <w:rPr>
          <w:rFonts w:eastAsia="Times New Roman" w:cstheme="minorHAnsi"/>
          <w:iCs/>
          <w:lang w:val="en-US" w:eastAsia="tr-TR"/>
        </w:rPr>
        <w:t xml:space="preserve">is </w:t>
      </w:r>
      <w:r w:rsidRPr="009038A6">
        <w:rPr>
          <w:rFonts w:eastAsia="Times New Roman" w:cstheme="minorHAnsi"/>
          <w:iCs/>
          <w:lang w:val="en-US" w:eastAsia="tr-TR"/>
        </w:rPr>
        <w:t>a</w:t>
      </w:r>
      <w:r w:rsidR="0020444F" w:rsidRPr="009038A6">
        <w:rPr>
          <w:rFonts w:eastAsia="Times New Roman" w:cstheme="minorHAnsi"/>
          <w:iCs/>
          <w:lang w:val="en-US" w:eastAsia="tr-TR"/>
        </w:rPr>
        <w:t>n</w:t>
      </w:r>
      <w:r w:rsidRPr="009038A6">
        <w:rPr>
          <w:rFonts w:eastAsia="Times New Roman" w:cstheme="minorHAnsi"/>
          <w:iCs/>
          <w:lang w:val="en-US" w:eastAsia="tr-TR"/>
        </w:rPr>
        <w:t xml:space="preserve"> </w:t>
      </w:r>
      <w:r w:rsidR="0020444F" w:rsidRPr="009038A6">
        <w:rPr>
          <w:rFonts w:eastAsia="Times New Roman" w:cstheme="minorHAnsi"/>
          <w:iCs/>
          <w:lang w:val="en-US" w:eastAsia="tr-TR"/>
        </w:rPr>
        <w:t xml:space="preserve">important </w:t>
      </w:r>
      <w:r w:rsidRPr="009038A6">
        <w:rPr>
          <w:rFonts w:eastAsia="Times New Roman" w:cstheme="minorHAnsi"/>
          <w:iCs/>
          <w:lang w:val="en-US" w:eastAsia="tr-TR"/>
        </w:rPr>
        <w:t xml:space="preserve">determinant of </w:t>
      </w:r>
      <w:r w:rsidR="008C5B25" w:rsidRPr="009038A6">
        <w:rPr>
          <w:rFonts w:eastAsia="Times New Roman" w:cstheme="minorHAnsi"/>
          <w:iCs/>
          <w:lang w:val="en-US" w:eastAsia="tr-TR"/>
        </w:rPr>
        <w:t>economic decisions</w:t>
      </w:r>
      <w:r w:rsidRPr="009038A6">
        <w:rPr>
          <w:rFonts w:eastAsia="Times New Roman" w:cstheme="minorHAnsi"/>
          <w:iCs/>
          <w:lang w:val="en-US" w:eastAsia="tr-TR"/>
        </w:rPr>
        <w:t>.</w:t>
      </w:r>
      <w:r w:rsidR="008B7328" w:rsidRPr="009038A6">
        <w:rPr>
          <w:rFonts w:eastAsia="Times New Roman" w:cstheme="minorHAnsi"/>
          <w:lang w:val="en-US" w:eastAsia="tr-TR"/>
        </w:rPr>
        <w:t xml:space="preserve"> In this paper, we analyzed the effect of interest rate uncertainties for different maturities on industrial production, inflation, unemployment, and exchange rate using </w:t>
      </w:r>
      <w:r w:rsidR="00FC069A" w:rsidRPr="009038A6">
        <w:rPr>
          <w:rFonts w:eastAsia="Times New Roman" w:cstheme="minorHAnsi"/>
          <w:lang w:val="en-US" w:eastAsia="tr-TR"/>
        </w:rPr>
        <w:t xml:space="preserve">the </w:t>
      </w:r>
      <w:r w:rsidR="008B7328" w:rsidRPr="009038A6">
        <w:rPr>
          <w:rFonts w:eastAsia="Times New Roman" w:cstheme="minorHAnsi"/>
          <w:lang w:val="en-US" w:eastAsia="tr-TR"/>
        </w:rPr>
        <w:t xml:space="preserve">VAR model. </w:t>
      </w:r>
      <w:r w:rsidR="00925856" w:rsidRPr="009038A6">
        <w:rPr>
          <w:rFonts w:eastAsia="Times New Roman" w:cstheme="minorHAnsi"/>
          <w:lang w:val="en-US" w:eastAsia="tr-TR"/>
        </w:rPr>
        <w:t>Due to the dominant position of the US economy in global financial markets, in addition to countries’ own uncertainties, uncertainty about</w:t>
      </w:r>
      <w:r w:rsidR="00C153A0" w:rsidRPr="009038A6">
        <w:rPr>
          <w:rFonts w:eastAsia="Times New Roman" w:cstheme="minorHAnsi"/>
          <w:lang w:val="en-US" w:eastAsia="tr-TR"/>
        </w:rPr>
        <w:t xml:space="preserve"> the</w:t>
      </w:r>
      <w:r w:rsidR="00925856" w:rsidRPr="009038A6">
        <w:rPr>
          <w:rFonts w:eastAsia="Times New Roman" w:cstheme="minorHAnsi"/>
          <w:lang w:val="en-US" w:eastAsia="tr-TR"/>
        </w:rPr>
        <w:t xml:space="preserve"> monetary policy of </w:t>
      </w:r>
      <w:r w:rsidR="00C153A0" w:rsidRPr="009038A6">
        <w:rPr>
          <w:rFonts w:eastAsia="Times New Roman" w:cstheme="minorHAnsi"/>
          <w:lang w:val="en-US" w:eastAsia="tr-TR"/>
        </w:rPr>
        <w:t xml:space="preserve">the </w:t>
      </w:r>
      <w:r w:rsidR="00B84E72">
        <w:rPr>
          <w:rFonts w:eastAsia="Times New Roman" w:cstheme="minorHAnsi"/>
          <w:lang w:val="en-US" w:eastAsia="tr-TR"/>
        </w:rPr>
        <w:t>US</w:t>
      </w:r>
      <w:r w:rsidR="009D4921" w:rsidRPr="00F27FD0">
        <w:rPr>
          <w:rFonts w:eastAsia="Times New Roman" w:cstheme="minorHAnsi"/>
          <w:color w:val="FF0000"/>
          <w:lang w:val="en-US" w:eastAsia="tr-TR"/>
        </w:rPr>
        <w:t xml:space="preserve"> </w:t>
      </w:r>
      <w:r w:rsidR="00925856" w:rsidRPr="009038A6">
        <w:rPr>
          <w:rFonts w:eastAsia="Times New Roman" w:cstheme="minorHAnsi"/>
          <w:lang w:val="en-US" w:eastAsia="tr-TR"/>
        </w:rPr>
        <w:t>may have an impact on other economies</w:t>
      </w:r>
      <w:r w:rsidR="008B7328" w:rsidRPr="009038A6">
        <w:rPr>
          <w:rFonts w:eastAsia="Times New Roman" w:cstheme="minorHAnsi"/>
          <w:lang w:val="en-US" w:eastAsia="tr-TR"/>
        </w:rPr>
        <w:t>. W</w:t>
      </w:r>
      <w:r w:rsidR="00654660" w:rsidRPr="009038A6">
        <w:rPr>
          <w:rFonts w:eastAsia="Times New Roman" w:cstheme="minorHAnsi"/>
          <w:lang w:val="en-US" w:eastAsia="tr-TR"/>
        </w:rPr>
        <w:t>e</w:t>
      </w:r>
      <w:r w:rsidR="008B7328" w:rsidRPr="009038A6">
        <w:rPr>
          <w:rFonts w:eastAsia="Times New Roman" w:cstheme="minorHAnsi"/>
          <w:lang w:val="en-US" w:eastAsia="tr-TR"/>
        </w:rPr>
        <w:t xml:space="preserve"> also</w:t>
      </w:r>
      <w:r w:rsidR="00654660" w:rsidRPr="009038A6">
        <w:rPr>
          <w:rFonts w:eastAsia="Times New Roman" w:cstheme="minorHAnsi"/>
          <w:lang w:val="en-US" w:eastAsia="tr-TR"/>
        </w:rPr>
        <w:t xml:space="preserve"> discussed the impact of </w:t>
      </w:r>
      <w:r w:rsidR="00925856" w:rsidRPr="009038A6">
        <w:rPr>
          <w:rFonts w:eastAsia="Times New Roman" w:cstheme="minorHAnsi"/>
          <w:lang w:val="en-US" w:eastAsia="tr-TR"/>
        </w:rPr>
        <w:t xml:space="preserve">uncertainty about US monetary policy </w:t>
      </w:r>
      <w:r w:rsidR="00654660" w:rsidRPr="009038A6">
        <w:rPr>
          <w:rFonts w:eastAsia="Times New Roman" w:cstheme="minorHAnsi"/>
          <w:lang w:val="en-US" w:eastAsia="tr-TR"/>
        </w:rPr>
        <w:t xml:space="preserve">on the mentioned variables of Turkey. </w:t>
      </w:r>
      <w:r w:rsidR="00ED0F7C" w:rsidRPr="009038A6">
        <w:rPr>
          <w:rFonts w:eastAsia="Times New Roman" w:cstheme="minorHAnsi"/>
          <w:lang w:val="en-US" w:eastAsia="tr-TR"/>
        </w:rPr>
        <w:t>Although the effect varies across different maturity of the yield, o</w:t>
      </w:r>
      <w:r w:rsidR="00751CB8" w:rsidRPr="009038A6">
        <w:rPr>
          <w:rFonts w:eastAsia="Times New Roman" w:cstheme="minorHAnsi"/>
          <w:iCs/>
          <w:lang w:val="en-US" w:eastAsia="tr-TR"/>
        </w:rPr>
        <w:t>ur findings suggest that</w:t>
      </w:r>
      <w:r w:rsidR="00ED0F7C" w:rsidRPr="009038A6">
        <w:rPr>
          <w:rFonts w:eastAsia="Times New Roman" w:cstheme="minorHAnsi"/>
          <w:iCs/>
          <w:lang w:val="en-US" w:eastAsia="tr-TR"/>
        </w:rPr>
        <w:t xml:space="preserve"> interest rate u</w:t>
      </w:r>
      <w:r w:rsidR="00322409" w:rsidRPr="009038A6">
        <w:rPr>
          <w:rFonts w:eastAsia="Times New Roman" w:cstheme="minorHAnsi"/>
          <w:iCs/>
          <w:lang w:val="en-US" w:eastAsia="tr-TR"/>
        </w:rPr>
        <w:t>ncertainty reduce</w:t>
      </w:r>
      <w:r w:rsidR="00C153A0" w:rsidRPr="009038A6">
        <w:rPr>
          <w:rFonts w:eastAsia="Times New Roman" w:cstheme="minorHAnsi"/>
          <w:iCs/>
          <w:lang w:val="en-US" w:eastAsia="tr-TR"/>
        </w:rPr>
        <w:t>s</w:t>
      </w:r>
      <w:r w:rsidR="00CE6C8B" w:rsidRPr="009038A6">
        <w:rPr>
          <w:rFonts w:eastAsia="Times New Roman" w:cstheme="minorHAnsi"/>
          <w:iCs/>
          <w:lang w:val="en-US" w:eastAsia="tr-TR"/>
        </w:rPr>
        <w:t xml:space="preserve"> the growth of</w:t>
      </w:r>
      <w:r w:rsidR="00322409" w:rsidRPr="009038A6">
        <w:rPr>
          <w:rFonts w:eastAsia="Times New Roman" w:cstheme="minorHAnsi"/>
          <w:iCs/>
          <w:lang w:val="en-US" w:eastAsia="tr-TR"/>
        </w:rPr>
        <w:t xml:space="preserve"> </w:t>
      </w:r>
      <w:r w:rsidR="00CE6C8B" w:rsidRPr="009038A6">
        <w:rPr>
          <w:rFonts w:eastAsia="Times New Roman" w:cstheme="minorHAnsi"/>
          <w:iCs/>
          <w:lang w:val="en-US" w:eastAsia="tr-TR"/>
        </w:rPr>
        <w:t xml:space="preserve">industrial </w:t>
      </w:r>
      <w:r w:rsidR="00322409" w:rsidRPr="009038A6">
        <w:rPr>
          <w:rFonts w:eastAsia="Times New Roman" w:cstheme="minorHAnsi"/>
          <w:iCs/>
          <w:lang w:val="en-US" w:eastAsia="tr-TR"/>
        </w:rPr>
        <w:t>production,</w:t>
      </w:r>
      <w:r w:rsidR="00ED0F7C" w:rsidRPr="009038A6">
        <w:rPr>
          <w:rFonts w:eastAsia="Times New Roman" w:cstheme="minorHAnsi"/>
          <w:iCs/>
          <w:lang w:val="en-US" w:eastAsia="tr-TR"/>
        </w:rPr>
        <w:t xml:space="preserve"> increase</w:t>
      </w:r>
      <w:r w:rsidR="00C153A0" w:rsidRPr="009038A6">
        <w:rPr>
          <w:rFonts w:eastAsia="Times New Roman" w:cstheme="minorHAnsi"/>
          <w:iCs/>
          <w:lang w:val="en-US" w:eastAsia="tr-TR"/>
        </w:rPr>
        <w:t>s</w:t>
      </w:r>
      <w:r w:rsidR="00ED0F7C" w:rsidRPr="009038A6">
        <w:rPr>
          <w:rFonts w:eastAsia="Times New Roman" w:cstheme="minorHAnsi"/>
          <w:iCs/>
          <w:lang w:val="en-US" w:eastAsia="tr-TR"/>
        </w:rPr>
        <w:t xml:space="preserve"> unemployment</w:t>
      </w:r>
      <w:r w:rsidR="00322409" w:rsidRPr="009038A6">
        <w:rPr>
          <w:rFonts w:eastAsia="Times New Roman" w:cstheme="minorHAnsi"/>
          <w:iCs/>
          <w:lang w:val="en-US" w:eastAsia="tr-TR"/>
        </w:rPr>
        <w:t xml:space="preserve"> and depreciate</w:t>
      </w:r>
      <w:r w:rsidR="00C153A0" w:rsidRPr="009038A6">
        <w:rPr>
          <w:rFonts w:eastAsia="Times New Roman" w:cstheme="minorHAnsi"/>
          <w:iCs/>
          <w:lang w:val="en-US" w:eastAsia="tr-TR"/>
        </w:rPr>
        <w:t>s the</w:t>
      </w:r>
      <w:r w:rsidR="00322409" w:rsidRPr="009038A6">
        <w:rPr>
          <w:rFonts w:eastAsia="Times New Roman" w:cstheme="minorHAnsi"/>
          <w:iCs/>
          <w:lang w:val="en-US" w:eastAsia="tr-TR"/>
        </w:rPr>
        <w:t xml:space="preserve"> exchange rate</w:t>
      </w:r>
      <w:r w:rsidR="00ED0F7C" w:rsidRPr="009038A6">
        <w:rPr>
          <w:rFonts w:eastAsia="Times New Roman" w:cstheme="minorHAnsi"/>
          <w:iCs/>
          <w:lang w:val="en-US" w:eastAsia="tr-TR"/>
        </w:rPr>
        <w:t>.</w:t>
      </w:r>
      <w:r w:rsidR="00322409" w:rsidRPr="009038A6">
        <w:rPr>
          <w:rFonts w:eastAsia="Times New Roman" w:cstheme="minorHAnsi"/>
          <w:iCs/>
          <w:lang w:val="en-US" w:eastAsia="tr-TR"/>
        </w:rPr>
        <w:t xml:space="preserve"> Additionally, inflation increases in response to interest rate uncertainty shocks.</w:t>
      </w:r>
      <w:r w:rsidR="00ED0F7C" w:rsidRPr="009038A6">
        <w:rPr>
          <w:rFonts w:eastAsia="Times New Roman" w:cstheme="minorHAnsi"/>
          <w:iCs/>
          <w:lang w:val="en-US" w:eastAsia="tr-TR"/>
        </w:rPr>
        <w:t xml:space="preserve"> </w:t>
      </w:r>
      <w:r w:rsidR="00751CB8" w:rsidRPr="009038A6">
        <w:rPr>
          <w:rFonts w:eastAsia="Times New Roman" w:cstheme="minorHAnsi"/>
          <w:iCs/>
          <w:lang w:val="en-US" w:eastAsia="tr-TR"/>
        </w:rPr>
        <w:t xml:space="preserve"> </w:t>
      </w:r>
      <w:r w:rsidR="009D4921" w:rsidRPr="009038A6">
        <w:rPr>
          <w:rFonts w:eastAsia="Times New Roman" w:cstheme="minorHAnsi"/>
          <w:iCs/>
          <w:lang w:val="en-US" w:eastAsia="tr-TR"/>
        </w:rPr>
        <w:t xml:space="preserve">Finally, </w:t>
      </w:r>
      <w:r w:rsidR="00EC4AFB" w:rsidRPr="009038A6">
        <w:rPr>
          <w:rFonts w:eastAsia="Times New Roman" w:cstheme="minorHAnsi"/>
          <w:iCs/>
          <w:lang w:val="en-US" w:eastAsia="tr-TR"/>
        </w:rPr>
        <w:t xml:space="preserve">according to our results, while </w:t>
      </w:r>
      <w:r w:rsidR="00CE6C8B" w:rsidRPr="009038A6">
        <w:rPr>
          <w:rFonts w:eastAsia="Times New Roman" w:cstheme="minorHAnsi"/>
          <w:iCs/>
          <w:lang w:val="en-US" w:eastAsia="tr-TR"/>
        </w:rPr>
        <w:t xml:space="preserve">a shock in </w:t>
      </w:r>
      <w:r w:rsidR="00B272EA" w:rsidRPr="009038A6">
        <w:rPr>
          <w:rFonts w:eastAsia="Times New Roman" w:cstheme="minorHAnsi"/>
          <w:iCs/>
          <w:lang w:val="en-US" w:eastAsia="tr-TR"/>
        </w:rPr>
        <w:t>uncertainty about US monetary policy tends</w:t>
      </w:r>
      <w:r w:rsidR="00EC4AFB" w:rsidRPr="009038A6">
        <w:rPr>
          <w:rFonts w:eastAsia="Times New Roman" w:cstheme="minorHAnsi"/>
          <w:iCs/>
          <w:lang w:val="en-US" w:eastAsia="tr-TR"/>
        </w:rPr>
        <w:t xml:space="preserve"> to significant</w:t>
      </w:r>
      <w:r w:rsidR="00C153A0" w:rsidRPr="009038A6">
        <w:rPr>
          <w:rFonts w:eastAsia="Times New Roman" w:cstheme="minorHAnsi"/>
          <w:iCs/>
          <w:lang w:val="en-US" w:eastAsia="tr-TR"/>
        </w:rPr>
        <w:t>ly</w:t>
      </w:r>
      <w:r w:rsidR="00EC4AFB" w:rsidRPr="009038A6">
        <w:rPr>
          <w:rFonts w:eastAsia="Times New Roman" w:cstheme="minorHAnsi"/>
          <w:iCs/>
          <w:lang w:val="en-US" w:eastAsia="tr-TR"/>
        </w:rPr>
        <w:t xml:space="preserve"> increase unemployment</w:t>
      </w:r>
      <w:r w:rsidR="00473922" w:rsidRPr="009038A6">
        <w:rPr>
          <w:rFonts w:eastAsia="Times New Roman" w:cstheme="minorHAnsi"/>
          <w:iCs/>
          <w:lang w:val="en-US" w:eastAsia="tr-TR"/>
        </w:rPr>
        <w:t xml:space="preserve">, it decreases </w:t>
      </w:r>
      <w:r w:rsidR="00C153A0" w:rsidRPr="009038A6">
        <w:rPr>
          <w:rFonts w:eastAsia="Times New Roman" w:cstheme="minorHAnsi"/>
          <w:iCs/>
          <w:lang w:val="en-US" w:eastAsia="tr-TR"/>
        </w:rPr>
        <w:t xml:space="preserve">the </w:t>
      </w:r>
      <w:r w:rsidR="00CE6C8B" w:rsidRPr="009038A6">
        <w:rPr>
          <w:rFonts w:eastAsia="Times New Roman" w:cstheme="minorHAnsi"/>
          <w:iCs/>
          <w:lang w:val="en-US" w:eastAsia="tr-TR"/>
        </w:rPr>
        <w:t xml:space="preserve">growth of </w:t>
      </w:r>
      <w:r w:rsidR="00EC4AFB" w:rsidRPr="009038A6">
        <w:rPr>
          <w:rFonts w:eastAsia="Times New Roman" w:cstheme="minorHAnsi"/>
          <w:iCs/>
          <w:lang w:val="en-US" w:eastAsia="tr-TR"/>
        </w:rPr>
        <w:t>production.</w:t>
      </w:r>
    </w:p>
    <w:p w:rsidR="0058660F" w:rsidRPr="0058660F" w:rsidRDefault="0058660F" w:rsidP="00FE7874">
      <w:pPr>
        <w:spacing w:before="120" w:after="120" w:line="360" w:lineRule="auto"/>
        <w:jc w:val="both"/>
        <w:rPr>
          <w:rFonts w:eastAsia="Times New Roman" w:cstheme="minorHAnsi"/>
          <w:b/>
          <w:i/>
          <w:iCs/>
          <w:lang w:val="en-US" w:eastAsia="tr-TR"/>
        </w:rPr>
      </w:pPr>
      <w:r>
        <w:rPr>
          <w:rFonts w:eastAsia="Times New Roman" w:cstheme="minorHAnsi"/>
          <w:b/>
          <w:i/>
          <w:iCs/>
          <w:lang w:val="en-US" w:eastAsia="tr-TR"/>
        </w:rPr>
        <w:t>Key</w:t>
      </w:r>
      <w:r w:rsidRPr="0058660F">
        <w:rPr>
          <w:rFonts w:eastAsia="Times New Roman" w:cstheme="minorHAnsi"/>
          <w:b/>
          <w:i/>
          <w:iCs/>
          <w:lang w:val="en-US" w:eastAsia="tr-TR"/>
        </w:rPr>
        <w:t>words:</w:t>
      </w:r>
      <w:r>
        <w:rPr>
          <w:rFonts w:eastAsia="Times New Roman" w:cstheme="minorHAnsi"/>
          <w:b/>
          <w:i/>
          <w:iCs/>
          <w:lang w:val="en-US" w:eastAsia="tr-TR"/>
        </w:rPr>
        <w:t xml:space="preserve"> </w:t>
      </w:r>
      <w:r>
        <w:rPr>
          <w:rFonts w:eastAsia="Times New Roman" w:cstheme="minorHAnsi"/>
          <w:iCs/>
          <w:lang w:val="en-US" w:eastAsia="tr-TR"/>
        </w:rPr>
        <w:t>Uncertainty, I</w:t>
      </w:r>
      <w:r w:rsidRPr="0058660F">
        <w:rPr>
          <w:rFonts w:eastAsia="Times New Roman" w:cstheme="minorHAnsi"/>
          <w:iCs/>
          <w:lang w:val="en-US" w:eastAsia="tr-TR"/>
        </w:rPr>
        <w:t>nterest rate</w:t>
      </w:r>
      <w:r>
        <w:rPr>
          <w:rFonts w:eastAsia="Times New Roman" w:cstheme="minorHAnsi"/>
          <w:iCs/>
          <w:lang w:val="en-US" w:eastAsia="tr-TR"/>
        </w:rPr>
        <w:t xml:space="preserve">, VAR model, </w:t>
      </w:r>
      <w:r w:rsidR="003A62EC">
        <w:rPr>
          <w:rFonts w:eastAsia="Times New Roman" w:cstheme="minorHAnsi"/>
          <w:iCs/>
          <w:lang w:val="en-US" w:eastAsia="tr-TR"/>
        </w:rPr>
        <w:t>M</w:t>
      </w:r>
      <w:r w:rsidR="003A62EC" w:rsidRPr="0058660F">
        <w:rPr>
          <w:rFonts w:eastAsia="Times New Roman" w:cstheme="minorHAnsi"/>
          <w:iCs/>
          <w:lang w:val="en-US" w:eastAsia="tr-TR"/>
        </w:rPr>
        <w:t>acroeconom</w:t>
      </w:r>
      <w:r w:rsidR="00A55D2A">
        <w:rPr>
          <w:rFonts w:eastAsia="Times New Roman" w:cstheme="minorHAnsi"/>
          <w:iCs/>
          <w:lang w:val="en-US" w:eastAsia="tr-TR"/>
        </w:rPr>
        <w:t>ics</w:t>
      </w:r>
      <w:r w:rsidRPr="0058660F">
        <w:rPr>
          <w:rFonts w:eastAsia="Times New Roman" w:cstheme="minorHAnsi"/>
          <w:iCs/>
          <w:lang w:val="en-US" w:eastAsia="tr-TR"/>
        </w:rPr>
        <w:t>.</w:t>
      </w:r>
    </w:p>
    <w:p w:rsidR="0058660F" w:rsidRPr="001F7569" w:rsidRDefault="0058660F" w:rsidP="00FE7874">
      <w:pPr>
        <w:spacing w:before="120" w:after="120" w:line="360" w:lineRule="auto"/>
        <w:jc w:val="both"/>
        <w:rPr>
          <w:rFonts w:eastAsia="Times New Roman" w:cstheme="minorHAnsi"/>
          <w:lang w:val="en-US" w:eastAsia="tr-TR"/>
        </w:rPr>
      </w:pPr>
      <w:r w:rsidRPr="0058660F">
        <w:rPr>
          <w:rFonts w:eastAsia="Times New Roman" w:cstheme="minorHAnsi"/>
          <w:b/>
          <w:i/>
          <w:iCs/>
          <w:lang w:val="en-US" w:eastAsia="tr-TR"/>
        </w:rPr>
        <w:t xml:space="preserve">JEL </w:t>
      </w:r>
      <w:proofErr w:type="spellStart"/>
      <w:r w:rsidRPr="0058660F">
        <w:rPr>
          <w:rFonts w:eastAsia="Times New Roman" w:cstheme="minorHAnsi"/>
          <w:b/>
          <w:i/>
          <w:iCs/>
          <w:lang w:val="en-US" w:eastAsia="tr-TR"/>
        </w:rPr>
        <w:t>Clasiffication</w:t>
      </w:r>
      <w:proofErr w:type="spellEnd"/>
      <w:r w:rsidRPr="0058660F">
        <w:rPr>
          <w:rFonts w:eastAsia="Times New Roman" w:cstheme="minorHAnsi"/>
          <w:b/>
          <w:i/>
          <w:iCs/>
          <w:lang w:val="en-US" w:eastAsia="tr-TR"/>
        </w:rPr>
        <w:t>:</w:t>
      </w:r>
      <w:r w:rsidR="001F7569">
        <w:rPr>
          <w:rFonts w:eastAsia="Times New Roman" w:cstheme="minorHAnsi"/>
          <w:b/>
          <w:i/>
          <w:iCs/>
          <w:lang w:val="en-US" w:eastAsia="tr-TR"/>
        </w:rPr>
        <w:t xml:space="preserve"> </w:t>
      </w:r>
      <w:r w:rsidR="001F7569" w:rsidRPr="001F7569">
        <w:rPr>
          <w:rFonts w:eastAsia="Times New Roman" w:cstheme="minorHAnsi"/>
          <w:iCs/>
          <w:lang w:val="en-US" w:eastAsia="tr-TR"/>
        </w:rPr>
        <w:t>E43, E52, E58</w:t>
      </w:r>
    </w:p>
    <w:p w:rsidR="009A61BD" w:rsidRPr="009038A6" w:rsidRDefault="009A61BD" w:rsidP="00FE7874">
      <w:pPr>
        <w:pStyle w:val="Heading1"/>
        <w:spacing w:before="120" w:after="120" w:line="360" w:lineRule="auto"/>
        <w:rPr>
          <w:rFonts w:asciiTheme="minorHAnsi" w:eastAsia="Times New Roman" w:hAnsiTheme="minorHAnsi" w:cstheme="minorHAnsi"/>
          <w:i/>
          <w:iCs/>
          <w:color w:val="auto"/>
          <w:sz w:val="22"/>
          <w:szCs w:val="22"/>
          <w:lang w:val="en-US" w:eastAsia="tr-TR"/>
        </w:rPr>
      </w:pPr>
    </w:p>
    <w:p w:rsidR="009A61BD" w:rsidRPr="00FE7874" w:rsidRDefault="00FA1607" w:rsidP="00FE7874">
      <w:pPr>
        <w:pStyle w:val="Heading1"/>
        <w:spacing w:before="120" w:after="120" w:line="360" w:lineRule="auto"/>
        <w:rPr>
          <w:rFonts w:asciiTheme="minorHAnsi" w:eastAsia="Times New Roman" w:hAnsiTheme="minorHAnsi" w:cstheme="minorHAnsi"/>
          <w:b/>
          <w:iCs/>
          <w:color w:val="auto"/>
          <w:sz w:val="22"/>
          <w:szCs w:val="22"/>
          <w:lang w:val="en-US" w:eastAsia="tr-TR"/>
        </w:rPr>
      </w:pPr>
      <w:r w:rsidRPr="00FE7874">
        <w:rPr>
          <w:rFonts w:asciiTheme="minorHAnsi" w:eastAsia="Times New Roman" w:hAnsiTheme="minorHAnsi" w:cstheme="minorHAnsi"/>
          <w:b/>
          <w:iCs/>
          <w:color w:val="auto"/>
          <w:sz w:val="22"/>
          <w:szCs w:val="22"/>
          <w:lang w:val="en-US" w:eastAsia="tr-TR"/>
        </w:rPr>
        <w:t xml:space="preserve">1. </w:t>
      </w:r>
      <w:r w:rsidR="009A61BD" w:rsidRPr="00FE7874">
        <w:rPr>
          <w:rFonts w:asciiTheme="minorHAnsi" w:eastAsia="Times New Roman" w:hAnsiTheme="minorHAnsi" w:cstheme="minorHAnsi"/>
          <w:b/>
          <w:iCs/>
          <w:color w:val="auto"/>
          <w:sz w:val="22"/>
          <w:szCs w:val="22"/>
          <w:lang w:val="en-US" w:eastAsia="tr-TR"/>
        </w:rPr>
        <w:t>Introduction</w:t>
      </w:r>
    </w:p>
    <w:p w:rsidR="00F27FD0" w:rsidRDefault="009A61BD" w:rsidP="00FE7874">
      <w:pPr>
        <w:spacing w:before="120" w:after="120" w:line="360" w:lineRule="auto"/>
        <w:jc w:val="both"/>
        <w:rPr>
          <w:rFonts w:cstheme="minorHAnsi"/>
          <w:lang w:val="en-US"/>
        </w:rPr>
      </w:pPr>
      <w:r w:rsidRPr="009038A6">
        <w:rPr>
          <w:rFonts w:eastAsia="Times New Roman" w:cstheme="minorHAnsi"/>
          <w:lang w:val="en-US" w:eastAsia="tr-TR"/>
        </w:rPr>
        <w:br/>
      </w:r>
      <w:r w:rsidR="00F27FD0" w:rsidRPr="009038A6">
        <w:rPr>
          <w:rFonts w:eastAsia="Times New Roman" w:cstheme="minorHAnsi"/>
          <w:kern w:val="36"/>
          <w:lang w:val="en-US" w:eastAsia="tr-TR"/>
        </w:rPr>
        <w:t>Monetary authorities can affect the behavior of economic agents by changing the interest rate and the uncertainty in the interest rate can be associated with the uncertainty in monetary policy. That is, uncertainty in monetary policy implies potential future changes in interest rates.</w:t>
      </w:r>
      <w:r w:rsidR="00F27FD0" w:rsidRPr="00F27FD0">
        <w:rPr>
          <w:rFonts w:cstheme="minorHAnsi"/>
          <w:lang w:val="en-US"/>
        </w:rPr>
        <w:t xml:space="preserve"> </w:t>
      </w:r>
    </w:p>
    <w:p w:rsidR="00743782" w:rsidRDefault="00F27FD0" w:rsidP="00FE7874">
      <w:pPr>
        <w:spacing w:before="120" w:after="120" w:line="360" w:lineRule="auto"/>
        <w:jc w:val="both"/>
        <w:rPr>
          <w:rFonts w:eastAsia="Times New Roman" w:cstheme="minorHAnsi"/>
          <w:lang w:val="en-US" w:eastAsia="tr-TR"/>
        </w:rPr>
      </w:pPr>
      <w:r>
        <w:rPr>
          <w:rFonts w:cstheme="minorHAnsi"/>
          <w:lang w:val="en-US"/>
        </w:rPr>
        <w:t>In general, uncertainty</w:t>
      </w:r>
      <w:r w:rsidRPr="00BB738B">
        <w:rPr>
          <w:rFonts w:cstheme="minorHAnsi"/>
          <w:lang w:val="en-US"/>
        </w:rPr>
        <w:t xml:space="preserve"> influences the decisions about consumption, investment, trade or employment. </w:t>
      </w:r>
      <w:r>
        <w:rPr>
          <w:rFonts w:cstheme="minorHAnsi"/>
          <w:lang w:val="en-US"/>
        </w:rPr>
        <w:t xml:space="preserve"> </w:t>
      </w:r>
      <w:r w:rsidRPr="003540CE">
        <w:rPr>
          <w:rFonts w:cstheme="minorHAnsi"/>
          <w:lang w:val="en-US"/>
        </w:rPr>
        <w:t>Uncertainty in the interest rate can be expected to affect the economy in various ways.</w:t>
      </w:r>
      <w:r w:rsidRPr="00F27FD0">
        <w:rPr>
          <w:rFonts w:cstheme="minorHAnsi"/>
          <w:lang w:val="en-US"/>
        </w:rPr>
        <w:t xml:space="preserve"> </w:t>
      </w:r>
      <w:r>
        <w:rPr>
          <w:rFonts w:cstheme="minorHAnsi"/>
          <w:lang w:val="en-US"/>
        </w:rPr>
        <w:t>For example,</w:t>
      </w:r>
      <w:r>
        <w:rPr>
          <w:rFonts w:eastAsia="Times New Roman" w:cstheme="minorHAnsi"/>
          <w:kern w:val="36"/>
          <w:lang w:val="en-US" w:eastAsia="tr-TR"/>
        </w:rPr>
        <w:t xml:space="preserve"> u</w:t>
      </w:r>
      <w:r w:rsidR="009A61BD" w:rsidRPr="009038A6">
        <w:rPr>
          <w:rFonts w:eastAsia="Times New Roman" w:cstheme="minorHAnsi"/>
          <w:kern w:val="36"/>
          <w:lang w:val="en-US" w:eastAsia="tr-TR"/>
        </w:rPr>
        <w:t xml:space="preserve">ncertainty in interest rates leads to an increase in the risk of holding bonds. In this situation, economic </w:t>
      </w:r>
      <w:r w:rsidR="009A61BD" w:rsidRPr="009038A6">
        <w:rPr>
          <w:rFonts w:eastAsia="Times New Roman" w:cstheme="minorHAnsi"/>
          <w:kern w:val="36"/>
          <w:lang w:val="en-US" w:eastAsia="tr-TR"/>
        </w:rPr>
        <w:lastRenderedPageBreak/>
        <w:t>agents prefer to increase their money holdings, and as the money demand increases interest rates increase. Higher levels of interest rates</w:t>
      </w:r>
      <w:r w:rsidR="007765C4">
        <w:rPr>
          <w:rFonts w:eastAsia="Times New Roman" w:cstheme="minorHAnsi"/>
          <w:kern w:val="36"/>
          <w:lang w:val="en-US" w:eastAsia="tr-TR"/>
        </w:rPr>
        <w:t xml:space="preserve"> </w:t>
      </w:r>
      <w:r w:rsidR="009A61BD" w:rsidRPr="009038A6">
        <w:rPr>
          <w:rFonts w:eastAsia="Times New Roman" w:cstheme="minorHAnsi"/>
          <w:kern w:val="36"/>
          <w:lang w:val="en-US" w:eastAsia="tr-TR"/>
        </w:rPr>
        <w:t>reduce investment and output.</w:t>
      </w:r>
      <w:r w:rsidR="0020444F" w:rsidRPr="009038A6">
        <w:rPr>
          <w:rFonts w:eastAsia="Times New Roman" w:cstheme="minorHAnsi"/>
          <w:lang w:val="en-US" w:eastAsia="tr-TR"/>
        </w:rPr>
        <w:t xml:space="preserve"> </w:t>
      </w:r>
      <w:r>
        <w:rPr>
          <w:rFonts w:cstheme="minorHAnsi"/>
          <w:lang w:val="en-US"/>
        </w:rPr>
        <w:t xml:space="preserve">In addition, interest rate uncertainty </w:t>
      </w:r>
      <w:r w:rsidR="00F51D81">
        <w:rPr>
          <w:rFonts w:eastAsia="Times New Roman" w:cstheme="minorHAnsi"/>
          <w:kern w:val="36"/>
          <w:lang w:val="en-US" w:eastAsia="tr-TR"/>
        </w:rPr>
        <w:t>in a country makes that economy’s debt riskier and</w:t>
      </w:r>
      <w:r w:rsidR="00F51D81">
        <w:rPr>
          <w:rFonts w:cstheme="minorHAnsi"/>
          <w:lang w:val="en-US"/>
        </w:rPr>
        <w:t xml:space="preserve"> </w:t>
      </w:r>
      <w:r>
        <w:rPr>
          <w:rFonts w:cstheme="minorHAnsi"/>
          <w:lang w:val="en-US"/>
        </w:rPr>
        <w:t xml:space="preserve">discourages capital inflows. </w:t>
      </w:r>
      <w:r w:rsidR="0020444F" w:rsidRPr="009038A6">
        <w:rPr>
          <w:rFonts w:eastAsia="Times New Roman" w:cstheme="minorHAnsi"/>
          <w:lang w:val="en-US" w:eastAsia="tr-TR"/>
        </w:rPr>
        <w:t>Central banks try to ensure that the public has more accurate expectations about the future course of monetary policy and interest rates by following transparent policies.</w:t>
      </w:r>
      <w:r w:rsidR="003E6127">
        <w:rPr>
          <w:rFonts w:cstheme="minorHAnsi"/>
        </w:rPr>
        <w:t xml:space="preserve"> </w:t>
      </w:r>
      <w:r w:rsidR="0020444F" w:rsidRPr="009038A6">
        <w:rPr>
          <w:rFonts w:eastAsia="Times New Roman" w:cstheme="minorHAnsi"/>
          <w:lang w:val="en-US" w:eastAsia="tr-TR"/>
        </w:rPr>
        <w:t xml:space="preserve">Reduced uncertainty about interest rates allows for a more accurate estimation of financial costs. Thus, the decrease in risk perception of the public positively affects investment decisions and </w:t>
      </w:r>
      <w:r w:rsidR="00363494" w:rsidRPr="009038A6">
        <w:rPr>
          <w:rFonts w:eastAsia="Times New Roman" w:cstheme="minorHAnsi"/>
          <w:lang w:val="en-US" w:eastAsia="tr-TR"/>
        </w:rPr>
        <w:t xml:space="preserve">firm </w:t>
      </w:r>
      <w:r w:rsidR="0020444F" w:rsidRPr="009038A6">
        <w:rPr>
          <w:rFonts w:eastAsia="Times New Roman" w:cstheme="minorHAnsi"/>
          <w:lang w:val="en-US" w:eastAsia="tr-TR"/>
        </w:rPr>
        <w:t>hiring</w:t>
      </w:r>
      <w:r w:rsidR="00363494" w:rsidRPr="009038A6">
        <w:rPr>
          <w:rFonts w:eastAsia="Times New Roman" w:cstheme="minorHAnsi"/>
          <w:lang w:val="en-US" w:eastAsia="tr-TR"/>
        </w:rPr>
        <w:t xml:space="preserve"> activity</w:t>
      </w:r>
      <w:r w:rsidR="0020444F" w:rsidRPr="009038A6">
        <w:rPr>
          <w:rFonts w:eastAsia="Times New Roman" w:cstheme="minorHAnsi"/>
          <w:lang w:val="en-US" w:eastAsia="tr-TR"/>
        </w:rPr>
        <w:t>.</w:t>
      </w:r>
    </w:p>
    <w:p w:rsidR="009A61BD" w:rsidRPr="009038A6" w:rsidRDefault="009A61BD" w:rsidP="00FE7874">
      <w:pPr>
        <w:spacing w:before="120" w:after="120" w:line="360" w:lineRule="auto"/>
        <w:jc w:val="both"/>
        <w:rPr>
          <w:rFonts w:eastAsia="Times New Roman" w:cstheme="minorHAnsi"/>
          <w:kern w:val="36"/>
          <w:lang w:val="en-US" w:eastAsia="tr-TR"/>
        </w:rPr>
      </w:pPr>
      <w:r w:rsidRPr="009038A6">
        <w:rPr>
          <w:rFonts w:eastAsia="Times New Roman" w:cstheme="minorHAnsi"/>
          <w:kern w:val="36"/>
          <w:lang w:val="en-US" w:eastAsia="tr-TR"/>
        </w:rPr>
        <w:t xml:space="preserve">Although traditional wisdom is that reducing volatility about the future direction of interest rate has a positive impact on the economy, the effect of the uncertainty in the interest rate may differ according to the economic and institutional structures of the countries. For example, countries whose economies rely on manufacturing industries that require long-term projects are more sensitive to interest rate uncertainty. Or, in countries with strict labor market regulations, it is difficult to lay off according to changes in expectations. On the other hand, by using the same data, economic decision-makers may have different expectations about how interest rates will change in the future. In this paper, we empirically investigate the relationship between interest rate uncertainty and macroeconomic variables for Turkey. </w:t>
      </w:r>
    </w:p>
    <w:p w:rsidR="009A61BD" w:rsidRPr="009038A6" w:rsidRDefault="009A61BD"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In Turkey, since the 2001 crisis, transition to inflation targeting was launched and implicit inflation targeting was adapted from January 2002 to December 2005. The explicit inflation targeting regime started to be implemented in January 2006. In this policy framework, the main policy tool is the short-term rates. Following the implementation of inflation targeting, the link between interest rate and spending decisions has strengthened (see </w:t>
      </w:r>
      <w:proofErr w:type="spellStart"/>
      <w:r w:rsidRPr="009038A6">
        <w:rPr>
          <w:rFonts w:eastAsia="Times New Roman" w:cstheme="minorHAnsi"/>
          <w:lang w:val="en-US" w:eastAsia="tr-TR"/>
        </w:rPr>
        <w:t>Başçı</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Özel</w:t>
      </w:r>
      <w:proofErr w:type="spellEnd"/>
      <w:r w:rsidRPr="009038A6">
        <w:rPr>
          <w:rFonts w:eastAsia="Times New Roman" w:cstheme="minorHAnsi"/>
          <w:lang w:val="en-US" w:eastAsia="tr-TR"/>
        </w:rPr>
        <w:t xml:space="preserve">, and </w:t>
      </w:r>
      <w:proofErr w:type="spellStart"/>
      <w:r w:rsidRPr="009038A6">
        <w:rPr>
          <w:rFonts w:eastAsia="Times New Roman" w:cstheme="minorHAnsi"/>
          <w:lang w:val="en-US" w:eastAsia="tr-TR"/>
        </w:rPr>
        <w:t>Sarıkaya</w:t>
      </w:r>
      <w:proofErr w:type="spellEnd"/>
      <w:r w:rsidRPr="009038A6">
        <w:rPr>
          <w:rFonts w:eastAsia="Times New Roman" w:cstheme="minorHAnsi"/>
          <w:lang w:val="en-US" w:eastAsia="tr-TR"/>
        </w:rPr>
        <w:t xml:space="preserve"> (2008) and Kara et al. (2007)). Although the monetary policy transmission mechanism for Turkey is widely investigated (see Us (2004); Aydın (2007); Kara et al. (2007); </w:t>
      </w:r>
      <w:proofErr w:type="spellStart"/>
      <w:r w:rsidRPr="009038A6">
        <w:rPr>
          <w:rFonts w:eastAsia="Times New Roman" w:cstheme="minorHAnsi"/>
          <w:lang w:val="en-US" w:eastAsia="tr-TR"/>
        </w:rPr>
        <w:t>Başçı</w:t>
      </w:r>
      <w:proofErr w:type="spellEnd"/>
      <w:r w:rsidRPr="009038A6">
        <w:rPr>
          <w:rFonts w:eastAsia="Times New Roman" w:cstheme="minorHAnsi"/>
          <w:lang w:val="en-US" w:eastAsia="tr-TR"/>
        </w:rPr>
        <w:t xml:space="preserve"> et al. (2008) among others), to the best of our knowledge the effect of interest rate uncertainty on macro variables is not analyzed. </w:t>
      </w:r>
    </w:p>
    <w:p w:rsidR="009A61BD" w:rsidRPr="009038A6" w:rsidRDefault="009A61BD"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With the experience of the recent global crisis, the Central Bank of the Republic of Turkey (CBRT) has been implementing a new monetary policy concerning both financial stability and price stability. The new policy tools like the interest rate corridor have been adopted to achieve these goals. According to this policy, the policy interest rate of the CBRT fluctuates within the band and the central bank has the ability to increase uncertainty on the future path of the policy rate by widening this corridor. This policy is already a source of uncertainty on its own. In addition to this policy change, other factors also lead to uncertainty in monetary policy in Turkey. These factors can be listed as follows: frequent changes of the CBRT governor, interest rate cuts to support economic growth through consumption, interventions in the foreign exchange market. From this point of view, in this study, we investigate the relationship between uncertainties in the interest rates and macroeconomic variables in Turkey. </w:t>
      </w:r>
      <w:r w:rsidRPr="009038A6">
        <w:rPr>
          <w:rFonts w:eastAsia="Times New Roman" w:cstheme="minorHAnsi"/>
          <w:lang w:val="en-US" w:eastAsia="tr-TR"/>
        </w:rPr>
        <w:lastRenderedPageBreak/>
        <w:t>Understanding how interest rate uncertainties affect macroeconomic variables can be a guide for central banks in planning monetary policies.</w:t>
      </w:r>
    </w:p>
    <w:p w:rsidR="009A61BD" w:rsidRPr="009038A6" w:rsidRDefault="009A61BD"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In addition to countries’ own monetary policies, </w:t>
      </w:r>
      <w:r w:rsidR="00F056A3" w:rsidRPr="009038A6">
        <w:rPr>
          <w:rFonts w:eastAsia="Times New Roman" w:cstheme="minorHAnsi"/>
          <w:lang w:val="en-US" w:eastAsia="tr-TR"/>
        </w:rPr>
        <w:t>Federal Open Market Committee’s (FOMC)</w:t>
      </w:r>
      <w:r w:rsidRPr="009038A6">
        <w:rPr>
          <w:rFonts w:eastAsia="Times New Roman" w:cstheme="minorHAnsi"/>
          <w:lang w:val="en-US" w:eastAsia="tr-TR"/>
        </w:rPr>
        <w:t xml:space="preserve"> monetary policy decisions are closely followed by investors around the world, due to the countries' trade integration </w:t>
      </w:r>
      <w:r w:rsidR="006114AA" w:rsidRPr="009038A6">
        <w:rPr>
          <w:rFonts w:eastAsia="Times New Roman" w:cstheme="minorHAnsi"/>
          <w:lang w:val="en-US" w:eastAsia="tr-TR"/>
        </w:rPr>
        <w:t>and financial links with the US</w:t>
      </w:r>
      <w:r w:rsidRPr="009038A6">
        <w:rPr>
          <w:rFonts w:eastAsia="Times New Roman" w:cstheme="minorHAnsi"/>
          <w:lang w:val="en-US" w:eastAsia="tr-TR"/>
        </w:rPr>
        <w:t>. Besides, the dominant position of the US economy in global financial markets causes economies that are not geographically close to the US or less integrated in terms of trade to be affected by US monetary policy.</w:t>
      </w:r>
      <w:r w:rsidR="00741D47" w:rsidRPr="009038A6">
        <w:rPr>
          <w:rFonts w:eastAsia="Times New Roman" w:cstheme="minorHAnsi"/>
          <w:lang w:val="en-US" w:eastAsia="tr-TR"/>
        </w:rPr>
        <w:t xml:space="preserve"> </w:t>
      </w:r>
      <w:proofErr w:type="spellStart"/>
      <w:r w:rsidR="00741D47" w:rsidRPr="009038A6">
        <w:rPr>
          <w:rFonts w:eastAsia="Times New Roman" w:cstheme="minorHAnsi"/>
          <w:lang w:val="en-US" w:eastAsia="tr-TR"/>
        </w:rPr>
        <w:t>Lastauskas</w:t>
      </w:r>
      <w:proofErr w:type="spellEnd"/>
      <w:r w:rsidR="00741D47" w:rsidRPr="009038A6">
        <w:rPr>
          <w:rFonts w:eastAsia="Times New Roman" w:cstheme="minorHAnsi"/>
          <w:lang w:val="en-US" w:eastAsia="tr-TR"/>
        </w:rPr>
        <w:t xml:space="preserve"> and Nguyen (2021) state that monetary policy uncertainty can be the source of global business cycles. Considering the arguments that the u</w:t>
      </w:r>
      <w:r w:rsidRPr="009038A6">
        <w:rPr>
          <w:rFonts w:eastAsia="Times New Roman" w:cstheme="minorHAnsi"/>
          <w:lang w:val="en-US" w:eastAsia="tr-TR"/>
        </w:rPr>
        <w:t xml:space="preserve">ncertainties </w:t>
      </w:r>
      <w:r w:rsidR="00741D47" w:rsidRPr="009038A6">
        <w:rPr>
          <w:rFonts w:eastAsia="Times New Roman" w:cstheme="minorHAnsi"/>
          <w:lang w:val="en-US" w:eastAsia="tr-TR"/>
        </w:rPr>
        <w:t>regarding the US monetary policy</w:t>
      </w:r>
      <w:r w:rsidRPr="009038A6">
        <w:rPr>
          <w:rFonts w:eastAsia="Times New Roman" w:cstheme="minorHAnsi"/>
          <w:lang w:val="en-US" w:eastAsia="tr-TR"/>
        </w:rPr>
        <w:t xml:space="preserve"> significant</w:t>
      </w:r>
      <w:r w:rsidR="00741D47" w:rsidRPr="009038A6">
        <w:rPr>
          <w:rFonts w:eastAsia="Times New Roman" w:cstheme="minorHAnsi"/>
          <w:lang w:val="en-US" w:eastAsia="tr-TR"/>
        </w:rPr>
        <w:t>ly affect</w:t>
      </w:r>
      <w:r w:rsidR="004D6FB6" w:rsidRPr="009038A6">
        <w:rPr>
          <w:rFonts w:eastAsia="Times New Roman" w:cstheme="minorHAnsi"/>
          <w:lang w:val="en-US" w:eastAsia="tr-TR"/>
        </w:rPr>
        <w:t xml:space="preserve"> other economies</w:t>
      </w:r>
      <w:r w:rsidR="00741D47" w:rsidRPr="009038A6">
        <w:rPr>
          <w:rFonts w:eastAsia="Times New Roman" w:cstheme="minorHAnsi"/>
          <w:lang w:val="en-US" w:eastAsia="tr-TR"/>
        </w:rPr>
        <w:t>, we also investigated the effects of the</w:t>
      </w:r>
      <w:r w:rsidR="00B84E72" w:rsidRPr="00B84E72">
        <w:rPr>
          <w:rFonts w:eastAsia="Times New Roman" w:cstheme="minorHAnsi"/>
          <w:lang w:val="en-US" w:eastAsia="tr-TR"/>
        </w:rPr>
        <w:t xml:space="preserve"> </w:t>
      </w:r>
      <w:r w:rsidR="00B84E72" w:rsidRPr="009038A6">
        <w:rPr>
          <w:rFonts w:eastAsia="Times New Roman" w:cstheme="minorHAnsi"/>
          <w:lang w:val="en-US" w:eastAsia="tr-TR"/>
        </w:rPr>
        <w:t>uncertainty about the monetary policy of the US</w:t>
      </w:r>
      <w:r w:rsidR="00741D47" w:rsidRPr="009038A6">
        <w:rPr>
          <w:rFonts w:eastAsia="Times New Roman" w:cstheme="minorHAnsi"/>
          <w:lang w:val="en-US" w:eastAsia="tr-TR"/>
        </w:rPr>
        <w:t xml:space="preserve"> </w:t>
      </w:r>
      <w:r w:rsidR="00B84E72">
        <w:rPr>
          <w:rFonts w:eastAsia="Times New Roman" w:cstheme="minorHAnsi"/>
          <w:lang w:val="en-US" w:eastAsia="tr-TR"/>
        </w:rPr>
        <w:t>(</w:t>
      </w:r>
      <w:r w:rsidR="00741D47" w:rsidRPr="009038A6">
        <w:rPr>
          <w:rFonts w:eastAsia="Times New Roman" w:cstheme="minorHAnsi"/>
          <w:lang w:val="en-US" w:eastAsia="tr-TR"/>
        </w:rPr>
        <w:t>MPU</w:t>
      </w:r>
      <w:r w:rsidR="00B84E72">
        <w:rPr>
          <w:rFonts w:eastAsia="Times New Roman" w:cstheme="minorHAnsi"/>
          <w:lang w:val="en-US" w:eastAsia="tr-TR"/>
        </w:rPr>
        <w:t>)</w:t>
      </w:r>
      <w:r w:rsidR="00741D47" w:rsidRPr="009038A6">
        <w:rPr>
          <w:rFonts w:eastAsia="Times New Roman" w:cstheme="minorHAnsi"/>
          <w:lang w:val="en-US" w:eastAsia="tr-TR"/>
        </w:rPr>
        <w:t xml:space="preserve"> on the Turkish economy.</w:t>
      </w:r>
      <w:r w:rsidR="004F517D">
        <w:rPr>
          <w:rFonts w:eastAsia="Times New Roman" w:cstheme="minorHAnsi"/>
          <w:lang w:val="en-US" w:eastAsia="tr-TR"/>
        </w:rPr>
        <w:t xml:space="preserve"> T</w:t>
      </w:r>
      <w:r w:rsidR="004F517D" w:rsidRPr="009038A6">
        <w:rPr>
          <w:rFonts w:eastAsia="Times New Roman" w:cstheme="minorHAnsi"/>
          <w:lang w:val="en-US" w:eastAsia="tr-TR"/>
        </w:rPr>
        <w:t>o the best of our knowledge</w:t>
      </w:r>
      <w:r w:rsidR="004F517D">
        <w:rPr>
          <w:rFonts w:eastAsia="Times New Roman" w:cstheme="minorHAnsi"/>
          <w:lang w:val="en-US" w:eastAsia="tr-TR"/>
        </w:rPr>
        <w:t>,</w:t>
      </w:r>
      <w:r w:rsidR="004F517D" w:rsidRPr="009038A6">
        <w:rPr>
          <w:rFonts w:eastAsia="Times New Roman" w:cstheme="minorHAnsi"/>
          <w:lang w:val="en-US" w:eastAsia="tr-TR"/>
        </w:rPr>
        <w:t xml:space="preserve"> </w:t>
      </w:r>
      <w:r w:rsidR="004F517D">
        <w:rPr>
          <w:rFonts w:eastAsia="Times New Roman" w:cstheme="minorHAnsi"/>
          <w:lang w:val="en-US" w:eastAsia="tr-TR"/>
        </w:rPr>
        <w:t>this effect has not been</w:t>
      </w:r>
      <w:r w:rsidR="004F517D" w:rsidRPr="009038A6">
        <w:rPr>
          <w:rFonts w:eastAsia="Times New Roman" w:cstheme="minorHAnsi"/>
          <w:lang w:val="en-US" w:eastAsia="tr-TR"/>
        </w:rPr>
        <w:t xml:space="preserve"> analyzed</w:t>
      </w:r>
      <w:r w:rsidR="004F517D">
        <w:rPr>
          <w:rFonts w:eastAsia="Times New Roman" w:cstheme="minorHAnsi"/>
          <w:lang w:val="en-US" w:eastAsia="tr-TR"/>
        </w:rPr>
        <w:t xml:space="preserve"> for Turkey in previous studies</w:t>
      </w:r>
      <w:r w:rsidR="004F517D" w:rsidRPr="009038A6">
        <w:rPr>
          <w:rFonts w:eastAsia="Times New Roman" w:cstheme="minorHAnsi"/>
          <w:lang w:val="en-US" w:eastAsia="tr-TR"/>
        </w:rPr>
        <w:t>. </w:t>
      </w:r>
    </w:p>
    <w:p w:rsidR="00F15C30" w:rsidRPr="009038A6" w:rsidRDefault="00F15C30"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According to our findings, the immediate impact of a shock in policy rate uncertainty on </w:t>
      </w:r>
      <w:r w:rsidR="00C22331" w:rsidRPr="009038A6">
        <w:rPr>
          <w:rFonts w:eastAsia="Times New Roman" w:cstheme="minorHAnsi"/>
          <w:lang w:val="en-US" w:eastAsia="tr-TR"/>
        </w:rPr>
        <w:t xml:space="preserve">the </w:t>
      </w:r>
      <w:r w:rsidRPr="009038A6">
        <w:rPr>
          <w:rFonts w:eastAsia="Times New Roman" w:cstheme="minorHAnsi"/>
          <w:lang w:val="en-US" w:eastAsia="tr-TR"/>
        </w:rPr>
        <w:t xml:space="preserve">exchange rate is depreciation. Following, </w:t>
      </w:r>
      <w:r w:rsidR="00C22331" w:rsidRPr="009038A6">
        <w:rPr>
          <w:rFonts w:eastAsia="Times New Roman" w:cstheme="minorHAnsi"/>
          <w:lang w:val="en-US" w:eastAsia="tr-TR"/>
        </w:rPr>
        <w:t xml:space="preserve">the </w:t>
      </w:r>
      <w:r w:rsidRPr="009038A6">
        <w:rPr>
          <w:rFonts w:eastAsia="Times New Roman" w:cstheme="minorHAnsi"/>
          <w:lang w:val="en-US" w:eastAsia="tr-TR"/>
        </w:rPr>
        <w:t>exchange rate temporarily appreciate. Uncertainty in</w:t>
      </w:r>
      <w:r w:rsidR="00C22331" w:rsidRPr="009038A6">
        <w:rPr>
          <w:rFonts w:eastAsia="Times New Roman" w:cstheme="minorHAnsi"/>
          <w:lang w:val="en-US" w:eastAsia="tr-TR"/>
        </w:rPr>
        <w:t xml:space="preserve"> the</w:t>
      </w:r>
      <w:r w:rsidRPr="009038A6">
        <w:rPr>
          <w:rFonts w:eastAsia="Times New Roman" w:cstheme="minorHAnsi"/>
          <w:lang w:val="en-US" w:eastAsia="tr-TR"/>
        </w:rPr>
        <w:t xml:space="preserve"> 10-year yield has a similar impact on </w:t>
      </w:r>
      <w:r w:rsidR="00C22331" w:rsidRPr="009038A6">
        <w:rPr>
          <w:rFonts w:eastAsia="Times New Roman" w:cstheme="minorHAnsi"/>
          <w:lang w:val="en-US" w:eastAsia="tr-TR"/>
        </w:rPr>
        <w:t xml:space="preserve">the </w:t>
      </w:r>
      <w:r w:rsidRPr="009038A6">
        <w:rPr>
          <w:rFonts w:eastAsia="Times New Roman" w:cstheme="minorHAnsi"/>
          <w:lang w:val="en-US" w:eastAsia="tr-TR"/>
        </w:rPr>
        <w:t xml:space="preserve">exchange rate. That is, </w:t>
      </w:r>
      <w:r w:rsidRPr="009038A6">
        <w:rPr>
          <w:rFonts w:cstheme="minorHAnsi"/>
          <w:lang w:val="en-US"/>
        </w:rPr>
        <w:t xml:space="preserve">uncertainty in </w:t>
      </w:r>
      <w:r w:rsidR="00C22331" w:rsidRPr="009038A6">
        <w:rPr>
          <w:rFonts w:cstheme="minorHAnsi"/>
          <w:lang w:val="en-US"/>
        </w:rPr>
        <w:t xml:space="preserve">the </w:t>
      </w:r>
      <w:r w:rsidRPr="009038A6">
        <w:rPr>
          <w:rFonts w:cstheme="minorHAnsi"/>
          <w:lang w:val="en-US"/>
        </w:rPr>
        <w:t>interest rate</w:t>
      </w:r>
      <w:r w:rsidR="00C22331" w:rsidRPr="009038A6">
        <w:rPr>
          <w:rFonts w:cstheme="minorHAnsi"/>
          <w:lang w:val="en-US"/>
        </w:rPr>
        <w:t>s</w:t>
      </w:r>
      <w:r w:rsidRPr="009038A6">
        <w:rPr>
          <w:rFonts w:cstheme="minorHAnsi"/>
          <w:lang w:val="en-US"/>
        </w:rPr>
        <w:t xml:space="preserve"> causes volatility in the real exchange rate. </w:t>
      </w:r>
      <w:r w:rsidR="005733FA" w:rsidRPr="009038A6">
        <w:rPr>
          <w:rFonts w:cstheme="minorHAnsi"/>
          <w:lang w:val="en-US"/>
        </w:rPr>
        <w:t xml:space="preserve">If we consider </w:t>
      </w:r>
      <w:r w:rsidR="004C7F33" w:rsidRPr="009038A6">
        <w:rPr>
          <w:rFonts w:cstheme="minorHAnsi"/>
          <w:lang w:val="en-US"/>
        </w:rPr>
        <w:t xml:space="preserve">inflation, we observe that shocks of interest rate uncertainty leads to an increase in inflation. </w:t>
      </w:r>
      <w:r w:rsidR="005733FA" w:rsidRPr="009038A6">
        <w:rPr>
          <w:rFonts w:cstheme="minorHAnsi"/>
          <w:lang w:val="en-US"/>
        </w:rPr>
        <w:t>The effect of u</w:t>
      </w:r>
      <w:r w:rsidR="004C7F33" w:rsidRPr="009038A6">
        <w:rPr>
          <w:rFonts w:cstheme="minorHAnsi"/>
          <w:lang w:val="en-US"/>
        </w:rPr>
        <w:t>ncertainty on the policy rate is quantitatively more important and long-l</w:t>
      </w:r>
      <w:r w:rsidR="005733FA" w:rsidRPr="009038A6">
        <w:rPr>
          <w:rFonts w:cstheme="minorHAnsi"/>
          <w:lang w:val="en-US"/>
        </w:rPr>
        <w:t>ived then uncertainty i</w:t>
      </w:r>
      <w:r w:rsidR="004C7F33" w:rsidRPr="009038A6">
        <w:rPr>
          <w:rFonts w:cstheme="minorHAnsi"/>
          <w:lang w:val="en-US"/>
        </w:rPr>
        <w:t>n longer yields. We see that the response of the growth of industrial product</w:t>
      </w:r>
      <w:r w:rsidR="005733FA" w:rsidRPr="009038A6">
        <w:rPr>
          <w:rFonts w:cstheme="minorHAnsi"/>
          <w:lang w:val="en-US"/>
        </w:rPr>
        <w:t>ion to</w:t>
      </w:r>
      <w:r w:rsidR="004C7F33" w:rsidRPr="009038A6">
        <w:rPr>
          <w:rFonts w:cstheme="minorHAnsi"/>
          <w:lang w:val="en-US"/>
        </w:rPr>
        <w:t xml:space="preserve"> uncertainty in the 2-and 10-year yield shocks are negative. </w:t>
      </w:r>
      <w:r w:rsidR="005733FA" w:rsidRPr="009038A6">
        <w:rPr>
          <w:rFonts w:cstheme="minorHAnsi"/>
          <w:lang w:val="en-US"/>
        </w:rPr>
        <w:t>Additionally</w:t>
      </w:r>
      <w:r w:rsidR="00BB69F1" w:rsidRPr="009038A6">
        <w:rPr>
          <w:rFonts w:cstheme="minorHAnsi"/>
          <w:lang w:val="en-US"/>
        </w:rPr>
        <w:t>,</w:t>
      </w:r>
      <w:r w:rsidR="004C7F33" w:rsidRPr="009038A6">
        <w:rPr>
          <w:rFonts w:cstheme="minorHAnsi"/>
          <w:lang w:val="en-US"/>
        </w:rPr>
        <w:t xml:space="preserve"> we observe that unemployment </w:t>
      </w:r>
      <w:r w:rsidR="005733FA" w:rsidRPr="009038A6">
        <w:rPr>
          <w:rFonts w:cstheme="minorHAnsi"/>
          <w:lang w:val="en-US"/>
        </w:rPr>
        <w:t>worsened</w:t>
      </w:r>
      <w:r w:rsidR="004C7F33" w:rsidRPr="009038A6">
        <w:rPr>
          <w:rFonts w:cstheme="minorHAnsi"/>
          <w:lang w:val="en-US"/>
        </w:rPr>
        <w:t xml:space="preserve"> in response to a shock in 2-year yield uncertainty.</w:t>
      </w:r>
      <w:r w:rsidR="0048486B" w:rsidRPr="009038A6">
        <w:rPr>
          <w:rFonts w:eastAsia="Times New Roman" w:cstheme="minorHAnsi"/>
          <w:iCs/>
          <w:lang w:val="en-US" w:eastAsia="tr-TR"/>
        </w:rPr>
        <w:t xml:space="preserve"> Finally, we consider the response of Turkish macroeconomic variables to a shock in US monetary policy uncertainty.</w:t>
      </w:r>
      <w:r w:rsidR="00CE6C8B" w:rsidRPr="009038A6">
        <w:rPr>
          <w:rFonts w:eastAsia="Times New Roman" w:cstheme="minorHAnsi"/>
          <w:iCs/>
          <w:lang w:val="en-US" w:eastAsia="tr-TR"/>
        </w:rPr>
        <w:t xml:space="preserve"> We find that a shock in uncertainty about US monetary policy increase unemployment, and decreases</w:t>
      </w:r>
      <w:r w:rsidR="00B53793" w:rsidRPr="009038A6">
        <w:rPr>
          <w:rFonts w:eastAsia="Times New Roman" w:cstheme="minorHAnsi"/>
          <w:iCs/>
          <w:lang w:val="en-US" w:eastAsia="tr-TR"/>
        </w:rPr>
        <w:t xml:space="preserve"> the</w:t>
      </w:r>
      <w:r w:rsidR="00CE6C8B" w:rsidRPr="009038A6">
        <w:rPr>
          <w:rFonts w:eastAsia="Times New Roman" w:cstheme="minorHAnsi"/>
          <w:iCs/>
          <w:lang w:val="en-US" w:eastAsia="tr-TR"/>
        </w:rPr>
        <w:t xml:space="preserve"> growth of production.</w:t>
      </w:r>
    </w:p>
    <w:p w:rsidR="004D6FB6" w:rsidRPr="009038A6" w:rsidRDefault="00FA1607" w:rsidP="00FE7874">
      <w:pPr>
        <w:spacing w:before="120" w:after="120" w:line="360" w:lineRule="auto"/>
        <w:jc w:val="both"/>
        <w:rPr>
          <w:rFonts w:eastAsia="Times New Roman" w:cstheme="minorHAnsi"/>
          <w:lang w:val="en-US" w:eastAsia="tr-TR"/>
        </w:rPr>
      </w:pPr>
      <w:r w:rsidRPr="009038A6">
        <w:rPr>
          <w:rFonts w:cstheme="minorHAnsi"/>
          <w:lang w:val="en-US"/>
        </w:rPr>
        <w:t xml:space="preserve">The outline of the paper is organized as follows. In Section 2, we present the existing literature. The methodology is provided in Section 3. </w:t>
      </w:r>
      <w:r w:rsidR="00173E78" w:rsidRPr="009038A6">
        <w:rPr>
          <w:rFonts w:cstheme="minorHAnsi"/>
          <w:lang w:val="en-US"/>
        </w:rPr>
        <w:t xml:space="preserve">In Section 4 we present estimation results. </w:t>
      </w:r>
      <w:r w:rsidRPr="009038A6">
        <w:rPr>
          <w:rFonts w:cstheme="minorHAnsi"/>
          <w:lang w:val="en-US"/>
        </w:rPr>
        <w:t>Finally, in the last section, we discuss policy implications and provide concluding remarks.</w:t>
      </w:r>
    </w:p>
    <w:p w:rsidR="00A55D2A" w:rsidRDefault="00A55D2A" w:rsidP="00FE7874">
      <w:pPr>
        <w:spacing w:before="120" w:after="120" w:line="360" w:lineRule="auto"/>
        <w:rPr>
          <w:rFonts w:cstheme="minorHAnsi"/>
          <w:b/>
          <w:lang w:val="en-US" w:eastAsia="tr-TR"/>
        </w:rPr>
      </w:pPr>
    </w:p>
    <w:p w:rsidR="009A61BD" w:rsidRPr="00FE7874" w:rsidRDefault="00FA1607" w:rsidP="00FE7874">
      <w:pPr>
        <w:spacing w:before="120" w:after="120" w:line="360" w:lineRule="auto"/>
        <w:rPr>
          <w:rFonts w:cstheme="minorHAnsi"/>
          <w:b/>
          <w:lang w:val="en-US" w:eastAsia="tr-TR"/>
        </w:rPr>
      </w:pPr>
      <w:r w:rsidRPr="00FE7874">
        <w:rPr>
          <w:rFonts w:cstheme="minorHAnsi"/>
          <w:b/>
          <w:lang w:val="en-US" w:eastAsia="tr-TR"/>
        </w:rPr>
        <w:t xml:space="preserve">2. </w:t>
      </w:r>
      <w:r w:rsidR="009A61BD" w:rsidRPr="00FE7874">
        <w:rPr>
          <w:rFonts w:cstheme="minorHAnsi"/>
          <w:b/>
          <w:lang w:val="en-US" w:eastAsia="tr-TR"/>
        </w:rPr>
        <w:t>Literature Review</w:t>
      </w:r>
    </w:p>
    <w:p w:rsidR="009A61BD" w:rsidRPr="009038A6" w:rsidRDefault="009A61BD"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There is a growing empirical and theoretical literature that investigates the effect of uncertainty on macroeconomic variables and monetary policy. (see Bloom (2009); Bake, Bloom and Davis (2015); </w:t>
      </w:r>
      <w:proofErr w:type="spellStart"/>
      <w:r w:rsidRPr="009038A6">
        <w:rPr>
          <w:rFonts w:eastAsia="Times New Roman" w:cstheme="minorHAnsi"/>
          <w:lang w:val="en-US" w:eastAsia="tr-TR"/>
        </w:rPr>
        <w:t>Aastveit</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Natvik</w:t>
      </w:r>
      <w:proofErr w:type="spellEnd"/>
      <w:r w:rsidRPr="009038A6">
        <w:rPr>
          <w:rFonts w:eastAsia="Times New Roman" w:cstheme="minorHAnsi"/>
          <w:lang w:val="en-US" w:eastAsia="tr-TR"/>
        </w:rPr>
        <w:t xml:space="preserve"> and Sola (2013); Fernandez-</w:t>
      </w:r>
      <w:proofErr w:type="spellStart"/>
      <w:r w:rsidRPr="009038A6">
        <w:rPr>
          <w:rFonts w:eastAsia="Times New Roman" w:cstheme="minorHAnsi"/>
          <w:lang w:val="en-US" w:eastAsia="tr-TR"/>
        </w:rPr>
        <w:t>Villaverde</w:t>
      </w:r>
      <w:proofErr w:type="spellEnd"/>
      <w:r w:rsidRPr="009038A6">
        <w:rPr>
          <w:rFonts w:eastAsia="Times New Roman" w:cstheme="minorHAnsi"/>
          <w:lang w:val="en-US" w:eastAsia="tr-TR"/>
        </w:rPr>
        <w:t xml:space="preserve"> et al. (2011), </w:t>
      </w:r>
      <w:proofErr w:type="spellStart"/>
      <w:r w:rsidRPr="009038A6">
        <w:rPr>
          <w:rFonts w:eastAsia="Times New Roman" w:cstheme="minorHAnsi"/>
          <w:lang w:val="en-US" w:eastAsia="tr-TR"/>
        </w:rPr>
        <w:t>Bekart</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Hoerova</w:t>
      </w:r>
      <w:proofErr w:type="spellEnd"/>
      <w:r w:rsidRPr="009038A6">
        <w:rPr>
          <w:rFonts w:eastAsia="Times New Roman" w:cstheme="minorHAnsi"/>
          <w:lang w:val="en-US" w:eastAsia="tr-TR"/>
        </w:rPr>
        <w:t xml:space="preserve"> and Lo </w:t>
      </w:r>
      <w:proofErr w:type="spellStart"/>
      <w:r w:rsidRPr="009038A6">
        <w:rPr>
          <w:rFonts w:eastAsia="Times New Roman" w:cstheme="minorHAnsi"/>
          <w:lang w:val="en-US" w:eastAsia="tr-TR"/>
        </w:rPr>
        <w:t>Duca</w:t>
      </w:r>
      <w:proofErr w:type="spellEnd"/>
      <w:r w:rsidRPr="009038A6">
        <w:rPr>
          <w:rFonts w:eastAsia="Times New Roman" w:cstheme="minorHAnsi"/>
          <w:lang w:val="en-US" w:eastAsia="tr-TR"/>
        </w:rPr>
        <w:t xml:space="preserve"> (2013); </w:t>
      </w:r>
      <w:proofErr w:type="spellStart"/>
      <w:r w:rsidRPr="009038A6">
        <w:rPr>
          <w:rFonts w:eastAsia="Times New Roman" w:cstheme="minorHAnsi"/>
          <w:lang w:val="en-US" w:eastAsia="tr-TR"/>
        </w:rPr>
        <w:t>Ludvigson</w:t>
      </w:r>
      <w:proofErr w:type="spellEnd"/>
      <w:r w:rsidRPr="009038A6">
        <w:rPr>
          <w:rFonts w:eastAsia="Times New Roman" w:cstheme="minorHAnsi"/>
          <w:lang w:val="en-US" w:eastAsia="tr-TR"/>
        </w:rPr>
        <w:t xml:space="preserve">, Ma, Ng (2015); Ulrich (2012); Pastor and Veronesi (2012); </w:t>
      </w:r>
      <w:proofErr w:type="spellStart"/>
      <w:r w:rsidRPr="009038A6">
        <w:rPr>
          <w:rFonts w:eastAsia="Times New Roman" w:cstheme="minorHAnsi"/>
          <w:lang w:val="en-US" w:eastAsia="tr-TR"/>
        </w:rPr>
        <w:t>Öge</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Güney</w:t>
      </w:r>
      <w:proofErr w:type="spellEnd"/>
      <w:r w:rsidRPr="009038A6">
        <w:rPr>
          <w:rFonts w:eastAsia="Times New Roman" w:cstheme="minorHAnsi"/>
          <w:lang w:val="en-US" w:eastAsia="tr-TR"/>
        </w:rPr>
        <w:t xml:space="preserve"> (2016) </w:t>
      </w:r>
      <w:r w:rsidRPr="009038A6">
        <w:rPr>
          <w:rFonts w:eastAsia="Times New Roman" w:cstheme="minorHAnsi"/>
          <w:lang w:val="en-US" w:eastAsia="tr-TR"/>
        </w:rPr>
        <w:lastRenderedPageBreak/>
        <w:t xml:space="preserve">among others). Besides, some of the limited numbers of studies analyze the macroeconomic effects of uncertainty in interest rates. For example, </w:t>
      </w:r>
      <w:proofErr w:type="spellStart"/>
      <w:r w:rsidRPr="009038A6">
        <w:rPr>
          <w:rFonts w:eastAsia="Times New Roman" w:cstheme="minorHAnsi"/>
          <w:lang w:val="en-US" w:eastAsia="tr-TR"/>
        </w:rPr>
        <w:t>Creal</w:t>
      </w:r>
      <w:proofErr w:type="spellEnd"/>
      <w:r w:rsidRPr="009038A6">
        <w:rPr>
          <w:rFonts w:eastAsia="Times New Roman" w:cstheme="minorHAnsi"/>
          <w:lang w:val="en-US" w:eastAsia="tr-TR"/>
        </w:rPr>
        <w:t xml:space="preserve"> and Wu (2017) investigated the relationship between uncertainty about the interest rate and selected macro variables for the US. They decompose the long-term interest rate into two components as risk premium uncertainty and monetary policy uncertainty. Using a VAR model they show that uncertainty has a negative effect on economic activity. In addition, they found that monetary policy uncertainty and term premium uncertainty react in opposite directions to the unemployment rate. </w:t>
      </w:r>
      <w:proofErr w:type="spellStart"/>
      <w:r w:rsidRPr="009038A6">
        <w:rPr>
          <w:rFonts w:eastAsia="Times New Roman" w:cstheme="minorHAnsi"/>
          <w:lang w:val="en-US" w:eastAsia="tr-TR"/>
        </w:rPr>
        <w:t>Istrefi</w:t>
      </w:r>
      <w:proofErr w:type="spellEnd"/>
      <w:r w:rsidRPr="009038A6">
        <w:rPr>
          <w:rFonts w:eastAsia="Times New Roman" w:cstheme="minorHAnsi"/>
          <w:lang w:val="en-US" w:eastAsia="tr-TR"/>
        </w:rPr>
        <w:t xml:space="preserve"> and </w:t>
      </w:r>
      <w:proofErr w:type="spellStart"/>
      <w:r w:rsidRPr="009038A6">
        <w:rPr>
          <w:rFonts w:eastAsia="Times New Roman" w:cstheme="minorHAnsi"/>
          <w:lang w:val="en-US" w:eastAsia="tr-TR"/>
        </w:rPr>
        <w:t>Mouabbi</w:t>
      </w:r>
      <w:proofErr w:type="spellEnd"/>
      <w:r w:rsidRPr="009038A6">
        <w:rPr>
          <w:rFonts w:eastAsia="Times New Roman" w:cstheme="minorHAnsi"/>
          <w:lang w:val="en-US" w:eastAsia="tr-TR"/>
        </w:rPr>
        <w:t xml:space="preserve"> (2016) analyzed the impact of uncertainty about the short and long-term interest rates on the economy for ten developed countries. According to their findings, interest rate uncertainty </w:t>
      </w:r>
      <w:proofErr w:type="gramStart"/>
      <w:r w:rsidRPr="009038A6">
        <w:rPr>
          <w:rFonts w:eastAsia="Times New Roman" w:cstheme="minorHAnsi"/>
          <w:lang w:val="en-US" w:eastAsia="tr-TR"/>
        </w:rPr>
        <w:t>have</w:t>
      </w:r>
      <w:proofErr w:type="gramEnd"/>
      <w:r w:rsidRPr="009038A6">
        <w:rPr>
          <w:rFonts w:eastAsia="Times New Roman" w:cstheme="minorHAnsi"/>
          <w:lang w:val="en-US" w:eastAsia="tr-TR"/>
        </w:rPr>
        <w:t xml:space="preserve"> a negative effect on unemployment and industrial production. In addition, they showed that uncertainty about short-term rates has stronger quantitative effects on the economy relative to uncertainty about long-term rates. Using a vector </w:t>
      </w:r>
      <w:proofErr w:type="spellStart"/>
      <w:r w:rsidRPr="009038A6">
        <w:rPr>
          <w:rFonts w:eastAsia="Times New Roman" w:cstheme="minorHAnsi"/>
          <w:lang w:val="en-US" w:eastAsia="tr-TR"/>
        </w:rPr>
        <w:t>autoregression</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Bundick</w:t>
      </w:r>
      <w:proofErr w:type="spellEnd"/>
      <w:r w:rsidRPr="009038A6">
        <w:rPr>
          <w:rFonts w:eastAsia="Times New Roman" w:cstheme="minorHAnsi"/>
          <w:lang w:val="en-US" w:eastAsia="tr-TR"/>
        </w:rPr>
        <w:t>, Trenton, and Smith (2017) found that declines in uncertainty in the interest rate lead to an increase in industrial production and inflation for the USA. </w:t>
      </w:r>
    </w:p>
    <w:p w:rsidR="009A61BD" w:rsidRPr="009038A6" w:rsidRDefault="009A61BD" w:rsidP="00FE7874">
      <w:pPr>
        <w:spacing w:before="120" w:after="120" w:line="360" w:lineRule="auto"/>
        <w:jc w:val="both"/>
        <w:rPr>
          <w:rFonts w:eastAsia="Times New Roman" w:cstheme="minorHAnsi"/>
          <w:lang w:val="en-US" w:eastAsia="tr-TR"/>
        </w:rPr>
      </w:pPr>
      <w:proofErr w:type="spellStart"/>
      <w:r w:rsidRPr="009038A6">
        <w:rPr>
          <w:rFonts w:eastAsia="Times New Roman" w:cstheme="minorHAnsi"/>
          <w:lang w:val="en-US" w:eastAsia="tr-TR"/>
        </w:rPr>
        <w:t>Fasolo</w:t>
      </w:r>
      <w:proofErr w:type="spellEnd"/>
      <w:r w:rsidRPr="009038A6">
        <w:rPr>
          <w:rFonts w:eastAsia="Times New Roman" w:cstheme="minorHAnsi"/>
          <w:lang w:val="en-US" w:eastAsia="tr-TR"/>
        </w:rPr>
        <w:t xml:space="preserve"> (201</w:t>
      </w:r>
      <w:r w:rsidR="0068610D" w:rsidRPr="009038A6">
        <w:rPr>
          <w:rFonts w:eastAsia="Times New Roman" w:cstheme="minorHAnsi"/>
          <w:lang w:val="en-US" w:eastAsia="tr-TR"/>
        </w:rPr>
        <w:t>9</w:t>
      </w:r>
      <w:r w:rsidRPr="009038A6">
        <w:rPr>
          <w:rFonts w:eastAsia="Times New Roman" w:cstheme="minorHAnsi"/>
          <w:lang w:val="en-US" w:eastAsia="tr-TR"/>
        </w:rPr>
        <w:t>) found that an increase in monetary policy volatility</w:t>
      </w:r>
      <w:r w:rsidR="001D7123" w:rsidRPr="009038A6">
        <w:rPr>
          <w:rFonts w:eastAsia="Times New Roman" w:cstheme="minorHAnsi"/>
          <w:lang w:val="en-US" w:eastAsia="tr-TR"/>
        </w:rPr>
        <w:t>, meaning unexpected decisions about interest rates,</w:t>
      </w:r>
      <w:r w:rsidRPr="009038A6">
        <w:rPr>
          <w:rFonts w:eastAsia="Times New Roman" w:cstheme="minorHAnsi"/>
          <w:lang w:val="en-US" w:eastAsia="tr-TR"/>
        </w:rPr>
        <w:t xml:space="preserve"> causes higher inflation and lower output in Brazil. In addition, according to his findings, unexpected changes in monetary policy depreciate the exchange rate. Contrary, </w:t>
      </w:r>
      <w:proofErr w:type="spellStart"/>
      <w:r w:rsidRPr="009038A6">
        <w:rPr>
          <w:rFonts w:eastAsia="Times New Roman" w:cstheme="minorHAnsi"/>
          <w:lang w:val="en-US" w:eastAsia="tr-TR"/>
        </w:rPr>
        <w:t>Benigno</w:t>
      </w:r>
      <w:proofErr w:type="spellEnd"/>
      <w:r w:rsidRPr="009038A6">
        <w:rPr>
          <w:rFonts w:eastAsia="Times New Roman" w:cstheme="minorHAnsi"/>
          <w:lang w:val="en-US" w:eastAsia="tr-TR"/>
        </w:rPr>
        <w:t xml:space="preserve"> et al. (2012) provided evidence that monetary policy volatility shocks cause an appreciation of the domestic currency. Using an SVAR model, </w:t>
      </w:r>
      <w:proofErr w:type="spellStart"/>
      <w:r w:rsidRPr="009038A6">
        <w:rPr>
          <w:rFonts w:eastAsia="Times New Roman" w:cstheme="minorHAnsi"/>
          <w:lang w:val="en-US" w:eastAsia="tr-TR"/>
        </w:rPr>
        <w:t>Mumtaz</w:t>
      </w:r>
      <w:proofErr w:type="spellEnd"/>
      <w:r w:rsidRPr="009038A6">
        <w:rPr>
          <w:rFonts w:eastAsia="Times New Roman" w:cstheme="minorHAnsi"/>
          <w:lang w:val="en-US" w:eastAsia="tr-TR"/>
        </w:rPr>
        <w:t xml:space="preserve"> and Zanetti (2013) showed that monetary policy volatility shocks have a positive correlation between prices and output level for the US. </w:t>
      </w:r>
      <w:proofErr w:type="spellStart"/>
      <w:r w:rsidRPr="009038A6">
        <w:rPr>
          <w:rFonts w:eastAsia="Times New Roman" w:cstheme="minorHAnsi"/>
          <w:lang w:val="en-US" w:eastAsia="tr-TR"/>
        </w:rPr>
        <w:t>Mumtaz</w:t>
      </w:r>
      <w:proofErr w:type="spellEnd"/>
      <w:r w:rsidRPr="009038A6">
        <w:rPr>
          <w:rFonts w:eastAsia="Times New Roman" w:cstheme="minorHAnsi"/>
          <w:lang w:val="en-US" w:eastAsia="tr-TR"/>
        </w:rPr>
        <w:t xml:space="preserve"> </w:t>
      </w:r>
      <w:r w:rsidR="00926479" w:rsidRPr="009038A6">
        <w:rPr>
          <w:rFonts w:eastAsia="Times New Roman" w:cstheme="minorHAnsi"/>
          <w:lang w:val="en-US" w:eastAsia="tr-TR"/>
        </w:rPr>
        <w:t xml:space="preserve">and </w:t>
      </w:r>
      <w:proofErr w:type="spellStart"/>
      <w:r w:rsidR="00926479" w:rsidRPr="009038A6">
        <w:rPr>
          <w:rFonts w:eastAsia="Times New Roman" w:cstheme="minorHAnsi"/>
          <w:lang w:val="en-US" w:eastAsia="tr-TR"/>
        </w:rPr>
        <w:t>Theodoridis</w:t>
      </w:r>
      <w:proofErr w:type="spellEnd"/>
      <w:r w:rsidR="00926479" w:rsidRPr="009038A6">
        <w:rPr>
          <w:rFonts w:eastAsia="Times New Roman" w:cstheme="minorHAnsi"/>
          <w:lang w:val="en-US" w:eastAsia="tr-TR"/>
        </w:rPr>
        <w:t xml:space="preserve"> (2020</w:t>
      </w:r>
      <w:r w:rsidRPr="009038A6">
        <w:rPr>
          <w:rFonts w:eastAsia="Times New Roman" w:cstheme="minorHAnsi"/>
          <w:lang w:val="en-US" w:eastAsia="tr-TR"/>
        </w:rPr>
        <w:t>) showed that monetary policy shocks increase macroeconomic volatility. Husted et al. (2017) showed that a greater monetary policy uncertainty raises credit cost and reduces output.</w:t>
      </w:r>
    </w:p>
    <w:p w:rsidR="00E67662" w:rsidRPr="00E67662" w:rsidRDefault="009A61BD"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Some papers analyze the impact of uncertainty in US monetary policy on other economies. </w:t>
      </w:r>
      <w:r w:rsidR="006E67CA" w:rsidRPr="009038A6">
        <w:rPr>
          <w:rFonts w:eastAsia="Times New Roman" w:cstheme="minorHAnsi"/>
          <w:lang w:val="en-US" w:eastAsia="tr-TR"/>
        </w:rPr>
        <w:t>Park et al. (2020</w:t>
      </w:r>
      <w:r w:rsidRPr="009038A6">
        <w:rPr>
          <w:rFonts w:eastAsia="Times New Roman" w:cstheme="minorHAnsi"/>
          <w:lang w:val="en-US" w:eastAsia="tr-TR"/>
        </w:rPr>
        <w:t xml:space="preserve">) showed that uncertainty about US monetary policy tends to increase the volatility in the exchange rate for some Asian economies. </w:t>
      </w:r>
      <w:proofErr w:type="spellStart"/>
      <w:r w:rsidR="001E4735">
        <w:rPr>
          <w:rFonts w:eastAsia="Times New Roman" w:cstheme="minorHAnsi"/>
          <w:lang w:val="en-US" w:eastAsia="tr-TR"/>
        </w:rPr>
        <w:t>Bhattarai</w:t>
      </w:r>
      <w:proofErr w:type="spellEnd"/>
      <w:r w:rsidR="001E4735">
        <w:rPr>
          <w:rFonts w:eastAsia="Times New Roman" w:cstheme="minorHAnsi"/>
          <w:lang w:val="en-US" w:eastAsia="tr-TR"/>
        </w:rPr>
        <w:t xml:space="preserve"> et al. (2020</w:t>
      </w:r>
      <w:r w:rsidR="00502813" w:rsidRPr="009038A6">
        <w:rPr>
          <w:rFonts w:eastAsia="Times New Roman" w:cstheme="minorHAnsi"/>
          <w:lang w:val="en-US" w:eastAsia="tr-TR"/>
        </w:rPr>
        <w:t>) emphasized that US stock market uncertainty has an adverse effect on some macroeconomic variables such as exchange rate, output</w:t>
      </w:r>
      <w:r w:rsidR="002866E3" w:rsidRPr="009038A6">
        <w:rPr>
          <w:rFonts w:eastAsia="Times New Roman" w:cstheme="minorHAnsi"/>
          <w:lang w:val="en-US" w:eastAsia="tr-TR"/>
        </w:rPr>
        <w:t>,</w:t>
      </w:r>
      <w:r w:rsidR="00502813" w:rsidRPr="009038A6">
        <w:rPr>
          <w:rFonts w:eastAsia="Times New Roman" w:cstheme="minorHAnsi"/>
          <w:lang w:val="en-US" w:eastAsia="tr-TR"/>
        </w:rPr>
        <w:t xml:space="preserve"> and inflation in emerging countries. </w:t>
      </w:r>
      <w:proofErr w:type="spellStart"/>
      <w:r w:rsidR="00E02CAE" w:rsidRPr="009038A6">
        <w:rPr>
          <w:rFonts w:eastAsia="Times New Roman" w:cstheme="minorHAnsi"/>
          <w:lang w:val="en-US" w:eastAsia="tr-TR"/>
        </w:rPr>
        <w:t>Lastauskas</w:t>
      </w:r>
      <w:proofErr w:type="spellEnd"/>
      <w:r w:rsidR="00E02CAE" w:rsidRPr="009038A6">
        <w:rPr>
          <w:rFonts w:eastAsia="Times New Roman" w:cstheme="minorHAnsi"/>
          <w:lang w:val="en-US" w:eastAsia="tr-TR"/>
        </w:rPr>
        <w:t xml:space="preserve"> and N</w:t>
      </w:r>
      <w:r w:rsidR="004D6FB6" w:rsidRPr="009038A6">
        <w:rPr>
          <w:rFonts w:eastAsia="Times New Roman" w:cstheme="minorHAnsi"/>
          <w:lang w:val="en-US" w:eastAsia="tr-TR"/>
        </w:rPr>
        <w:t>guyen (2021</w:t>
      </w:r>
      <w:r w:rsidR="00E02CAE" w:rsidRPr="009038A6">
        <w:rPr>
          <w:rFonts w:eastAsia="Times New Roman" w:cstheme="minorHAnsi"/>
          <w:lang w:val="en-US" w:eastAsia="tr-TR"/>
        </w:rPr>
        <w:t xml:space="preserve">) stated that US interest rate uncertainty can be the source of global business cycles. According to their findings, the magnitudes of </w:t>
      </w:r>
      <w:r w:rsidR="002866E3" w:rsidRPr="009038A6">
        <w:rPr>
          <w:rFonts w:eastAsia="Times New Roman" w:cstheme="minorHAnsi"/>
          <w:lang w:val="en-US" w:eastAsia="tr-TR"/>
        </w:rPr>
        <w:t xml:space="preserve">the </w:t>
      </w:r>
      <w:r w:rsidR="00E02CAE" w:rsidRPr="009038A6">
        <w:rPr>
          <w:rFonts w:eastAsia="Times New Roman" w:cstheme="minorHAnsi"/>
          <w:lang w:val="en-US" w:eastAsia="tr-TR"/>
        </w:rPr>
        <w:t>negative effect of monetary policy uncertainty on economies depend on cross-country interdependence.</w:t>
      </w:r>
      <w:r w:rsidR="00E67662">
        <w:rPr>
          <w:rFonts w:eastAsia="Times New Roman" w:cstheme="minorHAnsi"/>
          <w:lang w:val="en-US" w:eastAsia="tr-TR"/>
        </w:rPr>
        <w:t xml:space="preserve"> </w:t>
      </w:r>
      <w:proofErr w:type="spellStart"/>
      <w:r w:rsidR="00E67662">
        <w:rPr>
          <w:rFonts w:eastAsia="Times New Roman" w:cstheme="minorHAnsi"/>
          <w:lang w:val="en-US" w:eastAsia="tr-TR"/>
        </w:rPr>
        <w:t>Lakdawala</w:t>
      </w:r>
      <w:proofErr w:type="spellEnd"/>
      <w:r w:rsidR="00E67662">
        <w:rPr>
          <w:rFonts w:eastAsia="Times New Roman" w:cstheme="minorHAnsi"/>
          <w:lang w:val="en-US" w:eastAsia="tr-TR"/>
        </w:rPr>
        <w:t xml:space="preserve"> et al. (2021) showed that US monetary policy </w:t>
      </w:r>
      <w:r w:rsidR="00B4713B">
        <w:rPr>
          <w:rFonts w:eastAsia="Times New Roman" w:cstheme="minorHAnsi"/>
          <w:lang w:val="en-US" w:eastAsia="tr-TR"/>
        </w:rPr>
        <w:t>uncertainty has</w:t>
      </w:r>
      <w:r w:rsidR="00E67662">
        <w:rPr>
          <w:rFonts w:eastAsia="Times New Roman" w:cstheme="minorHAnsi"/>
          <w:lang w:val="en-US" w:eastAsia="tr-TR"/>
        </w:rPr>
        <w:t xml:space="preserve"> a significant effect on global bond and equity markets. </w:t>
      </w:r>
      <w:r w:rsidR="00E02CAE" w:rsidRPr="009038A6">
        <w:rPr>
          <w:rFonts w:eastAsia="Times New Roman" w:cstheme="minorHAnsi"/>
          <w:lang w:val="en-US" w:eastAsia="tr-TR"/>
        </w:rPr>
        <w:t xml:space="preserve"> </w:t>
      </w:r>
      <w:r w:rsidR="00E67662">
        <w:rPr>
          <w:rFonts w:eastAsia="Times New Roman" w:cstheme="minorHAnsi"/>
          <w:lang w:val="en-US" w:eastAsia="tr-TR"/>
        </w:rPr>
        <w:t>Also, t</w:t>
      </w:r>
      <w:r w:rsidR="00E67662" w:rsidRPr="00E67662">
        <w:rPr>
          <w:rFonts w:eastAsia="Times New Roman" w:cstheme="minorHAnsi"/>
          <w:lang w:val="en-US" w:eastAsia="tr-TR"/>
        </w:rPr>
        <w:t xml:space="preserve">hey found that </w:t>
      </w:r>
      <w:r w:rsidR="00E67662">
        <w:rPr>
          <w:rFonts w:eastAsia="Times New Roman" w:cstheme="minorHAnsi"/>
          <w:lang w:val="en-US" w:eastAsia="tr-TR"/>
        </w:rPr>
        <w:t>in developing countries</w:t>
      </w:r>
      <w:r w:rsidR="00E67662" w:rsidRPr="00E67662">
        <w:rPr>
          <w:rFonts w:eastAsia="Times New Roman" w:cstheme="minorHAnsi"/>
          <w:lang w:val="en-US" w:eastAsia="tr-TR"/>
        </w:rPr>
        <w:t xml:space="preserve"> the response to uncertainty is closely related to a country's financial openness.</w:t>
      </w:r>
    </w:p>
    <w:p w:rsidR="005F36BE" w:rsidRDefault="00E37E2F" w:rsidP="00FE7874">
      <w:pPr>
        <w:spacing w:before="120" w:after="120" w:line="360" w:lineRule="auto"/>
        <w:jc w:val="both"/>
        <w:rPr>
          <w:rFonts w:eastAsia="Times New Roman" w:cstheme="minorHAnsi"/>
          <w:lang w:val="en-US" w:eastAsia="tr-TR"/>
        </w:rPr>
      </w:pPr>
      <w:r w:rsidRPr="00023793">
        <w:rPr>
          <w:rFonts w:eastAsia="Times New Roman" w:cstheme="minorHAnsi"/>
          <w:lang w:val="en-US" w:eastAsia="tr-TR"/>
        </w:rPr>
        <w:t>For Turkey</w:t>
      </w:r>
      <w:r w:rsidR="00023793" w:rsidRPr="00023793">
        <w:rPr>
          <w:rFonts w:eastAsia="Times New Roman" w:cstheme="minorHAnsi"/>
          <w:lang w:val="en-US" w:eastAsia="tr-TR"/>
        </w:rPr>
        <w:t>,</w:t>
      </w:r>
      <w:r w:rsidRPr="00023793">
        <w:rPr>
          <w:rFonts w:eastAsia="Times New Roman" w:cstheme="minorHAnsi"/>
          <w:lang w:val="en-US" w:eastAsia="tr-TR"/>
        </w:rPr>
        <w:t xml:space="preserve"> there are a few studies </w:t>
      </w:r>
      <w:r w:rsidR="00023793">
        <w:rPr>
          <w:rFonts w:eastAsia="Times New Roman" w:cstheme="minorHAnsi"/>
          <w:lang w:val="en-US" w:eastAsia="tr-TR"/>
        </w:rPr>
        <w:t xml:space="preserve">in the literature </w:t>
      </w:r>
      <w:r w:rsidRPr="00023793">
        <w:rPr>
          <w:rFonts w:eastAsia="Times New Roman" w:cstheme="minorHAnsi"/>
          <w:lang w:val="en-US" w:eastAsia="tr-TR"/>
        </w:rPr>
        <w:t xml:space="preserve">regarding monetary policy uncertainty. </w:t>
      </w:r>
      <w:proofErr w:type="spellStart"/>
      <w:r w:rsidRPr="00023793">
        <w:rPr>
          <w:rFonts w:eastAsia="Times New Roman" w:cstheme="minorHAnsi"/>
          <w:lang w:val="en-US" w:eastAsia="tr-TR"/>
        </w:rPr>
        <w:t>Aktaş</w:t>
      </w:r>
      <w:proofErr w:type="spellEnd"/>
      <w:r w:rsidRPr="00023793">
        <w:rPr>
          <w:rFonts w:eastAsia="Times New Roman" w:cstheme="minorHAnsi"/>
          <w:lang w:val="en-US" w:eastAsia="tr-TR"/>
        </w:rPr>
        <w:t xml:space="preserve"> et al. (2009) investiga</w:t>
      </w:r>
      <w:r w:rsidR="00023793" w:rsidRPr="00023793">
        <w:rPr>
          <w:rFonts w:eastAsia="Times New Roman" w:cstheme="minorHAnsi"/>
          <w:lang w:val="en-US" w:eastAsia="tr-TR"/>
        </w:rPr>
        <w:t>t</w:t>
      </w:r>
      <w:r w:rsidRPr="00023793">
        <w:rPr>
          <w:rFonts w:eastAsia="Times New Roman" w:cstheme="minorHAnsi"/>
          <w:lang w:val="en-US" w:eastAsia="tr-TR"/>
        </w:rPr>
        <w:t>e the effect o</w:t>
      </w:r>
      <w:r w:rsidR="00023793" w:rsidRPr="00023793">
        <w:rPr>
          <w:rFonts w:eastAsia="Times New Roman" w:cstheme="minorHAnsi"/>
          <w:lang w:val="en-US" w:eastAsia="tr-TR"/>
        </w:rPr>
        <w:t>f policy rate changes on financ</w:t>
      </w:r>
      <w:r w:rsidRPr="00023793">
        <w:rPr>
          <w:rFonts w:eastAsia="Times New Roman" w:cstheme="minorHAnsi"/>
          <w:lang w:val="en-US" w:eastAsia="tr-TR"/>
        </w:rPr>
        <w:t>i</w:t>
      </w:r>
      <w:r w:rsidR="00023793" w:rsidRPr="00023793">
        <w:rPr>
          <w:rFonts w:eastAsia="Times New Roman" w:cstheme="minorHAnsi"/>
          <w:lang w:val="en-US" w:eastAsia="tr-TR"/>
        </w:rPr>
        <w:t>al</w:t>
      </w:r>
      <w:r w:rsidRPr="00023793">
        <w:rPr>
          <w:rFonts w:eastAsia="Times New Roman" w:cstheme="minorHAnsi"/>
          <w:lang w:val="en-US" w:eastAsia="tr-TR"/>
        </w:rPr>
        <w:t xml:space="preserve"> markets by separating monetary </w:t>
      </w:r>
      <w:r w:rsidRPr="00023793">
        <w:rPr>
          <w:rFonts w:eastAsia="Times New Roman" w:cstheme="minorHAnsi"/>
          <w:lang w:val="en-US" w:eastAsia="tr-TR"/>
        </w:rPr>
        <w:lastRenderedPageBreak/>
        <w:t xml:space="preserve">policy into expected and unexpected components. They </w:t>
      </w:r>
      <w:r w:rsidR="00023793" w:rsidRPr="00023793">
        <w:rPr>
          <w:rFonts w:eastAsia="Times New Roman" w:cstheme="minorHAnsi"/>
          <w:lang w:val="en-US" w:eastAsia="tr-TR"/>
        </w:rPr>
        <w:t xml:space="preserve">showed that monetary surprises have </w:t>
      </w:r>
      <w:r w:rsidR="00023793">
        <w:rPr>
          <w:rFonts w:eastAsia="Times New Roman" w:cstheme="minorHAnsi"/>
          <w:lang w:val="en-US" w:eastAsia="tr-TR"/>
        </w:rPr>
        <w:t xml:space="preserve">a </w:t>
      </w:r>
      <w:r w:rsidR="00023793" w:rsidRPr="00023793">
        <w:rPr>
          <w:rFonts w:eastAsia="Times New Roman" w:cstheme="minorHAnsi"/>
          <w:lang w:val="en-US" w:eastAsia="tr-TR"/>
        </w:rPr>
        <w:t>signifi</w:t>
      </w:r>
      <w:r w:rsidR="00700203">
        <w:rPr>
          <w:rFonts w:eastAsia="Times New Roman" w:cstheme="minorHAnsi"/>
          <w:lang w:val="en-US" w:eastAsia="tr-TR"/>
        </w:rPr>
        <w:t xml:space="preserve">cant effect on financial markets. </w:t>
      </w:r>
      <w:proofErr w:type="spellStart"/>
      <w:r w:rsidR="0013043D">
        <w:rPr>
          <w:rFonts w:eastAsia="Times New Roman" w:cstheme="minorHAnsi"/>
          <w:lang w:val="en-US" w:eastAsia="tr-TR"/>
        </w:rPr>
        <w:t>Çevik</w:t>
      </w:r>
      <w:proofErr w:type="spellEnd"/>
      <w:r w:rsidR="0013043D">
        <w:rPr>
          <w:rFonts w:eastAsia="Times New Roman" w:cstheme="minorHAnsi"/>
          <w:lang w:val="en-US" w:eastAsia="tr-TR"/>
        </w:rPr>
        <w:t xml:space="preserve"> and </w:t>
      </w:r>
      <w:proofErr w:type="spellStart"/>
      <w:r w:rsidR="0013043D">
        <w:rPr>
          <w:rFonts w:eastAsia="Times New Roman" w:cstheme="minorHAnsi"/>
          <w:lang w:val="en-US" w:eastAsia="tr-TR"/>
        </w:rPr>
        <w:t>Erduman</w:t>
      </w:r>
      <w:proofErr w:type="spellEnd"/>
      <w:r w:rsidR="0013043D">
        <w:rPr>
          <w:rFonts w:eastAsia="Times New Roman" w:cstheme="minorHAnsi"/>
          <w:lang w:val="en-US" w:eastAsia="tr-TR"/>
        </w:rPr>
        <w:t xml:space="preserve"> (2020) construct a survey-based measure of monetary policy uncertainty for Turkey. Then, they find that uncertainty about monetary policy has a negative effect on economic activity in Turkey</w:t>
      </w:r>
      <w:r w:rsidR="007765C4">
        <w:rPr>
          <w:rFonts w:eastAsia="Times New Roman" w:cstheme="minorHAnsi"/>
          <w:lang w:val="en-US" w:eastAsia="tr-TR"/>
        </w:rPr>
        <w:t>.</w:t>
      </w:r>
    </w:p>
    <w:p w:rsidR="00E37E2F" w:rsidRPr="009038A6" w:rsidRDefault="00E37E2F" w:rsidP="00FE7874">
      <w:pPr>
        <w:spacing w:before="120" w:after="120" w:line="360" w:lineRule="auto"/>
        <w:jc w:val="both"/>
        <w:rPr>
          <w:rFonts w:eastAsia="Times New Roman" w:cstheme="minorHAnsi"/>
          <w:lang w:val="en-US" w:eastAsia="tr-TR"/>
        </w:rPr>
      </w:pPr>
    </w:p>
    <w:p w:rsidR="00337863" w:rsidRPr="00FE7874" w:rsidRDefault="00FA1607" w:rsidP="00FE7874">
      <w:pPr>
        <w:spacing w:before="120" w:after="120" w:line="360" w:lineRule="auto"/>
        <w:jc w:val="both"/>
        <w:rPr>
          <w:rFonts w:eastAsia="Times New Roman" w:cstheme="minorHAnsi"/>
          <w:b/>
          <w:lang w:val="en-US" w:eastAsia="tr-TR"/>
        </w:rPr>
      </w:pPr>
      <w:r w:rsidRPr="00FE7874">
        <w:rPr>
          <w:rFonts w:eastAsia="Times New Roman" w:cstheme="minorHAnsi"/>
          <w:b/>
          <w:iCs/>
          <w:lang w:val="en-US" w:eastAsia="tr-TR"/>
        </w:rPr>
        <w:t xml:space="preserve">3. </w:t>
      </w:r>
      <w:r w:rsidR="00337863" w:rsidRPr="00FE7874">
        <w:rPr>
          <w:rFonts w:eastAsia="Times New Roman" w:cstheme="minorHAnsi"/>
          <w:b/>
          <w:iCs/>
          <w:lang w:val="en-US" w:eastAsia="tr-TR"/>
        </w:rPr>
        <w:t>Methodology and Analysis: </w:t>
      </w:r>
    </w:p>
    <w:p w:rsidR="00337863" w:rsidRPr="009038A6" w:rsidRDefault="00337863"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The main question of our study is whether the interest rate uncertainty is a matter for the Turkish economy. For this aim, we investigate the responses of growth of industrial production, inflation, unemployment, and exchange rate to </w:t>
      </w:r>
      <w:r w:rsidR="00AD496E" w:rsidRPr="009038A6">
        <w:rPr>
          <w:rFonts w:eastAsia="Times New Roman" w:cstheme="minorHAnsi"/>
          <w:lang w:val="en-US" w:eastAsia="tr-TR"/>
        </w:rPr>
        <w:t>interest rate uncertainties</w:t>
      </w:r>
      <w:r w:rsidR="008C5E6D" w:rsidRPr="009038A6">
        <w:rPr>
          <w:rFonts w:eastAsia="Times New Roman" w:cstheme="minorHAnsi"/>
          <w:lang w:val="en-US" w:eastAsia="tr-TR"/>
        </w:rPr>
        <w:t xml:space="preserve"> for different maturities</w:t>
      </w:r>
      <w:r w:rsidRPr="009038A6">
        <w:rPr>
          <w:rFonts w:eastAsia="Times New Roman" w:cstheme="minorHAnsi"/>
          <w:lang w:val="en-US" w:eastAsia="tr-TR"/>
        </w:rPr>
        <w:t>.</w:t>
      </w:r>
    </w:p>
    <w:p w:rsidR="00337863" w:rsidRPr="009038A6" w:rsidRDefault="00337863"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Following the recent literature that investigates the relationship between uncertainty and the </w:t>
      </w:r>
      <w:proofErr w:type="spellStart"/>
      <w:r w:rsidRPr="009038A6">
        <w:rPr>
          <w:rFonts w:eastAsia="Times New Roman" w:cstheme="minorHAnsi"/>
          <w:lang w:val="en-US" w:eastAsia="tr-TR"/>
        </w:rPr>
        <w:t>macroeconomy</w:t>
      </w:r>
      <w:proofErr w:type="spellEnd"/>
      <w:r w:rsidRPr="009038A6">
        <w:rPr>
          <w:rFonts w:eastAsia="Times New Roman" w:cstheme="minorHAnsi"/>
          <w:lang w:val="en-US" w:eastAsia="tr-TR"/>
        </w:rPr>
        <w:t>, we use VAR model and impulse responses (e.g. Baker, Bloom, and Davis (201</w:t>
      </w:r>
      <w:r w:rsidR="00592648" w:rsidRPr="009038A6">
        <w:rPr>
          <w:rFonts w:eastAsia="Times New Roman" w:cstheme="minorHAnsi"/>
          <w:lang w:val="en-US" w:eastAsia="tr-TR"/>
        </w:rPr>
        <w:t>6</w:t>
      </w:r>
      <w:r w:rsidRPr="009038A6">
        <w:rPr>
          <w:rFonts w:eastAsia="Times New Roman" w:cstheme="minorHAnsi"/>
          <w:lang w:val="en-US" w:eastAsia="tr-TR"/>
        </w:rPr>
        <w:t xml:space="preserve">); </w:t>
      </w:r>
      <w:proofErr w:type="spellStart"/>
      <w:r w:rsidRPr="009038A6">
        <w:rPr>
          <w:rFonts w:eastAsia="Times New Roman" w:cstheme="minorHAnsi"/>
          <w:lang w:val="en-US" w:eastAsia="tr-TR"/>
        </w:rPr>
        <w:t>Jurado</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Ludvigson</w:t>
      </w:r>
      <w:proofErr w:type="spellEnd"/>
      <w:r w:rsidRPr="009038A6">
        <w:rPr>
          <w:rFonts w:eastAsia="Times New Roman" w:cstheme="minorHAnsi"/>
          <w:lang w:val="en-US" w:eastAsia="tr-TR"/>
        </w:rPr>
        <w:t xml:space="preserve">, and Ng (2015); </w:t>
      </w:r>
      <w:proofErr w:type="spellStart"/>
      <w:r w:rsidRPr="009038A6">
        <w:rPr>
          <w:rFonts w:eastAsia="Times New Roman" w:cstheme="minorHAnsi"/>
          <w:lang w:val="en-US" w:eastAsia="tr-TR"/>
        </w:rPr>
        <w:t>Bekaert</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Hoerova</w:t>
      </w:r>
      <w:proofErr w:type="spellEnd"/>
      <w:r w:rsidRPr="009038A6">
        <w:rPr>
          <w:rFonts w:eastAsia="Times New Roman" w:cstheme="minorHAnsi"/>
          <w:lang w:val="en-US" w:eastAsia="tr-TR"/>
        </w:rPr>
        <w:t xml:space="preserve">, and Lo </w:t>
      </w:r>
      <w:proofErr w:type="spellStart"/>
      <w:r w:rsidRPr="009038A6">
        <w:rPr>
          <w:rFonts w:eastAsia="Times New Roman" w:cstheme="minorHAnsi"/>
          <w:lang w:val="en-US" w:eastAsia="tr-TR"/>
        </w:rPr>
        <w:t>Duca</w:t>
      </w:r>
      <w:proofErr w:type="spellEnd"/>
      <w:r w:rsidRPr="009038A6">
        <w:rPr>
          <w:rFonts w:eastAsia="Times New Roman" w:cstheme="minorHAnsi"/>
          <w:lang w:val="en-US" w:eastAsia="tr-TR"/>
        </w:rPr>
        <w:t xml:space="preserve"> (2013); </w:t>
      </w:r>
      <w:proofErr w:type="spellStart"/>
      <w:r w:rsidRPr="009038A6">
        <w:rPr>
          <w:rFonts w:eastAsia="Times New Roman" w:cstheme="minorHAnsi"/>
          <w:lang w:val="en-US" w:eastAsia="tr-TR"/>
        </w:rPr>
        <w:t>Aastveit</w:t>
      </w:r>
      <w:proofErr w:type="spellEnd"/>
      <w:r w:rsidRPr="009038A6">
        <w:rPr>
          <w:rFonts w:eastAsia="Times New Roman" w:cstheme="minorHAnsi"/>
          <w:lang w:val="en-US" w:eastAsia="tr-TR"/>
        </w:rPr>
        <w:t xml:space="preserve">, </w:t>
      </w:r>
      <w:proofErr w:type="spellStart"/>
      <w:r w:rsidRPr="009038A6">
        <w:rPr>
          <w:rFonts w:eastAsia="Times New Roman" w:cstheme="minorHAnsi"/>
          <w:lang w:val="en-US" w:eastAsia="tr-TR"/>
        </w:rPr>
        <w:t>Natvik</w:t>
      </w:r>
      <w:proofErr w:type="spellEnd"/>
      <w:r w:rsidRPr="009038A6">
        <w:rPr>
          <w:rFonts w:eastAsia="Times New Roman" w:cstheme="minorHAnsi"/>
          <w:lang w:val="en-US" w:eastAsia="tr-TR"/>
        </w:rPr>
        <w:t xml:space="preserve">, and Sola (2013); </w:t>
      </w:r>
      <w:proofErr w:type="spellStart"/>
      <w:r w:rsidRPr="009038A6">
        <w:rPr>
          <w:rFonts w:eastAsia="Times New Roman" w:cstheme="minorHAnsi"/>
          <w:lang w:val="en-US" w:eastAsia="tr-TR"/>
        </w:rPr>
        <w:t>Creal</w:t>
      </w:r>
      <w:proofErr w:type="spellEnd"/>
      <w:r w:rsidRPr="009038A6">
        <w:rPr>
          <w:rFonts w:eastAsia="Times New Roman" w:cstheme="minorHAnsi"/>
          <w:lang w:val="en-US" w:eastAsia="tr-TR"/>
        </w:rPr>
        <w:t xml:space="preserve"> and Wu (2017)). This method allows examining the interaction of variables with each other. In addition, necessary constraints can be placed on the model. </w:t>
      </w:r>
    </w:p>
    <w:p w:rsidR="00337863" w:rsidRPr="009038A6" w:rsidRDefault="00337863"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The VAR model is presented as</w:t>
      </w:r>
    </w:p>
    <w:p w:rsidR="00337863" w:rsidRPr="009038A6" w:rsidRDefault="00337863" w:rsidP="00FE7874">
      <w:pPr>
        <w:spacing w:before="120" w:after="120" w:line="360" w:lineRule="auto"/>
        <w:jc w:val="both"/>
        <w:rPr>
          <w:rFonts w:eastAsia="Times New Roman" w:cstheme="minorHAnsi"/>
          <w:lang w:val="en-US" w:eastAsia="tr-TR"/>
        </w:rPr>
      </w:pPr>
    </w:p>
    <w:p w:rsidR="00337863" w:rsidRPr="009038A6" w:rsidRDefault="00E40690" w:rsidP="00FE7874">
      <w:pPr>
        <w:spacing w:before="120" w:after="120" w:line="360" w:lineRule="auto"/>
        <w:jc w:val="both"/>
        <w:rPr>
          <w:rFonts w:eastAsiaTheme="minorEastAsia" w:cstheme="minorHAnsi"/>
          <w:lang w:val="en-US"/>
        </w:rPr>
      </w:pPr>
      <m:oMathPara>
        <m:oMath>
          <m:sSub>
            <m:sSubPr>
              <m:ctrlPr>
                <w:rPr>
                  <w:rFonts w:ascii="Cambria Math" w:hAnsi="Cambria Math" w:cstheme="minorHAnsi"/>
                  <w:i/>
                  <w:lang w:val="en-US"/>
                </w:rPr>
              </m:ctrlPr>
            </m:sSubPr>
            <m:e>
              <m:r>
                <w:rPr>
                  <w:rFonts w:ascii="Cambria Math" w:hAnsi="Cambria Math" w:cstheme="minorHAnsi"/>
                  <w:lang w:val="en-US"/>
                </w:rPr>
                <m:t>z</m:t>
              </m:r>
            </m:e>
            <m:sub>
              <m:r>
                <w:rPr>
                  <w:rFonts w:ascii="Cambria Math" w:hAnsi="Cambria Math" w:cstheme="minorHAnsi"/>
                  <w:lang w:val="en-US"/>
                </w:rPr>
                <m:t>t</m:t>
              </m:r>
            </m:sub>
          </m:sSub>
          <m:r>
            <w:rPr>
              <w:rFonts w:ascii="Cambria Math" w:hAnsi="Cambria Math" w:cstheme="minorHAnsi"/>
              <w:lang w:val="en-US"/>
            </w:rPr>
            <m:t>=</m:t>
          </m:r>
          <m:sSub>
            <m:sSubPr>
              <m:ctrlPr>
                <w:rPr>
                  <w:rFonts w:ascii="Cambria Math" w:hAnsi="Cambria Math" w:cstheme="minorHAnsi"/>
                  <w:i/>
                  <w:lang w:val="en-US"/>
                </w:rPr>
              </m:ctrlPr>
            </m:sSubPr>
            <m:e>
              <m:sSub>
                <m:sSubPr>
                  <m:ctrlPr>
                    <w:rPr>
                      <w:rFonts w:ascii="Cambria Math" w:hAnsi="Cambria Math" w:cstheme="minorHAnsi"/>
                      <w:i/>
                      <w:lang w:val="en-US"/>
                    </w:rPr>
                  </m:ctrlPr>
                </m:sSubPr>
                <m:e>
                  <m:r>
                    <w:rPr>
                      <w:rFonts w:ascii="Cambria Math" w:hAnsi="Cambria Math" w:cstheme="minorHAnsi"/>
                      <w:lang w:val="en-US"/>
                    </w:rPr>
                    <m:t>A</m:t>
                  </m:r>
                </m:e>
                <m:sub>
                  <m:r>
                    <w:rPr>
                      <w:rFonts w:ascii="Cambria Math" w:hAnsi="Cambria Math" w:cstheme="minorHAnsi"/>
                      <w:lang w:val="en-US"/>
                    </w:rPr>
                    <m:t>0</m:t>
                  </m:r>
                </m:sub>
              </m:sSub>
              <m:r>
                <w:rPr>
                  <w:rFonts w:ascii="Cambria Math" w:hAnsi="Cambria Math" w:cstheme="minorHAnsi"/>
                  <w:lang w:val="en-US"/>
                </w:rPr>
                <m:t>+A</m:t>
              </m:r>
            </m:e>
            <m:sub>
              <m:r>
                <w:rPr>
                  <w:rFonts w:ascii="Cambria Math" w:hAnsi="Cambria Math" w:cstheme="minorHAnsi"/>
                  <w:lang w:val="en-US"/>
                </w:rPr>
                <m:t>1</m:t>
              </m:r>
            </m:sub>
          </m:sSub>
          <m:sSub>
            <m:sSubPr>
              <m:ctrlPr>
                <w:rPr>
                  <w:rFonts w:ascii="Cambria Math" w:hAnsi="Cambria Math" w:cstheme="minorHAnsi"/>
                  <w:i/>
                  <w:lang w:val="en-US"/>
                </w:rPr>
              </m:ctrlPr>
            </m:sSubPr>
            <m:e>
              <m:r>
                <w:rPr>
                  <w:rFonts w:ascii="Cambria Math" w:hAnsi="Cambria Math" w:cstheme="minorHAnsi"/>
                  <w:lang w:val="en-US"/>
                </w:rPr>
                <m:t>z</m:t>
              </m:r>
            </m:e>
            <m:sub>
              <m:r>
                <w:rPr>
                  <w:rFonts w:ascii="Cambria Math" w:hAnsi="Cambria Math" w:cstheme="minorHAnsi"/>
                  <w:lang w:val="en-US"/>
                </w:rPr>
                <m:t>t-1</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A</m:t>
              </m:r>
            </m:e>
            <m:sub>
              <m:r>
                <w:rPr>
                  <w:rFonts w:ascii="Cambria Math" w:hAnsi="Cambria Math" w:cstheme="minorHAnsi"/>
                  <w:lang w:val="en-US"/>
                </w:rPr>
                <m:t>p</m:t>
              </m:r>
            </m:sub>
          </m:sSub>
          <m:sSub>
            <m:sSubPr>
              <m:ctrlPr>
                <w:rPr>
                  <w:rFonts w:ascii="Cambria Math" w:hAnsi="Cambria Math" w:cstheme="minorHAnsi"/>
                  <w:i/>
                  <w:lang w:val="en-US"/>
                </w:rPr>
              </m:ctrlPr>
            </m:sSubPr>
            <m:e>
              <m:r>
                <w:rPr>
                  <w:rFonts w:ascii="Cambria Math" w:hAnsi="Cambria Math" w:cstheme="minorHAnsi"/>
                  <w:lang w:val="en-US"/>
                </w:rPr>
                <m:t>z</m:t>
              </m:r>
            </m:e>
            <m:sub>
              <m:r>
                <w:rPr>
                  <w:rFonts w:ascii="Cambria Math" w:hAnsi="Cambria Math" w:cstheme="minorHAnsi"/>
                  <w:lang w:val="en-US"/>
                </w:rPr>
                <m:t>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u</m:t>
              </m:r>
            </m:e>
            <m:sub>
              <m:r>
                <w:rPr>
                  <w:rFonts w:ascii="Cambria Math" w:hAnsi="Cambria Math" w:cstheme="minorHAnsi"/>
                  <w:lang w:val="en-US"/>
                </w:rPr>
                <m:t>t</m:t>
              </m:r>
            </m:sub>
          </m:sSub>
        </m:oMath>
      </m:oMathPara>
    </w:p>
    <w:p w:rsidR="00337863" w:rsidRPr="009038A6" w:rsidRDefault="00337863" w:rsidP="00FE7874">
      <w:pPr>
        <w:spacing w:before="120" w:after="120" w:line="360" w:lineRule="auto"/>
        <w:jc w:val="both"/>
        <w:rPr>
          <w:rFonts w:cstheme="minorHAnsi"/>
          <w:lang w:val="en-US"/>
        </w:rPr>
      </w:pPr>
      <m:oMathPara>
        <m:oMath>
          <m:r>
            <w:rPr>
              <w:rFonts w:ascii="Cambria Math" w:hAnsi="Cambria Math" w:cstheme="minorHAnsi"/>
              <w:lang w:val="en-US"/>
            </w:rPr>
            <m:t>t=1,…, T</m:t>
          </m:r>
        </m:oMath>
      </m:oMathPara>
    </w:p>
    <w:p w:rsidR="00523F86" w:rsidRPr="009038A6" w:rsidRDefault="00E40690" w:rsidP="00BD71AA">
      <w:pPr>
        <w:spacing w:before="120" w:after="240" w:line="360" w:lineRule="auto"/>
        <w:jc w:val="both"/>
        <w:rPr>
          <w:rFonts w:eastAsiaTheme="minorEastAsia"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A</m:t>
            </m:r>
          </m:e>
          <m:sub>
            <m:r>
              <w:rPr>
                <w:rFonts w:ascii="Cambria Math" w:hAnsi="Cambria Math" w:cstheme="minorHAnsi"/>
                <w:lang w:val="en-US"/>
              </w:rPr>
              <m:t>i</m:t>
            </m:r>
          </m:sub>
        </m:sSub>
      </m:oMath>
      <w:r w:rsidR="00337863" w:rsidRPr="009038A6">
        <w:rPr>
          <w:rFonts w:eastAsiaTheme="minorEastAsia" w:cstheme="minorHAnsi"/>
          <w:lang w:val="en-US"/>
        </w:rPr>
        <w:t xml:space="preserve"> is (nxn) matrix. u represents (nx1) vector of error terms. </w:t>
      </w:r>
      <m:oMath>
        <m:sSub>
          <m:sSubPr>
            <m:ctrlPr>
              <w:rPr>
                <w:rFonts w:ascii="Cambria Math" w:eastAsiaTheme="minorEastAsia" w:hAnsi="Cambria Math" w:cstheme="minorHAnsi"/>
                <w:i/>
                <w:lang w:val="en-US"/>
              </w:rPr>
            </m:ctrlPr>
          </m:sSubPr>
          <m:e>
            <m:r>
              <w:rPr>
                <w:rFonts w:ascii="Cambria Math" w:eastAsiaTheme="minorEastAsia" w:hAnsi="Cambria Math" w:cstheme="minorHAnsi"/>
                <w:lang w:val="en-US"/>
              </w:rPr>
              <m:t>z</m:t>
            </m:r>
          </m:e>
          <m:sub>
            <m:r>
              <w:rPr>
                <w:rFonts w:ascii="Cambria Math" w:eastAsiaTheme="minorEastAsia" w:hAnsi="Cambria Math" w:cstheme="minorHAnsi"/>
                <w:lang w:val="en-US"/>
              </w:rPr>
              <m:t>t</m:t>
            </m:r>
          </m:sub>
        </m:sSub>
      </m:oMath>
      <w:r w:rsidR="00337863" w:rsidRPr="009038A6">
        <w:rPr>
          <w:rFonts w:eastAsiaTheme="minorEastAsia" w:cstheme="minorHAnsi"/>
          <w:lang w:val="en-US"/>
        </w:rPr>
        <w:t xml:space="preserve"> is (nx1) vector of time series. </w:t>
      </w:r>
      <m:oMath>
        <m:r>
          <w:rPr>
            <w:rFonts w:ascii="Cambria Math" w:eastAsiaTheme="minorEastAsia" w:hAnsi="Cambria Math" w:cstheme="minorHAnsi"/>
            <w:lang w:val="en-US"/>
          </w:rPr>
          <m:t>p</m:t>
        </m:r>
      </m:oMath>
      <w:r w:rsidR="00337863" w:rsidRPr="009038A6">
        <w:rPr>
          <w:rFonts w:eastAsiaTheme="minorEastAsia" w:cstheme="minorHAnsi"/>
          <w:lang w:val="en-US"/>
        </w:rPr>
        <w:t xml:space="preserve"> represents maximum lag in the VAR model. </w:t>
      </w:r>
      <w:r w:rsidR="00523F86" w:rsidRPr="009038A6">
        <w:rPr>
          <w:rFonts w:cstheme="minorHAnsi"/>
          <w:lang w:val="en-US"/>
        </w:rPr>
        <w:t xml:space="preserve">The lag length is selected based on the </w:t>
      </w:r>
      <w:proofErr w:type="spellStart"/>
      <w:r w:rsidR="00523F86" w:rsidRPr="009038A6">
        <w:rPr>
          <w:rFonts w:cstheme="minorHAnsi"/>
          <w:lang w:val="en-US"/>
        </w:rPr>
        <w:t>Akaike</w:t>
      </w:r>
      <w:proofErr w:type="spellEnd"/>
      <w:r w:rsidR="00523F86" w:rsidRPr="009038A6">
        <w:rPr>
          <w:rFonts w:cstheme="minorHAnsi"/>
          <w:lang w:val="en-US"/>
        </w:rPr>
        <w:t xml:space="preserve"> Information Criterion.</w:t>
      </w:r>
      <w:r w:rsidR="00BD71AA">
        <w:rPr>
          <w:rFonts w:cstheme="minorHAnsi"/>
          <w:lang w:val="en-US"/>
        </w:rPr>
        <w:t xml:space="preserve"> </w:t>
      </w:r>
      <m:oMath>
        <m:r>
          <w:rPr>
            <w:rFonts w:ascii="Cambria Math" w:hAnsi="Cambria Math" w:cstheme="minorHAnsi"/>
            <w:lang w:val="en-US"/>
          </w:rPr>
          <m:t>E</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u</m:t>
                </m:r>
              </m:e>
              <m:sub>
                <m:r>
                  <w:rPr>
                    <w:rFonts w:ascii="Cambria Math" w:hAnsi="Cambria Math" w:cstheme="minorHAnsi"/>
                    <w:lang w:val="en-US"/>
                  </w:rPr>
                  <m:t>t</m:t>
                </m:r>
              </m:sub>
            </m:sSub>
          </m:e>
        </m:d>
        <m:r>
          <w:rPr>
            <w:rFonts w:ascii="Cambria Math" w:hAnsi="Cambria Math" w:cstheme="minorHAnsi"/>
            <w:lang w:val="en-US"/>
          </w:rPr>
          <m:t>=0</m:t>
        </m:r>
      </m:oMath>
      <w:r w:rsidR="00337863" w:rsidRPr="009038A6">
        <w:rPr>
          <w:rFonts w:eastAsiaTheme="minorEastAsia" w:cstheme="minorHAnsi"/>
          <w:lang w:val="en-US"/>
        </w:rPr>
        <w:t xml:space="preserve">, </w:t>
      </w:r>
      <m:oMath>
        <m:r>
          <w:rPr>
            <w:rFonts w:ascii="Cambria Math" w:hAnsi="Cambria Math" w:cstheme="minorHAnsi"/>
            <w:lang w:val="en-US"/>
          </w:rPr>
          <m:t>E</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u</m:t>
                </m:r>
              </m:e>
              <m:sub>
                <m:r>
                  <w:rPr>
                    <w:rFonts w:ascii="Cambria Math" w:hAnsi="Cambria Math" w:cstheme="minorHAnsi"/>
                    <w:lang w:val="en-US"/>
                  </w:rPr>
                  <m:t>t</m:t>
                </m:r>
              </m:sub>
            </m:sSub>
            <m:r>
              <w:rPr>
                <w:rFonts w:ascii="Cambria Math" w:hAnsi="Cambria Math" w:cstheme="minorHAnsi"/>
                <w:lang w:val="en-US"/>
              </w:rPr>
              <m:t>,</m:t>
            </m:r>
            <m:sSubSup>
              <m:sSubSupPr>
                <m:ctrlPr>
                  <w:rPr>
                    <w:rFonts w:ascii="Cambria Math" w:hAnsi="Cambria Math" w:cstheme="minorHAnsi"/>
                    <w:i/>
                    <w:lang w:val="en-US"/>
                  </w:rPr>
                </m:ctrlPr>
              </m:sSubSupPr>
              <m:e>
                <m:r>
                  <w:rPr>
                    <w:rFonts w:ascii="Cambria Math" w:hAnsi="Cambria Math" w:cstheme="minorHAnsi"/>
                    <w:lang w:val="en-US"/>
                  </w:rPr>
                  <m:t>u</m:t>
                </m:r>
              </m:e>
              <m:sub>
                <m:r>
                  <w:rPr>
                    <w:rFonts w:ascii="Cambria Math" w:hAnsi="Cambria Math" w:cstheme="minorHAnsi"/>
                    <w:lang w:val="en-US"/>
                  </w:rPr>
                  <m:t>t</m:t>
                </m:r>
              </m:sub>
              <m:sup>
                <m:r>
                  <w:rPr>
                    <w:rFonts w:ascii="Cambria Math" w:hAnsi="Cambria Math" w:cstheme="minorHAnsi"/>
                    <w:lang w:val="en-US"/>
                  </w:rPr>
                  <m:t>'</m:t>
                </m:r>
              </m:sup>
            </m:sSubSup>
            <m:r>
              <w:rPr>
                <w:rFonts w:ascii="Cambria Math" w:hAnsi="Cambria Math" w:cstheme="minorHAnsi"/>
                <w:lang w:val="en-US"/>
              </w:rPr>
              <m:t xml:space="preserve"> </m:t>
            </m:r>
          </m:e>
        </m:d>
        <m:r>
          <w:rPr>
            <w:rFonts w:ascii="Cambria Math" w:hAnsi="Cambria Math" w:cstheme="minorHAnsi"/>
            <w:lang w:val="en-US"/>
          </w:rPr>
          <m:t>=θ</m:t>
        </m:r>
      </m:oMath>
      <w:r w:rsidR="00337863" w:rsidRPr="009038A6">
        <w:rPr>
          <w:rFonts w:eastAsiaTheme="minorEastAsia" w:cstheme="minorHAnsi"/>
          <w:lang w:val="en-US"/>
        </w:rPr>
        <w:t xml:space="preserve">, </w:t>
      </w:r>
      <m:oMath>
        <m:r>
          <w:rPr>
            <w:rFonts w:ascii="Cambria Math" w:hAnsi="Cambria Math" w:cstheme="minorHAnsi"/>
            <w:lang w:val="en-US"/>
          </w:rPr>
          <m:t>E</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u</m:t>
                </m:r>
              </m:e>
              <m:sub>
                <m:r>
                  <w:rPr>
                    <w:rFonts w:ascii="Cambria Math" w:hAnsi="Cambria Math" w:cstheme="minorHAnsi"/>
                    <w:lang w:val="en-US"/>
                  </w:rPr>
                  <m:t>t</m:t>
                </m:r>
              </m:sub>
            </m:sSub>
            <m:r>
              <w:rPr>
                <w:rFonts w:ascii="Cambria Math" w:hAnsi="Cambria Math" w:cstheme="minorHAnsi"/>
                <w:lang w:val="en-US"/>
              </w:rPr>
              <m:t>,</m:t>
            </m:r>
            <m:sSubSup>
              <m:sSubSupPr>
                <m:ctrlPr>
                  <w:rPr>
                    <w:rFonts w:ascii="Cambria Math" w:hAnsi="Cambria Math" w:cstheme="minorHAnsi"/>
                    <w:i/>
                    <w:lang w:val="en-US"/>
                  </w:rPr>
                </m:ctrlPr>
              </m:sSubSupPr>
              <m:e>
                <m:r>
                  <w:rPr>
                    <w:rFonts w:ascii="Cambria Math" w:hAnsi="Cambria Math" w:cstheme="minorHAnsi"/>
                    <w:lang w:val="en-US"/>
                  </w:rPr>
                  <m:t>u</m:t>
                </m:r>
              </m:e>
              <m:sub>
                <m:r>
                  <w:rPr>
                    <w:rFonts w:ascii="Cambria Math" w:hAnsi="Cambria Math" w:cstheme="minorHAnsi"/>
                    <w:lang w:val="en-US"/>
                  </w:rPr>
                  <m:t>t-k</m:t>
                </m:r>
              </m:sub>
              <m:sup>
                <m:r>
                  <w:rPr>
                    <w:rFonts w:ascii="Cambria Math" w:hAnsi="Cambria Math" w:cstheme="minorHAnsi"/>
                    <w:lang w:val="en-US"/>
                  </w:rPr>
                  <m:t>'</m:t>
                </m:r>
              </m:sup>
            </m:sSubSup>
            <m:r>
              <w:rPr>
                <w:rFonts w:ascii="Cambria Math" w:hAnsi="Cambria Math" w:cstheme="minorHAnsi"/>
                <w:lang w:val="en-US"/>
              </w:rPr>
              <m:t xml:space="preserve"> </m:t>
            </m:r>
          </m:e>
        </m:d>
        <m:r>
          <w:rPr>
            <w:rFonts w:ascii="Cambria Math" w:hAnsi="Cambria Math" w:cstheme="minorHAnsi"/>
            <w:lang w:val="en-US"/>
          </w:rPr>
          <m:t>=0</m:t>
        </m:r>
      </m:oMath>
      <w:r w:rsidR="00337863" w:rsidRPr="009038A6">
        <w:rPr>
          <w:rFonts w:eastAsiaTheme="minorEastAsia" w:cstheme="minorHAnsi"/>
          <w:lang w:val="en-US"/>
        </w:rPr>
        <w:t xml:space="preserve"> for any non-zero k.</w:t>
      </w:r>
    </w:p>
    <w:p w:rsidR="004044A2" w:rsidRDefault="00E40690" w:rsidP="00BD71AA">
      <w:pPr>
        <w:spacing w:before="120" w:after="240" w:line="360" w:lineRule="auto"/>
        <w:jc w:val="both"/>
        <w:rPr>
          <w:rFonts w:eastAsiaTheme="minorEastAsia"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z</m:t>
            </m:r>
          </m:e>
          <m:sub>
            <m:r>
              <w:rPr>
                <w:rFonts w:ascii="Cambria Math" w:hAnsi="Cambria Math" w:cstheme="minorHAnsi"/>
                <w:lang w:val="en-US"/>
              </w:rPr>
              <m:t>t</m:t>
            </m:r>
          </m:sub>
        </m:sSub>
        <m:r>
          <w:rPr>
            <w:rFonts w:ascii="Cambria Math" w:hAnsi="Cambria Math" w:cstheme="minorHAnsi"/>
            <w:lang w:val="en-US"/>
          </w:rPr>
          <m:t>=(INF, IP, REXC,UNEMP, OIL, Uncertainty measures)</m:t>
        </m:r>
      </m:oMath>
      <w:r w:rsidR="004044A2" w:rsidRPr="009038A6">
        <w:rPr>
          <w:rFonts w:eastAsiaTheme="minorEastAsia" w:cstheme="minorHAnsi"/>
          <w:lang w:val="en-US"/>
        </w:rPr>
        <w:t xml:space="preserve"> </w:t>
      </w:r>
    </w:p>
    <w:p w:rsidR="00DF10B4" w:rsidRPr="009038A6" w:rsidRDefault="00337863" w:rsidP="00FE7874">
      <w:pPr>
        <w:autoSpaceDE w:val="0"/>
        <w:autoSpaceDN w:val="0"/>
        <w:adjustRightInd w:val="0"/>
        <w:spacing w:before="120" w:after="120" w:line="360" w:lineRule="auto"/>
        <w:jc w:val="both"/>
        <w:rPr>
          <w:rFonts w:eastAsia="Times New Roman" w:cstheme="minorHAnsi"/>
          <w:lang w:val="en-US" w:eastAsia="tr-TR"/>
        </w:rPr>
      </w:pPr>
      <w:r w:rsidRPr="009038A6">
        <w:rPr>
          <w:rFonts w:eastAsia="Times New Roman" w:cstheme="minorHAnsi"/>
          <w:lang w:val="en-US" w:eastAsia="tr-TR"/>
        </w:rPr>
        <w:t>Our VAR model includes the interest rate uncertainty measure</w:t>
      </w:r>
      <w:r w:rsidR="00AD496E" w:rsidRPr="009038A6">
        <w:rPr>
          <w:rFonts w:eastAsia="Times New Roman" w:cstheme="minorHAnsi"/>
          <w:lang w:val="en-US" w:eastAsia="tr-TR"/>
        </w:rPr>
        <w:t>s</w:t>
      </w:r>
      <w:r w:rsidRPr="009038A6">
        <w:rPr>
          <w:rFonts w:eastAsia="Times New Roman" w:cstheme="minorHAnsi"/>
          <w:lang w:val="en-US" w:eastAsia="tr-TR"/>
        </w:rPr>
        <w:t>, industrial production</w:t>
      </w:r>
      <w:r w:rsidR="004044A2" w:rsidRPr="009038A6">
        <w:rPr>
          <w:rFonts w:eastAsia="Times New Roman" w:cstheme="minorHAnsi"/>
          <w:lang w:val="en-US" w:eastAsia="tr-TR"/>
        </w:rPr>
        <w:t xml:space="preserve"> (IP)</w:t>
      </w:r>
      <w:r w:rsidRPr="009038A6">
        <w:rPr>
          <w:rFonts w:eastAsia="Times New Roman" w:cstheme="minorHAnsi"/>
          <w:lang w:val="en-US" w:eastAsia="tr-TR"/>
        </w:rPr>
        <w:t>, inflation rate</w:t>
      </w:r>
      <w:r w:rsidR="004044A2" w:rsidRPr="009038A6">
        <w:rPr>
          <w:rFonts w:eastAsia="Times New Roman" w:cstheme="minorHAnsi"/>
          <w:lang w:val="en-US" w:eastAsia="tr-TR"/>
        </w:rPr>
        <w:t xml:space="preserve"> (INF)</w:t>
      </w:r>
      <w:r w:rsidRPr="009038A6">
        <w:rPr>
          <w:rFonts w:eastAsia="Times New Roman" w:cstheme="minorHAnsi"/>
          <w:lang w:val="en-US" w:eastAsia="tr-TR"/>
        </w:rPr>
        <w:t>, exchange rate</w:t>
      </w:r>
      <w:r w:rsidR="004044A2" w:rsidRPr="009038A6">
        <w:rPr>
          <w:rFonts w:eastAsia="Times New Roman" w:cstheme="minorHAnsi"/>
          <w:lang w:val="en-US" w:eastAsia="tr-TR"/>
        </w:rPr>
        <w:t xml:space="preserve"> (REXC)</w:t>
      </w:r>
      <w:r w:rsidRPr="009038A6">
        <w:rPr>
          <w:rFonts w:eastAsia="Times New Roman" w:cstheme="minorHAnsi"/>
          <w:lang w:val="en-US" w:eastAsia="tr-TR"/>
        </w:rPr>
        <w:t>, and the unemployment rate</w:t>
      </w:r>
      <w:r w:rsidR="004044A2" w:rsidRPr="009038A6">
        <w:rPr>
          <w:rFonts w:eastAsia="Times New Roman" w:cstheme="minorHAnsi"/>
          <w:lang w:val="en-US" w:eastAsia="tr-TR"/>
        </w:rPr>
        <w:t xml:space="preserve"> (UNEM)</w:t>
      </w:r>
      <w:r w:rsidRPr="009038A6">
        <w:rPr>
          <w:rFonts w:eastAsia="Times New Roman" w:cstheme="minorHAnsi"/>
          <w:lang w:val="en-US" w:eastAsia="tr-TR"/>
        </w:rPr>
        <w:t xml:space="preserve"> as endogenous variables. In addition, we include oil prices </w:t>
      </w:r>
      <w:r w:rsidR="004044A2" w:rsidRPr="009038A6">
        <w:rPr>
          <w:rFonts w:eastAsia="Times New Roman" w:cstheme="minorHAnsi"/>
          <w:lang w:val="en-US" w:eastAsia="tr-TR"/>
        </w:rPr>
        <w:t xml:space="preserve">(OIL) </w:t>
      </w:r>
      <w:r w:rsidRPr="009038A6">
        <w:rPr>
          <w:rFonts w:eastAsia="Times New Roman" w:cstheme="minorHAnsi"/>
          <w:lang w:val="en-US" w:eastAsia="tr-TR"/>
        </w:rPr>
        <w:t xml:space="preserve">as an exogenous variable. We use a CPI-based real effective exchange rate. Since the real effective exchange rate </w:t>
      </w:r>
      <w:r w:rsidR="00DB516D" w:rsidRPr="009038A6">
        <w:rPr>
          <w:rFonts w:eastAsia="Times New Roman" w:cstheme="minorHAnsi"/>
          <w:lang w:val="en-US" w:eastAsia="tr-TR"/>
        </w:rPr>
        <w:t>and unemployment variable are</w:t>
      </w:r>
      <w:r w:rsidRPr="009038A6">
        <w:rPr>
          <w:rFonts w:eastAsia="Times New Roman" w:cstheme="minorHAnsi"/>
          <w:lang w:val="en-US" w:eastAsia="tr-TR"/>
        </w:rPr>
        <w:t xml:space="preserve"> non-stationary at level, we use the first difference of </w:t>
      </w:r>
      <w:r w:rsidR="00DB516D" w:rsidRPr="009038A6">
        <w:rPr>
          <w:rFonts w:eastAsia="Times New Roman" w:cstheme="minorHAnsi"/>
          <w:lang w:val="en-US" w:eastAsia="tr-TR"/>
        </w:rPr>
        <w:t>their</w:t>
      </w:r>
      <w:r w:rsidRPr="009038A6">
        <w:rPr>
          <w:rFonts w:eastAsia="Times New Roman" w:cstheme="minorHAnsi"/>
          <w:lang w:val="en-US" w:eastAsia="tr-TR"/>
        </w:rPr>
        <w:t xml:space="preserve"> log. We use the log of seasonally </w:t>
      </w:r>
      <w:r w:rsidRPr="00D220E7">
        <w:rPr>
          <w:rFonts w:eastAsia="Times New Roman" w:cstheme="minorHAnsi"/>
          <w:lang w:val="en-US" w:eastAsia="tr-TR"/>
        </w:rPr>
        <w:t>adjusted industrial production series. Percentage change in Consumer Price Index presents inflation series. Data on crude oil prices in U.S. dollars per barrel are the price of Dubai Fateh crude oil.</w:t>
      </w:r>
      <w:r w:rsidR="00AD496E" w:rsidRPr="00D220E7">
        <w:rPr>
          <w:rFonts w:eastAsia="Times New Roman" w:cstheme="minorHAnsi"/>
          <w:lang w:val="en-US" w:eastAsia="tr-TR"/>
        </w:rPr>
        <w:t xml:space="preserve"> We focus </w:t>
      </w:r>
      <w:r w:rsidR="007B53F0" w:rsidRPr="00D220E7">
        <w:rPr>
          <w:rFonts w:eastAsia="Times New Roman" w:cstheme="minorHAnsi"/>
          <w:lang w:val="en-US" w:eastAsia="tr-TR"/>
        </w:rPr>
        <w:t xml:space="preserve">on </w:t>
      </w:r>
      <w:r w:rsidR="008C5E6D" w:rsidRPr="00D220E7">
        <w:rPr>
          <w:rFonts w:eastAsia="Times New Roman" w:cstheme="minorHAnsi"/>
          <w:lang w:val="en-US" w:eastAsia="tr-TR"/>
        </w:rPr>
        <w:t>different</w:t>
      </w:r>
      <w:r w:rsidR="008C5E6D" w:rsidRPr="00D220E7">
        <w:rPr>
          <w:rFonts w:cstheme="minorHAnsi"/>
          <w:lang w:val="en-US"/>
        </w:rPr>
        <w:t xml:space="preserve"> yield uncertainties</w:t>
      </w:r>
      <w:r w:rsidR="008D18CD" w:rsidRPr="00D220E7">
        <w:rPr>
          <w:rFonts w:cstheme="minorHAnsi"/>
          <w:lang w:val="en-US"/>
        </w:rPr>
        <w:t xml:space="preserve">. Firstly, </w:t>
      </w:r>
      <w:r w:rsidR="00AD496E" w:rsidRPr="00D220E7">
        <w:rPr>
          <w:rFonts w:cstheme="minorHAnsi"/>
          <w:lang w:val="en-US"/>
        </w:rPr>
        <w:t xml:space="preserve">we </w:t>
      </w:r>
      <w:r w:rsidRPr="00D220E7">
        <w:rPr>
          <w:rFonts w:eastAsia="Times New Roman" w:cstheme="minorHAnsi"/>
          <w:lang w:val="en-US" w:eastAsia="tr-TR"/>
        </w:rPr>
        <w:t>use</w:t>
      </w:r>
      <w:r w:rsidR="00AD496E" w:rsidRPr="00D220E7">
        <w:rPr>
          <w:rFonts w:eastAsia="Times New Roman" w:cstheme="minorHAnsi"/>
          <w:lang w:val="en-US" w:eastAsia="tr-TR"/>
        </w:rPr>
        <w:t xml:space="preserve"> the central bank policy rate</w:t>
      </w:r>
      <w:r w:rsidR="00BB5773" w:rsidRPr="00D220E7">
        <w:rPr>
          <w:rFonts w:eastAsia="Times New Roman" w:cstheme="minorHAnsi"/>
          <w:lang w:val="en-US" w:eastAsia="tr-TR"/>
        </w:rPr>
        <w:t>s</w:t>
      </w:r>
      <w:r w:rsidR="00AD496E" w:rsidRPr="00D220E7">
        <w:rPr>
          <w:rFonts w:eastAsia="Times New Roman" w:cstheme="minorHAnsi"/>
          <w:lang w:val="en-US" w:eastAsia="tr-TR"/>
        </w:rPr>
        <w:t xml:space="preserve"> as a </w:t>
      </w:r>
      <w:r w:rsidRPr="00D220E7">
        <w:rPr>
          <w:rFonts w:eastAsia="Times New Roman" w:cstheme="minorHAnsi"/>
          <w:lang w:val="en-US" w:eastAsia="tr-TR"/>
        </w:rPr>
        <w:t>measure</w:t>
      </w:r>
      <w:r w:rsidR="00AD496E" w:rsidRPr="00D220E7">
        <w:rPr>
          <w:rFonts w:eastAsia="Times New Roman" w:cstheme="minorHAnsi"/>
          <w:lang w:val="en-US" w:eastAsia="tr-TR"/>
        </w:rPr>
        <w:t xml:space="preserve"> of short-term</w:t>
      </w:r>
      <w:r w:rsidRPr="009038A6">
        <w:rPr>
          <w:rFonts w:eastAsia="Times New Roman" w:cstheme="minorHAnsi"/>
          <w:lang w:val="en-US" w:eastAsia="tr-TR"/>
        </w:rPr>
        <w:t xml:space="preserve"> interest rate</w:t>
      </w:r>
      <w:r w:rsidR="00BB5773" w:rsidRPr="009038A6">
        <w:rPr>
          <w:rFonts w:eastAsia="Times New Roman" w:cstheme="minorHAnsi"/>
          <w:lang w:val="en-US" w:eastAsia="tr-TR"/>
        </w:rPr>
        <w:t>s</w:t>
      </w:r>
      <w:r w:rsidR="008B0E09" w:rsidRPr="009038A6">
        <w:rPr>
          <w:rFonts w:eastAsia="Times New Roman" w:cstheme="minorHAnsi"/>
          <w:lang w:val="en-US" w:eastAsia="tr-TR"/>
        </w:rPr>
        <w:t xml:space="preserve"> (</w:t>
      </w:r>
      <w:proofErr w:type="spellStart"/>
      <w:r w:rsidR="008B0E09" w:rsidRPr="009038A6">
        <w:rPr>
          <w:rFonts w:cstheme="minorHAnsi"/>
          <w:lang w:val="en-US"/>
        </w:rPr>
        <w:t>unc_policy</w:t>
      </w:r>
      <w:proofErr w:type="spellEnd"/>
      <w:r w:rsidR="008B0E09" w:rsidRPr="009038A6">
        <w:rPr>
          <w:rFonts w:cstheme="minorHAnsi"/>
          <w:lang w:val="en-US"/>
        </w:rPr>
        <w:t xml:space="preserve"> rate)</w:t>
      </w:r>
      <w:r w:rsidRPr="009038A6">
        <w:rPr>
          <w:rFonts w:eastAsia="Times New Roman" w:cstheme="minorHAnsi"/>
          <w:lang w:val="en-US" w:eastAsia="tr-TR"/>
        </w:rPr>
        <w:t>.</w:t>
      </w:r>
      <w:r w:rsidR="00AD496E" w:rsidRPr="009038A6">
        <w:rPr>
          <w:rFonts w:eastAsia="Times New Roman" w:cstheme="minorHAnsi"/>
          <w:lang w:val="en-US" w:eastAsia="tr-TR"/>
        </w:rPr>
        <w:t xml:space="preserve"> </w:t>
      </w:r>
      <w:r w:rsidR="008C5E6D" w:rsidRPr="009038A6">
        <w:rPr>
          <w:rFonts w:eastAsia="Times New Roman" w:cstheme="minorHAnsi"/>
          <w:lang w:val="en-US" w:eastAsia="tr-TR"/>
        </w:rPr>
        <w:t>In addition, we use 2-year Treasury Bill rates</w:t>
      </w:r>
      <w:r w:rsidR="008B0E09" w:rsidRPr="009038A6">
        <w:rPr>
          <w:rFonts w:cstheme="minorHAnsi"/>
          <w:lang w:val="en-US"/>
        </w:rPr>
        <w:t xml:space="preserve"> (unc_2Y bond yield)</w:t>
      </w:r>
      <w:r w:rsidR="008C5E6D" w:rsidRPr="009038A6">
        <w:rPr>
          <w:rFonts w:eastAsia="Times New Roman" w:cstheme="minorHAnsi"/>
          <w:lang w:val="en-US" w:eastAsia="tr-TR"/>
        </w:rPr>
        <w:t>. Because 2-</w:t>
      </w:r>
      <w:r w:rsidR="008C5E6D" w:rsidRPr="009038A6">
        <w:rPr>
          <w:rFonts w:eastAsia="Times New Roman" w:cstheme="minorHAnsi"/>
          <w:lang w:val="en-US" w:eastAsia="tr-TR"/>
        </w:rPr>
        <w:lastRenderedPageBreak/>
        <w:t xml:space="preserve">year Treasury Bill rates are accepted as a benchmark interest rate in Turkey. Following </w:t>
      </w:r>
      <w:proofErr w:type="spellStart"/>
      <w:r w:rsidR="00AD496E" w:rsidRPr="009038A6">
        <w:rPr>
          <w:rFonts w:eastAsia="Times New Roman" w:cstheme="minorHAnsi"/>
          <w:lang w:val="en-US" w:eastAsia="tr-TR"/>
        </w:rPr>
        <w:t>Istrefi</w:t>
      </w:r>
      <w:proofErr w:type="spellEnd"/>
      <w:r w:rsidR="00AD496E" w:rsidRPr="009038A6">
        <w:rPr>
          <w:rFonts w:eastAsia="Times New Roman" w:cstheme="minorHAnsi"/>
          <w:lang w:val="en-US" w:eastAsia="tr-TR"/>
        </w:rPr>
        <w:t xml:space="preserve"> and </w:t>
      </w:r>
      <w:proofErr w:type="spellStart"/>
      <w:r w:rsidR="00AD496E" w:rsidRPr="009038A6">
        <w:rPr>
          <w:rFonts w:eastAsia="Times New Roman" w:cstheme="minorHAnsi"/>
          <w:lang w:val="en-US" w:eastAsia="tr-TR"/>
        </w:rPr>
        <w:t>Mouabbi</w:t>
      </w:r>
      <w:proofErr w:type="spellEnd"/>
      <w:r w:rsidR="00AD496E" w:rsidRPr="009038A6">
        <w:rPr>
          <w:rFonts w:eastAsia="Times New Roman" w:cstheme="minorHAnsi"/>
          <w:lang w:val="en-US" w:eastAsia="tr-TR"/>
        </w:rPr>
        <w:t xml:space="preserve"> (2016), we use 10-year Treasury Bill rates</w:t>
      </w:r>
      <w:r w:rsidR="00BB5773" w:rsidRPr="009038A6">
        <w:rPr>
          <w:rFonts w:eastAsia="Times New Roman" w:cstheme="minorHAnsi"/>
          <w:lang w:val="en-US" w:eastAsia="tr-TR"/>
        </w:rPr>
        <w:t xml:space="preserve"> as a measure of long-term interest rates</w:t>
      </w:r>
      <w:r w:rsidR="008B0E09" w:rsidRPr="009038A6">
        <w:rPr>
          <w:rFonts w:eastAsia="Times New Roman" w:cstheme="minorHAnsi"/>
          <w:lang w:val="en-US" w:eastAsia="tr-TR"/>
        </w:rPr>
        <w:t xml:space="preserve"> (</w:t>
      </w:r>
      <w:r w:rsidR="008B0E09" w:rsidRPr="009038A6">
        <w:rPr>
          <w:rFonts w:cstheme="minorHAnsi"/>
          <w:lang w:val="en-US"/>
        </w:rPr>
        <w:t>unc_10Y bond yield)</w:t>
      </w:r>
      <w:r w:rsidR="00BB5773" w:rsidRPr="009038A6">
        <w:rPr>
          <w:rFonts w:eastAsia="Times New Roman" w:cstheme="minorHAnsi"/>
          <w:lang w:val="en-US" w:eastAsia="tr-TR"/>
        </w:rPr>
        <w:t>.</w:t>
      </w:r>
    </w:p>
    <w:p w:rsidR="00B705AE" w:rsidRPr="009038A6" w:rsidRDefault="008D18CD" w:rsidP="00FE7874">
      <w:pPr>
        <w:autoSpaceDE w:val="0"/>
        <w:autoSpaceDN w:val="0"/>
        <w:adjustRightInd w:val="0"/>
        <w:spacing w:before="120" w:after="120" w:line="360" w:lineRule="auto"/>
        <w:jc w:val="both"/>
        <w:rPr>
          <w:rFonts w:cstheme="minorHAnsi"/>
          <w:lang w:val="en-US"/>
        </w:rPr>
      </w:pPr>
      <w:r w:rsidRPr="009038A6">
        <w:rPr>
          <w:rFonts w:eastAsia="Times New Roman" w:cstheme="minorHAnsi"/>
          <w:lang w:val="en-US" w:eastAsia="tr-TR"/>
        </w:rPr>
        <w:t>To investigate whether the uncertainty in US monetary policy is a matter for the Turkish economy, we use</w:t>
      </w:r>
      <w:r w:rsidRPr="009038A6">
        <w:rPr>
          <w:rFonts w:cstheme="minorHAnsi"/>
          <w:lang w:val="en-US"/>
        </w:rPr>
        <w:t xml:space="preserve"> </w:t>
      </w:r>
      <w:r w:rsidR="007B53F0" w:rsidRPr="009038A6">
        <w:rPr>
          <w:rFonts w:cstheme="minorHAnsi"/>
          <w:lang w:val="en-US"/>
        </w:rPr>
        <w:t xml:space="preserve">the </w:t>
      </w:r>
      <w:r w:rsidR="00654660" w:rsidRPr="009038A6">
        <w:rPr>
          <w:rFonts w:cstheme="minorHAnsi"/>
          <w:lang w:val="en-US"/>
        </w:rPr>
        <w:t xml:space="preserve">MPU index for </w:t>
      </w:r>
      <w:r w:rsidR="007B53F0" w:rsidRPr="009038A6">
        <w:rPr>
          <w:rFonts w:cstheme="minorHAnsi"/>
          <w:lang w:val="en-US"/>
        </w:rPr>
        <w:t xml:space="preserve">the </w:t>
      </w:r>
      <w:r w:rsidR="00654660" w:rsidRPr="009038A6">
        <w:rPr>
          <w:rFonts w:cstheme="minorHAnsi"/>
          <w:lang w:val="en-US"/>
        </w:rPr>
        <w:t>US economy obtained from Baker, Bloom, and Davis (2016)</w:t>
      </w:r>
      <w:r w:rsidR="008B0E09" w:rsidRPr="009038A6">
        <w:rPr>
          <w:rFonts w:cstheme="minorHAnsi"/>
          <w:lang w:val="en-US"/>
        </w:rPr>
        <w:t xml:space="preserve"> (</w:t>
      </w:r>
      <w:proofErr w:type="spellStart"/>
      <w:r w:rsidR="008B0E09" w:rsidRPr="009038A6">
        <w:rPr>
          <w:rFonts w:cstheme="minorHAnsi"/>
          <w:lang w:val="en-US"/>
        </w:rPr>
        <w:t>mpuusa</w:t>
      </w:r>
      <w:proofErr w:type="spellEnd"/>
      <w:r w:rsidR="008B0E09" w:rsidRPr="009038A6">
        <w:rPr>
          <w:rFonts w:cstheme="minorHAnsi"/>
          <w:lang w:val="en-US"/>
        </w:rPr>
        <w:t>)</w:t>
      </w:r>
      <w:r w:rsidR="00654660" w:rsidRPr="009038A6">
        <w:rPr>
          <w:rFonts w:cstheme="minorHAnsi"/>
          <w:lang w:val="en-US"/>
        </w:rPr>
        <w:t xml:space="preserve">. </w:t>
      </w:r>
      <w:r w:rsidR="00394E9F" w:rsidRPr="009038A6">
        <w:rPr>
          <w:rFonts w:cstheme="minorHAnsi"/>
          <w:lang w:val="en-US"/>
        </w:rPr>
        <w:t xml:space="preserve">To construct </w:t>
      </w:r>
      <w:r w:rsidR="007B53F0" w:rsidRPr="009038A6">
        <w:rPr>
          <w:rFonts w:cstheme="minorHAnsi"/>
          <w:lang w:val="en-US"/>
        </w:rPr>
        <w:t xml:space="preserve">the </w:t>
      </w:r>
      <w:r w:rsidR="00394E9F" w:rsidRPr="009038A6">
        <w:rPr>
          <w:rFonts w:cstheme="minorHAnsi"/>
          <w:lang w:val="en-US"/>
        </w:rPr>
        <w:t xml:space="preserve">MPU index, they identified the occurrence of certain keywords in </w:t>
      </w:r>
      <w:r w:rsidR="00654660" w:rsidRPr="009038A6">
        <w:rPr>
          <w:rFonts w:cstheme="minorHAnsi"/>
          <w:lang w:val="en-US"/>
        </w:rPr>
        <w:t xml:space="preserve">newspaper </w:t>
      </w:r>
      <w:r w:rsidR="00394E9F" w:rsidRPr="009038A6">
        <w:rPr>
          <w:rFonts w:cstheme="minorHAnsi"/>
          <w:lang w:val="en-US"/>
        </w:rPr>
        <w:t>articles</w:t>
      </w:r>
      <w:r w:rsidR="00654660" w:rsidRPr="009038A6">
        <w:rPr>
          <w:rFonts w:cstheme="minorHAnsi"/>
          <w:lang w:val="en-US"/>
        </w:rPr>
        <w:t>.</w:t>
      </w:r>
    </w:p>
    <w:p w:rsidR="00337863" w:rsidRPr="009038A6" w:rsidRDefault="00337863" w:rsidP="00FE7874">
      <w:pPr>
        <w:spacing w:before="120" w:after="120" w:line="360" w:lineRule="auto"/>
        <w:jc w:val="both"/>
        <w:rPr>
          <w:rFonts w:eastAsia="Times New Roman" w:cstheme="minorHAnsi"/>
          <w:lang w:val="en-US" w:eastAsia="tr-TR"/>
        </w:rPr>
      </w:pPr>
      <w:r w:rsidRPr="009038A6">
        <w:rPr>
          <w:rFonts w:eastAsia="Times New Roman" w:cstheme="minorHAnsi"/>
          <w:lang w:val="en-US" w:eastAsia="tr-TR"/>
        </w:rPr>
        <w:t xml:space="preserve">In the literature, different methods are used to measure uncertainty (see </w:t>
      </w:r>
      <w:proofErr w:type="spellStart"/>
      <w:r w:rsidRPr="009038A6">
        <w:rPr>
          <w:rFonts w:eastAsia="Times New Roman" w:cstheme="minorHAnsi"/>
          <w:lang w:val="en-US" w:eastAsia="tr-TR"/>
        </w:rPr>
        <w:t>Lensink</w:t>
      </w:r>
      <w:proofErr w:type="spellEnd"/>
      <w:r w:rsidRPr="009038A6">
        <w:rPr>
          <w:rFonts w:eastAsia="Times New Roman" w:cstheme="minorHAnsi"/>
          <w:lang w:val="en-US" w:eastAsia="tr-TR"/>
        </w:rPr>
        <w:t>, 2002). Since the advantages (see Grier and Perry 2000), and follow</w:t>
      </w:r>
      <w:r w:rsidR="00926479" w:rsidRPr="009038A6">
        <w:rPr>
          <w:rFonts w:eastAsia="Times New Roman" w:cstheme="minorHAnsi"/>
          <w:lang w:val="en-US" w:eastAsia="tr-TR"/>
        </w:rPr>
        <w:t xml:space="preserve">ing </w:t>
      </w:r>
      <w:proofErr w:type="spellStart"/>
      <w:r w:rsidR="00926479" w:rsidRPr="009038A6">
        <w:rPr>
          <w:rFonts w:eastAsia="Times New Roman" w:cstheme="minorHAnsi"/>
          <w:lang w:val="en-US" w:eastAsia="tr-TR"/>
        </w:rPr>
        <w:t>Caporale</w:t>
      </w:r>
      <w:proofErr w:type="spellEnd"/>
      <w:r w:rsidR="00926479" w:rsidRPr="009038A6">
        <w:rPr>
          <w:rFonts w:eastAsia="Times New Roman" w:cstheme="minorHAnsi"/>
          <w:lang w:val="en-US" w:eastAsia="tr-TR"/>
        </w:rPr>
        <w:t xml:space="preserve"> and McKiernan (1998</w:t>
      </w:r>
      <w:r w:rsidRPr="009038A6">
        <w:rPr>
          <w:rFonts w:eastAsia="Times New Roman" w:cstheme="minorHAnsi"/>
          <w:lang w:val="en-US" w:eastAsia="tr-TR"/>
        </w:rPr>
        <w:t xml:space="preserve">) we use the generalized autoregressive conditional </w:t>
      </w:r>
      <w:proofErr w:type="spellStart"/>
      <w:r w:rsidRPr="009038A6">
        <w:rPr>
          <w:rFonts w:eastAsia="Times New Roman" w:cstheme="minorHAnsi"/>
          <w:lang w:val="en-US" w:eastAsia="tr-TR"/>
        </w:rPr>
        <w:t>heteroskedasticity</w:t>
      </w:r>
      <w:proofErr w:type="spellEnd"/>
      <w:r w:rsidRPr="009038A6">
        <w:rPr>
          <w:rFonts w:eastAsia="Times New Roman" w:cstheme="minorHAnsi"/>
          <w:lang w:val="en-US" w:eastAsia="tr-TR"/>
        </w:rPr>
        <w:t xml:space="preserve"> (GARCH) models to measure uncertainty in the interest rates. We use the following GARCH model provided by </w:t>
      </w:r>
      <w:proofErr w:type="spellStart"/>
      <w:r w:rsidRPr="009038A6">
        <w:rPr>
          <w:rFonts w:eastAsia="Times New Roman" w:cstheme="minorHAnsi"/>
          <w:lang w:val="en-US" w:eastAsia="tr-TR"/>
        </w:rPr>
        <w:t>Bollerslev</w:t>
      </w:r>
      <w:proofErr w:type="spellEnd"/>
      <w:r w:rsidRPr="009038A6">
        <w:rPr>
          <w:rFonts w:eastAsia="Times New Roman" w:cstheme="minorHAnsi"/>
          <w:lang w:val="en-US" w:eastAsia="tr-TR"/>
        </w:rPr>
        <w:t xml:space="preserve"> (1986) to achieve the interest rate uncertainty series. The time-varying variance of the unforeseen part of the GARCH model (</w:t>
      </w:r>
      <w:proofErr w:type="spellStart"/>
      <w:r w:rsidRPr="009038A6">
        <w:rPr>
          <w:rFonts w:eastAsia="Times New Roman" w:cstheme="minorHAnsi"/>
          <w:lang w:val="en-US" w:eastAsia="tr-TR"/>
        </w:rPr>
        <w:t>h</w:t>
      </w:r>
      <w:r w:rsidRPr="00337BD5">
        <w:rPr>
          <w:rFonts w:eastAsia="Times New Roman" w:cstheme="minorHAnsi"/>
          <w:vertAlign w:val="subscript"/>
          <w:lang w:val="en-US" w:eastAsia="tr-TR"/>
        </w:rPr>
        <w:t>t</w:t>
      </w:r>
      <w:proofErr w:type="spellEnd"/>
      <w:r w:rsidRPr="009038A6">
        <w:rPr>
          <w:rFonts w:eastAsia="Times New Roman" w:cstheme="minorHAnsi"/>
          <w:lang w:val="en-US" w:eastAsia="tr-TR"/>
        </w:rPr>
        <w:t xml:space="preserve">) is taken as uncertainty. It is assumed that </w:t>
      </w:r>
      <w:proofErr w:type="spellStart"/>
      <w:r w:rsidRPr="009038A6">
        <w:rPr>
          <w:rFonts w:eastAsia="Times New Roman" w:cstheme="minorHAnsi"/>
          <w:lang w:val="en-US" w:eastAsia="tr-TR"/>
        </w:rPr>
        <w:t>h</w:t>
      </w:r>
      <w:r w:rsidRPr="00337BD5">
        <w:rPr>
          <w:rFonts w:eastAsia="Times New Roman" w:cstheme="minorHAnsi"/>
          <w:vertAlign w:val="subscript"/>
          <w:lang w:val="en-US" w:eastAsia="tr-TR"/>
        </w:rPr>
        <w:t>t</w:t>
      </w:r>
      <w:proofErr w:type="spellEnd"/>
      <w:r w:rsidRPr="00337BD5">
        <w:rPr>
          <w:rFonts w:eastAsia="Times New Roman" w:cstheme="minorHAnsi"/>
          <w:vertAlign w:val="subscript"/>
          <w:lang w:val="en-US" w:eastAsia="tr-TR"/>
        </w:rPr>
        <w:t xml:space="preserve"> </w:t>
      </w:r>
      <w:r w:rsidRPr="009038A6">
        <w:rPr>
          <w:rFonts w:eastAsia="Times New Roman" w:cstheme="minorHAnsi"/>
          <w:lang w:val="en-US" w:eastAsia="tr-TR"/>
        </w:rPr>
        <w:t>is a linear function of past squared errors and past variances.</w:t>
      </w:r>
    </w:p>
    <w:p w:rsidR="00337863" w:rsidRPr="009038A6" w:rsidRDefault="00337863" w:rsidP="00FE7874">
      <w:pPr>
        <w:spacing w:before="120" w:after="120" w:line="360" w:lineRule="auto"/>
        <w:jc w:val="both"/>
        <w:rPr>
          <w:rFonts w:eastAsia="Times New Roman" w:cstheme="minorHAnsi"/>
          <w:lang w:val="en-US" w:eastAsia="tr-TR"/>
        </w:rPr>
      </w:pPr>
    </w:p>
    <w:p w:rsidR="00337863" w:rsidRPr="009038A6" w:rsidRDefault="00E40690" w:rsidP="00FE7874">
      <w:pPr>
        <w:spacing w:before="120" w:after="120" w:line="360" w:lineRule="auto"/>
        <w:jc w:val="both"/>
        <w:rPr>
          <w:rFonts w:cstheme="minorHAnsi"/>
          <w:lang w:val="en-US"/>
        </w:rPr>
      </w:pPr>
      <m:oMath>
        <m:sSub>
          <m:sSubPr>
            <m:ctrlPr>
              <w:rPr>
                <w:rFonts w:ascii="Cambria Math" w:hAnsi="Cambria Math" w:cstheme="minorHAnsi"/>
                <w:lang w:val="en-US"/>
              </w:rPr>
            </m:ctrlPr>
          </m:sSubPr>
          <m:e>
            <m:r>
              <m:rPr>
                <m:sty m:val="p"/>
              </m:rPr>
              <w:rPr>
                <w:rFonts w:ascii="Cambria Math" w:hAnsi="Cambria Math" w:cstheme="minorHAnsi"/>
                <w:lang w:val="en-US"/>
              </w:rPr>
              <m:t>y</m:t>
            </m:r>
          </m:e>
          <m:sub>
            <m:r>
              <m:rPr>
                <m:sty m:val="p"/>
              </m:rPr>
              <w:rPr>
                <w:rFonts w:ascii="Cambria Math" w:hAnsi="Cambria Math" w:cstheme="minorHAnsi"/>
                <w:lang w:val="en-US"/>
              </w:rPr>
              <m:t>t</m:t>
            </m:r>
          </m:sub>
        </m:sSub>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0</m:t>
            </m:r>
          </m:sub>
        </m:sSub>
        <m:r>
          <m:rPr>
            <m:sty m:val="p"/>
          </m:rPr>
          <w:rPr>
            <w:rFonts w:ascii="Cambria Math" w:hAnsi="Cambria Math" w:cstheme="minorHAnsi"/>
            <w:lang w:val="en-US"/>
          </w:rPr>
          <m:t>+</m:t>
        </m:r>
        <m:nary>
          <m:naryPr>
            <m:chr m:val="∑"/>
            <m:limLoc m:val="subSup"/>
            <m:ctrlPr>
              <w:rPr>
                <w:rFonts w:ascii="Cambria Math" w:hAnsi="Cambria Math" w:cstheme="minorHAnsi"/>
                <w:lang w:val="en-US"/>
              </w:rPr>
            </m:ctrlPr>
          </m:naryPr>
          <m:sub>
            <m:r>
              <m:rPr>
                <m:sty m:val="p"/>
              </m:rPr>
              <w:rPr>
                <w:rFonts w:ascii="Cambria Math" w:hAnsi="Cambria Math" w:cstheme="minorHAnsi"/>
                <w:lang w:val="en-US"/>
              </w:rPr>
              <m:t>j=1</m:t>
            </m:r>
          </m:sub>
          <m:sup>
            <m:r>
              <m:rPr>
                <m:sty m:val="p"/>
              </m:rPr>
              <w:rPr>
                <w:rFonts w:ascii="Cambria Math" w:hAnsi="Cambria Math" w:cstheme="minorHAnsi"/>
                <w:lang w:val="en-US"/>
              </w:rPr>
              <m:t>q</m:t>
            </m:r>
          </m:sup>
          <m:e>
            <m:sSub>
              <m:sSubPr>
                <m:ctrlPr>
                  <w:rPr>
                    <w:rFonts w:ascii="Cambria Math" w:hAnsi="Cambria Math" w:cstheme="minorHAnsi"/>
                    <w:lang w:val="en-US"/>
                  </w:rPr>
                </m:ctrlPr>
              </m:sSubPr>
              <m:e>
                <m:r>
                  <m:rPr>
                    <m:sty m:val="p"/>
                  </m:rPr>
                  <w:rPr>
                    <w:rFonts w:ascii="Cambria Math" w:hAnsi="Cambria Math" w:cstheme="minorHAnsi"/>
                    <w:lang w:val="en-US"/>
                  </w:rPr>
                  <m:t>β</m:t>
                </m:r>
              </m:e>
              <m:sub>
                <m:r>
                  <m:rPr>
                    <m:sty m:val="p"/>
                  </m:rPr>
                  <w:rPr>
                    <w:rFonts w:ascii="Cambria Math" w:hAnsi="Cambria Math" w:cstheme="minorHAnsi"/>
                    <w:lang w:val="en-US"/>
                  </w:rPr>
                  <m:t>j</m:t>
                </m:r>
              </m:sub>
            </m:sSub>
            <m:sSub>
              <m:sSubPr>
                <m:ctrlPr>
                  <w:rPr>
                    <w:rFonts w:ascii="Cambria Math" w:hAnsi="Cambria Math" w:cstheme="minorHAnsi"/>
                    <w:lang w:val="en-US"/>
                  </w:rPr>
                </m:ctrlPr>
              </m:sSubPr>
              <m:e>
                <m:r>
                  <m:rPr>
                    <m:sty m:val="p"/>
                  </m:rPr>
                  <w:rPr>
                    <w:rFonts w:ascii="Cambria Math" w:hAnsi="Cambria Math" w:cstheme="minorHAnsi"/>
                    <w:lang w:val="en-US"/>
                  </w:rPr>
                  <m:t>y</m:t>
                </m:r>
              </m:e>
              <m:sub>
                <m:r>
                  <m:rPr>
                    <m:sty m:val="p"/>
                  </m:rPr>
                  <w:rPr>
                    <w:rFonts w:ascii="Cambria Math" w:hAnsi="Cambria Math" w:cstheme="minorHAnsi"/>
                    <w:lang w:val="en-US"/>
                  </w:rPr>
                  <m:t>t-1</m:t>
                </m:r>
              </m:sub>
            </m:sSub>
          </m:e>
        </m:nary>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ε</m:t>
            </m:r>
          </m:e>
          <m:sub>
            <m:r>
              <m:rPr>
                <m:sty m:val="p"/>
              </m:rPr>
              <w:rPr>
                <w:rFonts w:ascii="Cambria Math" w:hAnsi="Cambria Math" w:cstheme="minorHAnsi"/>
                <w:lang w:val="en-US"/>
              </w:rPr>
              <m:t>t</m:t>
            </m:r>
          </m:sub>
        </m:sSub>
      </m:oMath>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t xml:space="preserve">  </w:t>
      </w:r>
      <w:r w:rsidR="00337863" w:rsidRPr="009038A6">
        <w:rPr>
          <w:rFonts w:cstheme="minorHAnsi"/>
          <w:lang w:val="en-US"/>
        </w:rPr>
        <w:tab/>
      </w:r>
      <w:r w:rsidR="00337863" w:rsidRPr="009038A6">
        <w:rPr>
          <w:rFonts w:cstheme="minorHAnsi"/>
          <w:lang w:val="en-US"/>
        </w:rPr>
        <w:tab/>
        <w:t>(1)</w:t>
      </w:r>
    </w:p>
    <w:p w:rsidR="00337863" w:rsidRPr="009038A6" w:rsidRDefault="00E40690" w:rsidP="00FE7874">
      <w:pPr>
        <w:spacing w:before="120" w:after="120" w:line="360" w:lineRule="auto"/>
        <w:jc w:val="both"/>
        <w:rPr>
          <w:rFonts w:cstheme="minorHAnsi"/>
          <w:lang w:val="en-US"/>
        </w:rPr>
      </w:pPr>
      <m:oMath>
        <m:sSubSup>
          <m:sSubSupPr>
            <m:ctrlPr>
              <w:rPr>
                <w:rFonts w:ascii="Cambria Math" w:hAnsi="Cambria Math" w:cstheme="minorHAnsi"/>
                <w:lang w:val="en-US"/>
              </w:rPr>
            </m:ctrlPr>
          </m:sSubSupPr>
          <m:e>
            <m:r>
              <m:rPr>
                <m:sty m:val="p"/>
              </m:rPr>
              <w:rPr>
                <w:rFonts w:ascii="Cambria Math" w:hAnsi="Cambria Math" w:cstheme="minorHAnsi"/>
                <w:lang w:val="en-US"/>
              </w:rPr>
              <m:t>h</m:t>
            </m:r>
          </m:e>
          <m:sub>
            <m:r>
              <m:rPr>
                <m:sty m:val="p"/>
              </m:rPr>
              <w:rPr>
                <w:rFonts w:ascii="Cambria Math" w:hAnsi="Cambria Math" w:cstheme="minorHAnsi"/>
                <w:lang w:val="en-US"/>
              </w:rPr>
              <m:t>t</m:t>
            </m:r>
          </m:sub>
          <m:sup>
            <m:r>
              <m:rPr>
                <m:sty m:val="p"/>
              </m:rPr>
              <w:rPr>
                <w:rFonts w:ascii="Cambria Math" w:hAnsi="Cambria Math" w:cstheme="minorHAnsi"/>
                <w:lang w:val="en-US"/>
              </w:rPr>
              <m:t>2</m:t>
            </m:r>
          </m:sup>
        </m:sSubSup>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α</m:t>
            </m:r>
          </m:e>
          <m:sub>
            <m:r>
              <m:rPr>
                <m:sty m:val="p"/>
              </m:rPr>
              <w:rPr>
                <w:rFonts w:ascii="Cambria Math" w:hAnsi="Cambria Math" w:cstheme="minorHAnsi"/>
                <w:lang w:val="en-US"/>
              </w:rPr>
              <m:t>0</m:t>
            </m:r>
          </m:sub>
        </m:sSub>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α</m:t>
            </m:r>
          </m:e>
          <m:sub>
            <m:r>
              <m:rPr>
                <m:sty m:val="p"/>
              </m:rPr>
              <w:rPr>
                <w:rFonts w:ascii="Cambria Math" w:hAnsi="Cambria Math" w:cstheme="minorHAnsi"/>
                <w:lang w:val="en-US"/>
              </w:rPr>
              <m:t>1</m:t>
            </m:r>
          </m:sub>
        </m:sSub>
        <m:sSubSup>
          <m:sSubSupPr>
            <m:ctrlPr>
              <w:rPr>
                <w:rFonts w:ascii="Cambria Math" w:hAnsi="Cambria Math" w:cstheme="minorHAnsi"/>
                <w:lang w:val="en-US"/>
              </w:rPr>
            </m:ctrlPr>
          </m:sSubSupPr>
          <m:e>
            <m:r>
              <m:rPr>
                <m:sty m:val="p"/>
              </m:rPr>
              <w:rPr>
                <w:rFonts w:ascii="Cambria Math" w:hAnsi="Cambria Math" w:cstheme="minorHAnsi"/>
                <w:lang w:val="en-US"/>
              </w:rPr>
              <m:t>ε</m:t>
            </m:r>
          </m:e>
          <m:sub>
            <m:r>
              <m:rPr>
                <m:sty m:val="p"/>
              </m:rPr>
              <w:rPr>
                <w:rFonts w:ascii="Cambria Math" w:hAnsi="Cambria Math" w:cstheme="minorHAnsi"/>
                <w:lang w:val="en-US"/>
              </w:rPr>
              <m:t>t-1</m:t>
            </m:r>
          </m:sub>
          <m:sup>
            <m:r>
              <m:rPr>
                <m:sty m:val="p"/>
              </m:rPr>
              <w:rPr>
                <w:rFonts w:ascii="Cambria Math" w:hAnsi="Cambria Math" w:cstheme="minorHAnsi"/>
                <w:lang w:val="en-US"/>
              </w:rPr>
              <m:t>2</m:t>
            </m:r>
          </m:sup>
        </m:sSubSup>
        <m:r>
          <m:rPr>
            <m:sty m:val="p"/>
          </m:rPr>
          <w:rPr>
            <w:rFonts w:ascii="Cambria Math" w:hAnsi="Cambria Math" w:cstheme="minorHAnsi"/>
            <w:lang w:val="en-US"/>
          </w:rPr>
          <m:t>+</m:t>
        </m:r>
        <m:sSub>
          <m:sSubPr>
            <m:ctrlPr>
              <w:rPr>
                <w:rFonts w:ascii="Cambria Math" w:hAnsi="Cambria Math" w:cstheme="minorHAnsi"/>
                <w:lang w:val="en-US"/>
              </w:rPr>
            </m:ctrlPr>
          </m:sSubPr>
          <m:e>
            <m:r>
              <m:rPr>
                <m:sty m:val="p"/>
              </m:rPr>
              <w:rPr>
                <w:rFonts w:ascii="Cambria Math" w:hAnsi="Cambria Math" w:cstheme="minorHAnsi"/>
                <w:lang w:val="en-US"/>
              </w:rPr>
              <m:t>α</m:t>
            </m:r>
          </m:e>
          <m:sub>
            <m:r>
              <m:rPr>
                <m:sty m:val="p"/>
              </m:rPr>
              <w:rPr>
                <w:rFonts w:ascii="Cambria Math" w:hAnsi="Cambria Math" w:cstheme="minorHAnsi"/>
                <w:lang w:val="en-US"/>
              </w:rPr>
              <m:t>2</m:t>
            </m:r>
          </m:sub>
        </m:sSub>
        <m:sSubSup>
          <m:sSubSupPr>
            <m:ctrlPr>
              <w:rPr>
                <w:rFonts w:ascii="Cambria Math" w:hAnsi="Cambria Math" w:cstheme="minorHAnsi"/>
                <w:lang w:val="en-US"/>
              </w:rPr>
            </m:ctrlPr>
          </m:sSubSupPr>
          <m:e>
            <m:r>
              <m:rPr>
                <m:sty m:val="p"/>
              </m:rPr>
              <w:rPr>
                <w:rFonts w:ascii="Cambria Math" w:hAnsi="Cambria Math" w:cstheme="minorHAnsi"/>
                <w:lang w:val="en-US"/>
              </w:rPr>
              <m:t>h</m:t>
            </m:r>
          </m:e>
          <m:sub>
            <m:r>
              <m:rPr>
                <m:sty m:val="p"/>
              </m:rPr>
              <w:rPr>
                <w:rFonts w:ascii="Cambria Math" w:hAnsi="Cambria Math" w:cstheme="minorHAnsi"/>
                <w:lang w:val="en-US"/>
              </w:rPr>
              <m:t>t-1</m:t>
            </m:r>
          </m:sub>
          <m:sup>
            <m:r>
              <m:rPr>
                <m:sty m:val="p"/>
              </m:rPr>
              <w:rPr>
                <w:rFonts w:ascii="Cambria Math" w:hAnsi="Cambria Math" w:cstheme="minorHAnsi"/>
                <w:lang w:val="en-US"/>
              </w:rPr>
              <m:t>2</m:t>
            </m:r>
          </m:sup>
        </m:sSubSup>
      </m:oMath>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r>
      <w:r w:rsidR="00337863" w:rsidRPr="009038A6">
        <w:rPr>
          <w:rFonts w:cstheme="minorHAnsi"/>
          <w:lang w:val="en-US"/>
        </w:rPr>
        <w:tab/>
        <w:t xml:space="preserve">  </w:t>
      </w:r>
      <w:r w:rsidR="00337863" w:rsidRPr="009038A6">
        <w:rPr>
          <w:rFonts w:cstheme="minorHAnsi"/>
          <w:lang w:val="en-US"/>
        </w:rPr>
        <w:tab/>
      </w:r>
      <w:r w:rsidR="00337863" w:rsidRPr="009038A6">
        <w:rPr>
          <w:rFonts w:cstheme="minorHAnsi"/>
          <w:lang w:val="en-US"/>
        </w:rPr>
        <w:tab/>
        <w:t>(2)</w:t>
      </w:r>
    </w:p>
    <w:p w:rsidR="004571BD" w:rsidRPr="009038A6" w:rsidRDefault="004571BD" w:rsidP="00FE7874">
      <w:pPr>
        <w:spacing w:before="120" w:after="120" w:line="360" w:lineRule="auto"/>
        <w:jc w:val="both"/>
        <w:rPr>
          <w:rFonts w:cstheme="minorHAnsi"/>
          <w:lang w:val="en-US"/>
        </w:rPr>
      </w:pPr>
    </w:p>
    <w:p w:rsidR="00337863" w:rsidRPr="009038A6" w:rsidRDefault="00337863" w:rsidP="00FE7874">
      <w:pPr>
        <w:spacing w:before="120" w:after="120" w:line="360" w:lineRule="auto"/>
        <w:jc w:val="both"/>
        <w:rPr>
          <w:rFonts w:cstheme="minorHAnsi"/>
          <w:lang w:val="en-US"/>
        </w:rPr>
      </w:pPr>
      <w:r w:rsidRPr="009038A6">
        <w:rPr>
          <w:rFonts w:cstheme="minorHAnsi"/>
          <w:lang w:val="en-US"/>
        </w:rPr>
        <w:t xml:space="preserve">where </w:t>
      </w:r>
      <m:oMath>
        <m:sSub>
          <m:sSubPr>
            <m:ctrlPr>
              <w:rPr>
                <w:rFonts w:ascii="Cambria Math" w:hAnsi="Cambria Math" w:cstheme="minorHAnsi"/>
                <w:lang w:val="en-US"/>
              </w:rPr>
            </m:ctrlPr>
          </m:sSubPr>
          <m:e>
            <m:r>
              <m:rPr>
                <m:sty m:val="p"/>
              </m:rPr>
              <w:rPr>
                <w:rFonts w:ascii="Cambria Math" w:hAnsi="Cambria Math" w:cstheme="minorHAnsi"/>
                <w:lang w:val="en-US"/>
              </w:rPr>
              <m:t>y</m:t>
            </m:r>
          </m:e>
          <m:sub>
            <m:r>
              <m:rPr>
                <m:sty m:val="p"/>
              </m:rPr>
              <w:rPr>
                <w:rFonts w:ascii="Cambria Math" w:hAnsi="Cambria Math" w:cstheme="minorHAnsi"/>
                <w:lang w:val="en-US"/>
              </w:rPr>
              <m:t>t</m:t>
            </m:r>
          </m:sub>
        </m:sSub>
      </m:oMath>
      <w:r w:rsidRPr="009038A6">
        <w:rPr>
          <w:rFonts w:cstheme="minorHAnsi"/>
          <w:lang w:val="en-US"/>
        </w:rPr>
        <w:t xml:space="preserve"> is the variable the volatility of which we desire to find, </w:t>
      </w:r>
      <m:oMath>
        <m:sSub>
          <m:sSubPr>
            <m:ctrlPr>
              <w:rPr>
                <w:rFonts w:ascii="Cambria Math" w:hAnsi="Cambria Math" w:cstheme="minorHAnsi"/>
                <w:lang w:val="en-US"/>
              </w:rPr>
            </m:ctrlPr>
          </m:sSubPr>
          <m:e>
            <m:r>
              <m:rPr>
                <m:sty m:val="p"/>
              </m:rPr>
              <w:rPr>
                <w:rFonts w:ascii="Cambria Math" w:hAnsi="Cambria Math" w:cstheme="minorHAnsi"/>
                <w:lang w:val="en-US"/>
              </w:rPr>
              <m:t>ε</m:t>
            </m:r>
          </m:e>
          <m:sub>
            <m:r>
              <m:rPr>
                <m:sty m:val="p"/>
              </m:rPr>
              <w:rPr>
                <w:rFonts w:ascii="Cambria Math" w:hAnsi="Cambria Math" w:cstheme="minorHAnsi"/>
                <w:lang w:val="en-US"/>
              </w:rPr>
              <m:t>t</m:t>
            </m:r>
          </m:sub>
        </m:sSub>
      </m:oMath>
      <w:r w:rsidRPr="009038A6">
        <w:rPr>
          <w:rFonts w:cstheme="minorHAnsi"/>
          <w:lang w:val="en-US"/>
        </w:rPr>
        <w:t xml:space="preserve"> is stochastic processes with zero mean. </w:t>
      </w:r>
      <m:oMath>
        <m:sSub>
          <m:sSubPr>
            <m:ctrlPr>
              <w:rPr>
                <w:rFonts w:ascii="Cambria Math" w:hAnsi="Cambria Math" w:cstheme="minorHAnsi"/>
                <w:lang w:val="en-US"/>
              </w:rPr>
            </m:ctrlPr>
          </m:sSubPr>
          <m:e>
            <m:r>
              <m:rPr>
                <m:sty m:val="p"/>
              </m:rPr>
              <w:rPr>
                <w:rFonts w:ascii="Cambria Math" w:hAnsi="Cambria Math" w:cstheme="minorHAnsi"/>
                <w:lang w:val="en-US"/>
              </w:rPr>
              <m:t>h</m:t>
            </m:r>
          </m:e>
          <m:sub>
            <m:r>
              <m:rPr>
                <m:sty m:val="p"/>
              </m:rPr>
              <w:rPr>
                <w:rFonts w:ascii="Cambria Math" w:hAnsi="Cambria Math" w:cstheme="minorHAnsi"/>
                <w:lang w:val="en-US"/>
              </w:rPr>
              <m:t>t</m:t>
            </m:r>
          </m:sub>
        </m:sSub>
      </m:oMath>
      <w:r w:rsidRPr="009038A6">
        <w:rPr>
          <w:rFonts w:cstheme="minorHAnsi"/>
          <w:lang w:val="en-US"/>
        </w:rPr>
        <w:t xml:space="preserve"> is conditional variance of interest rate.</w:t>
      </w:r>
    </w:p>
    <w:p w:rsidR="00BB6AC4" w:rsidRPr="009038A6" w:rsidRDefault="00337863" w:rsidP="00FE7874">
      <w:pPr>
        <w:spacing w:before="120" w:after="120" w:line="360" w:lineRule="auto"/>
        <w:jc w:val="both"/>
        <w:rPr>
          <w:rFonts w:cstheme="minorHAnsi"/>
          <w:lang w:val="en-US"/>
        </w:rPr>
      </w:pPr>
      <w:r w:rsidRPr="009038A6">
        <w:rPr>
          <w:rFonts w:cstheme="minorHAnsi"/>
          <w:lang w:val="en-US"/>
        </w:rPr>
        <w:t>Since implicit inflation targeting started to be implemented at the beginning of 2001, we use monthly data from 2002:01 to 2020:12. The data are gathered from International Monetary Fund-International Financial Statistics (IFS) and the CBRT’s Electronic Data Delivery System (EDDS).</w:t>
      </w:r>
      <w:r w:rsidR="00BB5773" w:rsidRPr="009038A6">
        <w:rPr>
          <w:rFonts w:cstheme="minorHAnsi"/>
          <w:lang w:val="en-US"/>
        </w:rPr>
        <w:t xml:space="preserve"> The data of</w:t>
      </w:r>
      <w:r w:rsidR="008C5E6D" w:rsidRPr="009038A6">
        <w:rPr>
          <w:rFonts w:cstheme="minorHAnsi"/>
          <w:lang w:val="en-US"/>
        </w:rPr>
        <w:t xml:space="preserve"> 2-year and</w:t>
      </w:r>
      <w:r w:rsidR="00BB5773" w:rsidRPr="009038A6">
        <w:rPr>
          <w:rFonts w:cstheme="minorHAnsi"/>
          <w:lang w:val="en-US"/>
        </w:rPr>
        <w:t xml:space="preserve"> 10-year </w:t>
      </w:r>
      <w:r w:rsidR="00340633" w:rsidRPr="009038A6">
        <w:rPr>
          <w:rFonts w:cstheme="minorHAnsi"/>
          <w:lang w:val="en-US"/>
        </w:rPr>
        <w:t>government bond</w:t>
      </w:r>
      <w:r w:rsidR="00BB5773" w:rsidRPr="009038A6">
        <w:rPr>
          <w:rFonts w:cstheme="minorHAnsi"/>
          <w:lang w:val="en-US"/>
        </w:rPr>
        <w:t xml:space="preserve"> rates are obtained from investing.com.</w:t>
      </w:r>
      <w:r w:rsidR="001067F2" w:rsidRPr="009038A6">
        <w:rPr>
          <w:rFonts w:cstheme="minorHAnsi"/>
          <w:lang w:val="en-US"/>
        </w:rPr>
        <w:t xml:space="preserve"> </w:t>
      </w:r>
      <w:r w:rsidR="008F6475" w:rsidRPr="009038A6">
        <w:rPr>
          <w:rFonts w:cstheme="minorHAnsi"/>
          <w:lang w:val="en-US"/>
        </w:rPr>
        <w:t xml:space="preserve">MPU index for </w:t>
      </w:r>
      <w:r w:rsidR="0079598A" w:rsidRPr="009038A6">
        <w:rPr>
          <w:rFonts w:cstheme="minorHAnsi"/>
          <w:lang w:val="en-US"/>
        </w:rPr>
        <w:t xml:space="preserve">the </w:t>
      </w:r>
      <w:r w:rsidR="008F6475" w:rsidRPr="009038A6">
        <w:rPr>
          <w:rFonts w:cstheme="minorHAnsi"/>
          <w:lang w:val="en-US"/>
        </w:rPr>
        <w:t xml:space="preserve">US economy is obtained from Baker, Bloom, and Davis (2016). </w:t>
      </w:r>
      <w:r w:rsidR="00BB6AC4" w:rsidRPr="009038A6">
        <w:rPr>
          <w:rFonts w:cstheme="minorHAnsi"/>
          <w:lang w:val="en-US"/>
        </w:rPr>
        <w:t xml:space="preserve">Since </w:t>
      </w:r>
      <w:r w:rsidR="008C5E6D" w:rsidRPr="009038A6">
        <w:rPr>
          <w:rFonts w:cstheme="minorHAnsi"/>
          <w:lang w:val="en-US"/>
        </w:rPr>
        <w:t xml:space="preserve">the data availability, </w:t>
      </w:r>
      <w:r w:rsidR="00BB6AC4" w:rsidRPr="009038A6">
        <w:rPr>
          <w:rFonts w:cstheme="minorHAnsi"/>
          <w:lang w:val="en-US"/>
        </w:rPr>
        <w:t xml:space="preserve">our VAR model with </w:t>
      </w:r>
      <w:r w:rsidR="008C5E6D" w:rsidRPr="009038A6">
        <w:rPr>
          <w:rFonts w:cstheme="minorHAnsi"/>
          <w:lang w:val="en-US"/>
        </w:rPr>
        <w:t>2-year and 10-year government bond rate</w:t>
      </w:r>
      <w:r w:rsidR="00BB6AC4" w:rsidRPr="009038A6">
        <w:rPr>
          <w:rFonts w:cstheme="minorHAnsi"/>
          <w:lang w:val="en-US"/>
        </w:rPr>
        <w:t xml:space="preserve"> uncertainty covers the period</w:t>
      </w:r>
      <w:r w:rsidR="008C5E6D" w:rsidRPr="009038A6">
        <w:rPr>
          <w:rFonts w:cstheme="minorHAnsi"/>
          <w:lang w:val="en-US"/>
        </w:rPr>
        <w:t xml:space="preserve"> 2006M11-2020:12 and</w:t>
      </w:r>
      <w:r w:rsidR="00BB6AC4" w:rsidRPr="009038A6">
        <w:rPr>
          <w:rFonts w:cstheme="minorHAnsi"/>
          <w:lang w:val="en-US"/>
        </w:rPr>
        <w:t xml:space="preserve"> 2010:02-2020:12</w:t>
      </w:r>
      <w:r w:rsidR="008C5E6D" w:rsidRPr="009038A6">
        <w:rPr>
          <w:rFonts w:cstheme="minorHAnsi"/>
          <w:lang w:val="en-US"/>
        </w:rPr>
        <w:t xml:space="preserve">, respectively. </w:t>
      </w:r>
    </w:p>
    <w:p w:rsidR="00F95B79" w:rsidRPr="009038A6" w:rsidRDefault="00F95B79" w:rsidP="00FE7874">
      <w:pPr>
        <w:pStyle w:val="NormalWeb"/>
        <w:spacing w:before="120" w:beforeAutospacing="0" w:after="120" w:afterAutospacing="0" w:line="360" w:lineRule="auto"/>
        <w:jc w:val="both"/>
        <w:rPr>
          <w:rStyle w:val="Emphasis"/>
          <w:rFonts w:asciiTheme="minorHAnsi" w:hAnsiTheme="minorHAnsi" w:cstheme="minorHAnsi"/>
          <w:sz w:val="22"/>
          <w:szCs w:val="22"/>
          <w:lang w:val="en-US"/>
        </w:rPr>
      </w:pPr>
    </w:p>
    <w:p w:rsidR="00337863" w:rsidRPr="00FE7874" w:rsidRDefault="00357409" w:rsidP="00FE7874">
      <w:pPr>
        <w:pStyle w:val="NormalWeb"/>
        <w:spacing w:before="120" w:beforeAutospacing="0" w:after="120" w:afterAutospacing="0" w:line="360" w:lineRule="auto"/>
        <w:jc w:val="both"/>
        <w:rPr>
          <w:rStyle w:val="Emphasis"/>
          <w:rFonts w:asciiTheme="minorHAnsi" w:hAnsiTheme="minorHAnsi" w:cstheme="minorHAnsi"/>
          <w:b/>
          <w:i w:val="0"/>
          <w:sz w:val="22"/>
          <w:szCs w:val="22"/>
          <w:lang w:val="en-US"/>
        </w:rPr>
      </w:pPr>
      <w:r w:rsidRPr="00FE7874">
        <w:rPr>
          <w:rStyle w:val="Emphasis"/>
          <w:rFonts w:asciiTheme="minorHAnsi" w:hAnsiTheme="minorHAnsi" w:cstheme="minorHAnsi"/>
          <w:b/>
          <w:i w:val="0"/>
          <w:sz w:val="22"/>
          <w:szCs w:val="22"/>
          <w:lang w:val="en-US"/>
        </w:rPr>
        <w:t xml:space="preserve">4. </w:t>
      </w:r>
      <w:r w:rsidR="00337863" w:rsidRPr="00FE7874">
        <w:rPr>
          <w:rStyle w:val="Emphasis"/>
          <w:rFonts w:asciiTheme="minorHAnsi" w:hAnsiTheme="minorHAnsi" w:cstheme="minorHAnsi"/>
          <w:b/>
          <w:i w:val="0"/>
          <w:sz w:val="22"/>
          <w:szCs w:val="22"/>
          <w:lang w:val="en-US"/>
        </w:rPr>
        <w:t>Empirical Results:</w:t>
      </w:r>
    </w:p>
    <w:p w:rsidR="00337863" w:rsidRPr="009038A6" w:rsidRDefault="00337863" w:rsidP="00FE7874">
      <w:pPr>
        <w:pStyle w:val="NormalWeb"/>
        <w:spacing w:before="120" w:beforeAutospacing="0" w:after="120" w:afterAutospacing="0" w:line="360" w:lineRule="auto"/>
        <w:jc w:val="both"/>
        <w:rPr>
          <w:rFonts w:asciiTheme="minorHAnsi" w:hAnsiTheme="minorHAnsi" w:cstheme="minorHAnsi"/>
          <w:sz w:val="22"/>
          <w:szCs w:val="22"/>
          <w:lang w:val="en-US"/>
        </w:rPr>
      </w:pPr>
      <w:r w:rsidRPr="009038A6">
        <w:rPr>
          <w:rFonts w:asciiTheme="minorHAnsi" w:hAnsiTheme="minorHAnsi" w:cstheme="minorHAnsi"/>
          <w:sz w:val="22"/>
          <w:szCs w:val="22"/>
          <w:lang w:val="en-US"/>
        </w:rPr>
        <w:t>For the VAR model to be applied, all variables included in the model must be stationary. The results of the unit root tests of the variables are presented in Table 1. </w:t>
      </w:r>
    </w:p>
    <w:p w:rsidR="00332962" w:rsidRPr="009038A6" w:rsidRDefault="0003238E" w:rsidP="00FE7874">
      <w:pPr>
        <w:spacing w:before="120" w:after="120" w:line="360" w:lineRule="auto"/>
        <w:jc w:val="both"/>
        <w:rPr>
          <w:rFonts w:cstheme="minorHAnsi"/>
          <w:lang w:val="en-US"/>
        </w:rPr>
      </w:pPr>
      <w:r w:rsidRPr="00553BE0">
        <w:rPr>
          <w:rFonts w:cstheme="minorHAnsi"/>
          <w:b/>
          <w:lang w:val="en-US"/>
        </w:rPr>
        <w:lastRenderedPageBreak/>
        <w:t>Table 1</w:t>
      </w:r>
      <w:r w:rsidR="00F646C8" w:rsidRPr="00553BE0">
        <w:rPr>
          <w:rFonts w:cstheme="minorHAnsi"/>
          <w:b/>
          <w:lang w:val="en-US"/>
        </w:rPr>
        <w:t>.</w:t>
      </w:r>
      <w:r w:rsidR="00F646C8">
        <w:rPr>
          <w:rFonts w:cstheme="minorHAnsi"/>
          <w:lang w:val="en-US"/>
        </w:rPr>
        <w:t xml:space="preserve"> </w:t>
      </w:r>
      <w:r w:rsidR="00553BE0">
        <w:rPr>
          <w:rFonts w:cstheme="minorHAnsi"/>
          <w:lang w:val="en-US"/>
        </w:rPr>
        <w:t>ADF Unit Root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038A6" w:rsidRPr="009038A6" w:rsidTr="00FF5F5C">
        <w:tc>
          <w:tcPr>
            <w:tcW w:w="2265" w:type="dxa"/>
            <w:tcBorders>
              <w:bottom w:val="single" w:sz="4" w:space="0" w:color="auto"/>
            </w:tcBorders>
          </w:tcPr>
          <w:p w:rsidR="00332962" w:rsidRPr="009038A6" w:rsidRDefault="00332962" w:rsidP="00F646C8">
            <w:pPr>
              <w:spacing w:line="360" w:lineRule="auto"/>
              <w:jc w:val="both"/>
              <w:rPr>
                <w:rFonts w:cstheme="minorHAnsi"/>
                <w:lang w:val="en-US"/>
              </w:rPr>
            </w:pPr>
          </w:p>
        </w:tc>
        <w:tc>
          <w:tcPr>
            <w:tcW w:w="2265" w:type="dxa"/>
            <w:tcBorders>
              <w:bottom w:val="single" w:sz="4" w:space="0" w:color="auto"/>
            </w:tcBorders>
          </w:tcPr>
          <w:p w:rsidR="00332962" w:rsidRPr="009038A6" w:rsidRDefault="00332962" w:rsidP="00F646C8">
            <w:pPr>
              <w:spacing w:line="360" w:lineRule="auto"/>
              <w:jc w:val="center"/>
              <w:rPr>
                <w:rFonts w:cstheme="minorHAnsi"/>
                <w:lang w:val="en-US"/>
              </w:rPr>
            </w:pPr>
            <w:r w:rsidRPr="009038A6">
              <w:rPr>
                <w:rFonts w:cstheme="minorHAnsi"/>
                <w:lang w:val="en-US"/>
              </w:rPr>
              <w:t>Intercept</w:t>
            </w:r>
          </w:p>
        </w:tc>
        <w:tc>
          <w:tcPr>
            <w:tcW w:w="2266" w:type="dxa"/>
            <w:tcBorders>
              <w:bottom w:val="single" w:sz="4" w:space="0" w:color="auto"/>
            </w:tcBorders>
          </w:tcPr>
          <w:p w:rsidR="00332962" w:rsidRPr="009038A6" w:rsidRDefault="00332962" w:rsidP="00F646C8">
            <w:pPr>
              <w:spacing w:line="360" w:lineRule="auto"/>
              <w:jc w:val="center"/>
              <w:rPr>
                <w:rFonts w:cstheme="minorHAnsi"/>
                <w:lang w:val="en-US"/>
              </w:rPr>
            </w:pPr>
            <w:r w:rsidRPr="009038A6">
              <w:rPr>
                <w:rFonts w:cstheme="minorHAnsi"/>
                <w:lang w:val="en-US"/>
              </w:rPr>
              <w:t>Trend and Intercept</w:t>
            </w:r>
          </w:p>
        </w:tc>
        <w:tc>
          <w:tcPr>
            <w:tcW w:w="2266" w:type="dxa"/>
            <w:tcBorders>
              <w:bottom w:val="single" w:sz="4" w:space="0" w:color="auto"/>
            </w:tcBorders>
          </w:tcPr>
          <w:p w:rsidR="00332962" w:rsidRPr="009038A6" w:rsidRDefault="00332962" w:rsidP="00F646C8">
            <w:pPr>
              <w:spacing w:line="360" w:lineRule="auto"/>
              <w:jc w:val="center"/>
              <w:rPr>
                <w:rFonts w:cstheme="minorHAnsi"/>
                <w:lang w:val="en-US"/>
              </w:rPr>
            </w:pPr>
            <w:r w:rsidRPr="009038A6">
              <w:rPr>
                <w:rFonts w:cstheme="minorHAnsi"/>
                <w:lang w:val="en-US"/>
              </w:rPr>
              <w:t>No Trend and No Intercept</w:t>
            </w:r>
          </w:p>
        </w:tc>
      </w:tr>
      <w:tr w:rsidR="009038A6" w:rsidRPr="009038A6" w:rsidTr="00FF5F5C">
        <w:tc>
          <w:tcPr>
            <w:tcW w:w="2265" w:type="dxa"/>
            <w:tcBorders>
              <w:top w:val="single" w:sz="4" w:space="0" w:color="auto"/>
            </w:tcBorders>
          </w:tcPr>
          <w:p w:rsidR="00332962" w:rsidRPr="009038A6" w:rsidRDefault="00AB24CA" w:rsidP="00F646C8">
            <w:pPr>
              <w:spacing w:line="360" w:lineRule="auto"/>
              <w:jc w:val="both"/>
              <w:rPr>
                <w:rFonts w:cstheme="minorHAnsi"/>
                <w:lang w:val="en-US"/>
              </w:rPr>
            </w:pPr>
            <w:r w:rsidRPr="009038A6">
              <w:rPr>
                <w:rFonts w:cstheme="minorHAnsi"/>
                <w:lang w:val="en-US"/>
              </w:rPr>
              <w:t>INF</w:t>
            </w:r>
          </w:p>
        </w:tc>
        <w:tc>
          <w:tcPr>
            <w:tcW w:w="2265" w:type="dxa"/>
            <w:tcBorders>
              <w:top w:val="single" w:sz="4" w:space="0" w:color="auto"/>
            </w:tcBorders>
          </w:tcPr>
          <w:p w:rsidR="00332962" w:rsidRPr="009038A6" w:rsidRDefault="00332962" w:rsidP="00F646C8">
            <w:pPr>
              <w:spacing w:line="360" w:lineRule="auto"/>
              <w:jc w:val="center"/>
              <w:rPr>
                <w:rFonts w:cstheme="minorHAnsi"/>
                <w:lang w:val="en-US"/>
              </w:rPr>
            </w:pPr>
            <w:r w:rsidRPr="009038A6">
              <w:rPr>
                <w:rFonts w:cstheme="minorHAnsi"/>
                <w:lang w:val="en-US"/>
              </w:rPr>
              <w:t>-9.432*</w:t>
            </w:r>
          </w:p>
        </w:tc>
        <w:tc>
          <w:tcPr>
            <w:tcW w:w="2266" w:type="dxa"/>
            <w:tcBorders>
              <w:top w:val="single" w:sz="4" w:space="0" w:color="auto"/>
            </w:tcBorders>
          </w:tcPr>
          <w:p w:rsidR="00332962" w:rsidRPr="009038A6" w:rsidRDefault="00BD6553" w:rsidP="00F646C8">
            <w:pPr>
              <w:spacing w:line="360" w:lineRule="auto"/>
              <w:jc w:val="center"/>
              <w:rPr>
                <w:rFonts w:cstheme="minorHAnsi"/>
                <w:lang w:val="en-US"/>
              </w:rPr>
            </w:pPr>
            <w:r w:rsidRPr="009038A6">
              <w:rPr>
                <w:rFonts w:cstheme="minorHAnsi"/>
                <w:lang w:val="en-US"/>
              </w:rPr>
              <w:t>-9.004*</w:t>
            </w:r>
          </w:p>
        </w:tc>
        <w:tc>
          <w:tcPr>
            <w:tcW w:w="2266" w:type="dxa"/>
            <w:tcBorders>
              <w:top w:val="single" w:sz="4" w:space="0" w:color="auto"/>
            </w:tcBorders>
          </w:tcPr>
          <w:p w:rsidR="00332962" w:rsidRPr="009038A6" w:rsidRDefault="00332962" w:rsidP="00F646C8">
            <w:pPr>
              <w:spacing w:line="360" w:lineRule="auto"/>
              <w:jc w:val="center"/>
              <w:rPr>
                <w:rFonts w:cstheme="minorHAnsi"/>
                <w:lang w:val="en-US"/>
              </w:rPr>
            </w:pPr>
            <w:r w:rsidRPr="009038A6">
              <w:rPr>
                <w:rFonts w:cstheme="minorHAnsi"/>
                <w:lang w:val="en-US"/>
              </w:rPr>
              <w:t>-6.174*</w:t>
            </w:r>
          </w:p>
        </w:tc>
      </w:tr>
      <w:tr w:rsidR="009038A6" w:rsidRPr="009038A6" w:rsidTr="00FF5F5C">
        <w:tc>
          <w:tcPr>
            <w:tcW w:w="2265" w:type="dxa"/>
          </w:tcPr>
          <w:p w:rsidR="00332962" w:rsidRPr="009038A6" w:rsidRDefault="00AB24CA" w:rsidP="00F646C8">
            <w:pPr>
              <w:spacing w:line="360" w:lineRule="auto"/>
              <w:jc w:val="both"/>
              <w:rPr>
                <w:rFonts w:cstheme="minorHAnsi"/>
                <w:lang w:val="en-US"/>
              </w:rPr>
            </w:pPr>
            <w:r w:rsidRPr="009038A6">
              <w:rPr>
                <w:rFonts w:cstheme="minorHAnsi"/>
                <w:lang w:val="en-US"/>
              </w:rPr>
              <w:t>IP</w:t>
            </w:r>
          </w:p>
        </w:tc>
        <w:tc>
          <w:tcPr>
            <w:tcW w:w="2265" w:type="dxa"/>
          </w:tcPr>
          <w:p w:rsidR="00332962" w:rsidRPr="009038A6" w:rsidRDefault="00332962" w:rsidP="00F646C8">
            <w:pPr>
              <w:spacing w:line="360" w:lineRule="auto"/>
              <w:jc w:val="center"/>
              <w:rPr>
                <w:rFonts w:cstheme="minorHAnsi"/>
                <w:lang w:val="en-US"/>
              </w:rPr>
            </w:pPr>
            <w:r w:rsidRPr="009038A6">
              <w:rPr>
                <w:rFonts w:cstheme="minorHAnsi"/>
                <w:lang w:val="en-US"/>
              </w:rPr>
              <w:t>-15.793*</w:t>
            </w:r>
          </w:p>
        </w:tc>
        <w:tc>
          <w:tcPr>
            <w:tcW w:w="2266" w:type="dxa"/>
          </w:tcPr>
          <w:p w:rsidR="00332962" w:rsidRPr="009038A6" w:rsidRDefault="00332962" w:rsidP="00F646C8">
            <w:pPr>
              <w:spacing w:line="360" w:lineRule="auto"/>
              <w:jc w:val="center"/>
              <w:rPr>
                <w:rFonts w:cstheme="minorHAnsi"/>
                <w:lang w:val="en-US"/>
              </w:rPr>
            </w:pPr>
            <w:r w:rsidRPr="009038A6">
              <w:rPr>
                <w:rFonts w:cstheme="minorHAnsi"/>
                <w:lang w:val="en-US"/>
              </w:rPr>
              <w:t>-15.763*</w:t>
            </w:r>
          </w:p>
        </w:tc>
        <w:tc>
          <w:tcPr>
            <w:tcW w:w="2266" w:type="dxa"/>
          </w:tcPr>
          <w:p w:rsidR="00332962" w:rsidRPr="009038A6" w:rsidRDefault="00332962" w:rsidP="00F646C8">
            <w:pPr>
              <w:spacing w:line="360" w:lineRule="auto"/>
              <w:jc w:val="center"/>
              <w:rPr>
                <w:rFonts w:cstheme="minorHAnsi"/>
                <w:lang w:val="en-US"/>
              </w:rPr>
            </w:pPr>
            <w:r w:rsidRPr="009038A6">
              <w:rPr>
                <w:rFonts w:cstheme="minorHAnsi"/>
                <w:lang w:val="en-US"/>
              </w:rPr>
              <w:t>-15.560*</w:t>
            </w:r>
          </w:p>
        </w:tc>
      </w:tr>
      <w:tr w:rsidR="009038A6" w:rsidRPr="009038A6" w:rsidTr="00FF5F5C">
        <w:tc>
          <w:tcPr>
            <w:tcW w:w="2265" w:type="dxa"/>
          </w:tcPr>
          <w:p w:rsidR="00332962" w:rsidRPr="009038A6" w:rsidRDefault="00EE0EB7" w:rsidP="00F646C8">
            <w:pPr>
              <w:spacing w:line="360" w:lineRule="auto"/>
              <w:jc w:val="both"/>
              <w:rPr>
                <w:rFonts w:cstheme="minorHAnsi"/>
                <w:lang w:val="en-US"/>
              </w:rPr>
            </w:pPr>
            <w:r w:rsidRPr="009038A6">
              <w:rPr>
                <w:rFonts w:cstheme="minorHAnsi"/>
                <w:lang w:val="en-US"/>
              </w:rPr>
              <w:t>R</w:t>
            </w:r>
            <w:r w:rsidR="00340633" w:rsidRPr="009038A6">
              <w:rPr>
                <w:rFonts w:cstheme="minorHAnsi"/>
                <w:lang w:val="en-US"/>
              </w:rPr>
              <w:t>EXC</w:t>
            </w:r>
          </w:p>
        </w:tc>
        <w:tc>
          <w:tcPr>
            <w:tcW w:w="2265" w:type="dxa"/>
          </w:tcPr>
          <w:p w:rsidR="00332962" w:rsidRPr="009038A6" w:rsidRDefault="00332962" w:rsidP="00F646C8">
            <w:pPr>
              <w:spacing w:line="360" w:lineRule="auto"/>
              <w:jc w:val="center"/>
              <w:rPr>
                <w:rFonts w:cstheme="minorHAnsi"/>
                <w:lang w:val="en-US"/>
              </w:rPr>
            </w:pPr>
            <w:r w:rsidRPr="009038A6">
              <w:rPr>
                <w:rFonts w:cstheme="minorHAnsi"/>
                <w:lang w:val="en-US"/>
              </w:rPr>
              <w:t>-11.754*</w:t>
            </w:r>
          </w:p>
        </w:tc>
        <w:tc>
          <w:tcPr>
            <w:tcW w:w="2266" w:type="dxa"/>
          </w:tcPr>
          <w:p w:rsidR="00332962" w:rsidRPr="009038A6" w:rsidRDefault="00332962" w:rsidP="00F646C8">
            <w:pPr>
              <w:spacing w:line="360" w:lineRule="auto"/>
              <w:jc w:val="center"/>
              <w:rPr>
                <w:rFonts w:cstheme="minorHAnsi"/>
                <w:lang w:val="en-US"/>
              </w:rPr>
            </w:pPr>
            <w:r w:rsidRPr="009038A6">
              <w:rPr>
                <w:rFonts w:cstheme="minorHAnsi"/>
                <w:lang w:val="en-US"/>
              </w:rPr>
              <w:t>-11.886*</w:t>
            </w:r>
          </w:p>
        </w:tc>
        <w:tc>
          <w:tcPr>
            <w:tcW w:w="2266" w:type="dxa"/>
          </w:tcPr>
          <w:p w:rsidR="00332962" w:rsidRPr="009038A6" w:rsidRDefault="00332962" w:rsidP="00F646C8">
            <w:pPr>
              <w:spacing w:line="360" w:lineRule="auto"/>
              <w:jc w:val="center"/>
              <w:rPr>
                <w:rFonts w:cstheme="minorHAnsi"/>
                <w:lang w:val="en-US"/>
              </w:rPr>
            </w:pPr>
            <w:r w:rsidRPr="009038A6">
              <w:rPr>
                <w:rFonts w:cstheme="minorHAnsi"/>
                <w:lang w:val="en-US"/>
              </w:rPr>
              <w:t>-11.712*</w:t>
            </w:r>
          </w:p>
        </w:tc>
      </w:tr>
      <w:tr w:rsidR="009038A6" w:rsidRPr="009038A6" w:rsidTr="00FF5F5C">
        <w:tc>
          <w:tcPr>
            <w:tcW w:w="2265" w:type="dxa"/>
          </w:tcPr>
          <w:p w:rsidR="0017266F" w:rsidRPr="009038A6" w:rsidRDefault="0093686F" w:rsidP="00F646C8">
            <w:pPr>
              <w:spacing w:line="360" w:lineRule="auto"/>
              <w:jc w:val="both"/>
              <w:rPr>
                <w:rFonts w:cstheme="minorHAnsi"/>
                <w:lang w:val="en-US"/>
              </w:rPr>
            </w:pPr>
            <w:r w:rsidRPr="009038A6">
              <w:rPr>
                <w:rFonts w:cstheme="minorHAnsi"/>
                <w:lang w:val="en-US"/>
              </w:rPr>
              <w:t>UNEMP</w:t>
            </w:r>
          </w:p>
        </w:tc>
        <w:tc>
          <w:tcPr>
            <w:tcW w:w="2265" w:type="dxa"/>
          </w:tcPr>
          <w:p w:rsidR="0017266F" w:rsidRPr="009038A6" w:rsidRDefault="008F3843" w:rsidP="00F646C8">
            <w:pPr>
              <w:spacing w:line="360" w:lineRule="auto"/>
              <w:jc w:val="center"/>
              <w:rPr>
                <w:rFonts w:cstheme="minorHAnsi"/>
                <w:lang w:val="en-US"/>
              </w:rPr>
            </w:pPr>
            <w:r w:rsidRPr="009038A6">
              <w:rPr>
                <w:rFonts w:cstheme="minorHAnsi"/>
                <w:lang w:val="en-US"/>
              </w:rPr>
              <w:t>-4.219*</w:t>
            </w:r>
          </w:p>
        </w:tc>
        <w:tc>
          <w:tcPr>
            <w:tcW w:w="2266" w:type="dxa"/>
          </w:tcPr>
          <w:p w:rsidR="0017266F" w:rsidRPr="009038A6" w:rsidRDefault="008F3843" w:rsidP="00F646C8">
            <w:pPr>
              <w:spacing w:line="360" w:lineRule="auto"/>
              <w:jc w:val="center"/>
              <w:rPr>
                <w:rFonts w:cstheme="minorHAnsi"/>
                <w:lang w:val="en-US"/>
              </w:rPr>
            </w:pPr>
            <w:r w:rsidRPr="009038A6">
              <w:rPr>
                <w:rFonts w:cstheme="minorHAnsi"/>
                <w:lang w:val="en-US"/>
              </w:rPr>
              <w:t>-4.284*</w:t>
            </w:r>
          </w:p>
        </w:tc>
        <w:tc>
          <w:tcPr>
            <w:tcW w:w="2266" w:type="dxa"/>
          </w:tcPr>
          <w:p w:rsidR="0017266F" w:rsidRPr="009038A6" w:rsidRDefault="008F3843" w:rsidP="00F646C8">
            <w:pPr>
              <w:spacing w:line="360" w:lineRule="auto"/>
              <w:jc w:val="center"/>
              <w:rPr>
                <w:rFonts w:cstheme="minorHAnsi"/>
                <w:lang w:val="en-US"/>
              </w:rPr>
            </w:pPr>
            <w:r w:rsidRPr="009038A6">
              <w:rPr>
                <w:rFonts w:cstheme="minorHAnsi"/>
                <w:lang w:val="en-US"/>
              </w:rPr>
              <w:t>-4.189*</w:t>
            </w:r>
          </w:p>
        </w:tc>
      </w:tr>
      <w:tr w:rsidR="009038A6" w:rsidRPr="009038A6" w:rsidTr="00FF5F5C">
        <w:tc>
          <w:tcPr>
            <w:tcW w:w="2265" w:type="dxa"/>
          </w:tcPr>
          <w:p w:rsidR="008B0E09" w:rsidRPr="009038A6" w:rsidRDefault="008B0E09" w:rsidP="00F646C8">
            <w:pPr>
              <w:spacing w:line="360" w:lineRule="auto"/>
              <w:jc w:val="both"/>
              <w:rPr>
                <w:rFonts w:cstheme="minorHAnsi"/>
                <w:lang w:val="en-US"/>
              </w:rPr>
            </w:pPr>
            <w:r w:rsidRPr="009038A6">
              <w:rPr>
                <w:rFonts w:cstheme="minorHAnsi"/>
                <w:lang w:val="en-US"/>
              </w:rPr>
              <w:t>OIL</w:t>
            </w:r>
          </w:p>
        </w:tc>
        <w:tc>
          <w:tcPr>
            <w:tcW w:w="2265" w:type="dxa"/>
          </w:tcPr>
          <w:p w:rsidR="008B0E09" w:rsidRPr="009038A6" w:rsidRDefault="008B0E09" w:rsidP="00F646C8">
            <w:pPr>
              <w:spacing w:line="360" w:lineRule="auto"/>
              <w:jc w:val="center"/>
              <w:rPr>
                <w:rFonts w:cstheme="minorHAnsi"/>
                <w:lang w:val="en-US"/>
              </w:rPr>
            </w:pPr>
            <w:r w:rsidRPr="009038A6">
              <w:rPr>
                <w:rFonts w:cstheme="minorHAnsi"/>
                <w:lang w:val="en-US"/>
              </w:rPr>
              <w:t>-10.164*</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-10.230*</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-10.176*</w:t>
            </w:r>
          </w:p>
        </w:tc>
      </w:tr>
      <w:tr w:rsidR="009038A6" w:rsidRPr="009038A6" w:rsidTr="00FF5F5C">
        <w:tc>
          <w:tcPr>
            <w:tcW w:w="2265" w:type="dxa"/>
          </w:tcPr>
          <w:p w:rsidR="008B0E09" w:rsidRPr="009038A6" w:rsidRDefault="008B0E09" w:rsidP="00F646C8">
            <w:pPr>
              <w:spacing w:line="360" w:lineRule="auto"/>
              <w:jc w:val="both"/>
              <w:rPr>
                <w:rFonts w:cstheme="minorHAnsi"/>
                <w:lang w:val="en-US"/>
              </w:rPr>
            </w:pPr>
            <w:proofErr w:type="spellStart"/>
            <w:r w:rsidRPr="009038A6">
              <w:rPr>
                <w:rFonts w:cstheme="minorHAnsi"/>
                <w:lang w:val="en-US"/>
              </w:rPr>
              <w:t>unc_policy</w:t>
            </w:r>
            <w:proofErr w:type="spellEnd"/>
            <w:r w:rsidRPr="009038A6">
              <w:rPr>
                <w:rFonts w:cstheme="minorHAnsi"/>
                <w:lang w:val="en-US"/>
              </w:rPr>
              <w:t xml:space="preserve"> rate</w:t>
            </w:r>
          </w:p>
        </w:tc>
        <w:tc>
          <w:tcPr>
            <w:tcW w:w="2265" w:type="dxa"/>
          </w:tcPr>
          <w:p w:rsidR="008B0E09" w:rsidRPr="009038A6" w:rsidRDefault="008B0E09" w:rsidP="00F646C8">
            <w:pPr>
              <w:spacing w:line="360" w:lineRule="auto"/>
              <w:jc w:val="center"/>
              <w:rPr>
                <w:rFonts w:cstheme="minorHAnsi"/>
                <w:lang w:val="en-US"/>
              </w:rPr>
            </w:pPr>
            <w:r w:rsidRPr="009038A6">
              <w:rPr>
                <w:rFonts w:cstheme="minorHAnsi"/>
                <w:lang w:val="en-US"/>
              </w:rPr>
              <w:t>-5.236*</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-5.431*</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-0.636</w:t>
            </w:r>
          </w:p>
        </w:tc>
      </w:tr>
      <w:tr w:rsidR="009038A6" w:rsidRPr="009038A6" w:rsidTr="00FF5F5C">
        <w:tc>
          <w:tcPr>
            <w:tcW w:w="2265" w:type="dxa"/>
          </w:tcPr>
          <w:p w:rsidR="008B0E09" w:rsidRPr="009038A6" w:rsidRDefault="008B0E09" w:rsidP="00F646C8">
            <w:pPr>
              <w:spacing w:line="360" w:lineRule="auto"/>
              <w:jc w:val="both"/>
              <w:rPr>
                <w:rFonts w:cstheme="minorHAnsi"/>
                <w:lang w:val="en-US"/>
              </w:rPr>
            </w:pPr>
            <w:r w:rsidRPr="009038A6">
              <w:rPr>
                <w:rFonts w:cstheme="minorHAnsi"/>
                <w:lang w:val="en-US"/>
              </w:rPr>
              <w:t>unc_2Y bond yield</w:t>
            </w:r>
          </w:p>
        </w:tc>
        <w:tc>
          <w:tcPr>
            <w:tcW w:w="2265" w:type="dxa"/>
          </w:tcPr>
          <w:p w:rsidR="008B0E09" w:rsidRPr="009038A6" w:rsidRDefault="008B0E09" w:rsidP="00F646C8">
            <w:pPr>
              <w:spacing w:line="360" w:lineRule="auto"/>
              <w:jc w:val="center"/>
              <w:rPr>
                <w:rFonts w:cstheme="minorHAnsi"/>
                <w:lang w:val="en-US"/>
              </w:rPr>
            </w:pPr>
            <w:r w:rsidRPr="009038A6">
              <w:rPr>
                <w:rFonts w:cstheme="minorHAnsi"/>
                <w:lang w:val="en-US"/>
              </w:rPr>
              <w:t>-11.229*</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-11.199*</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-11.255*</w:t>
            </w:r>
          </w:p>
        </w:tc>
      </w:tr>
      <w:tr w:rsidR="009038A6" w:rsidRPr="009038A6" w:rsidTr="00FF5F5C">
        <w:tc>
          <w:tcPr>
            <w:tcW w:w="2265" w:type="dxa"/>
          </w:tcPr>
          <w:p w:rsidR="008B0E09" w:rsidRPr="009038A6" w:rsidRDefault="008B0E09" w:rsidP="00F646C8">
            <w:pPr>
              <w:spacing w:line="360" w:lineRule="auto"/>
              <w:jc w:val="both"/>
              <w:rPr>
                <w:rFonts w:cstheme="minorHAnsi"/>
                <w:lang w:val="en-US"/>
              </w:rPr>
            </w:pPr>
            <w:r w:rsidRPr="009038A6">
              <w:rPr>
                <w:rFonts w:cstheme="minorHAnsi"/>
                <w:lang w:val="en-US"/>
              </w:rPr>
              <w:t>unc_10Y bond yield</w:t>
            </w:r>
          </w:p>
        </w:tc>
        <w:tc>
          <w:tcPr>
            <w:tcW w:w="2265" w:type="dxa"/>
          </w:tcPr>
          <w:p w:rsidR="008B0E09" w:rsidRPr="009038A6" w:rsidRDefault="008B0E09" w:rsidP="00F646C8">
            <w:pPr>
              <w:spacing w:line="360" w:lineRule="auto"/>
              <w:jc w:val="center"/>
              <w:rPr>
                <w:rFonts w:cstheme="minorHAnsi"/>
                <w:lang w:val="en-US"/>
              </w:rPr>
            </w:pPr>
            <w:r w:rsidRPr="009038A6">
              <w:rPr>
                <w:rFonts w:cstheme="minorHAnsi"/>
                <w:lang w:val="en-US"/>
              </w:rPr>
              <w:t>-9.733*</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-9.693*</w:t>
            </w:r>
          </w:p>
        </w:tc>
        <w:tc>
          <w:tcPr>
            <w:tcW w:w="2266" w:type="dxa"/>
          </w:tcPr>
          <w:p w:rsidR="008B0E09" w:rsidRPr="009038A6" w:rsidRDefault="008B0E09" w:rsidP="00F646C8">
            <w:pPr>
              <w:spacing w:line="360" w:lineRule="auto"/>
              <w:jc w:val="center"/>
              <w:rPr>
                <w:rFonts w:cstheme="minorHAnsi"/>
                <w:lang w:val="en-US"/>
              </w:rPr>
            </w:pPr>
            <w:r w:rsidRPr="009038A6">
              <w:rPr>
                <w:rFonts w:cstheme="minorHAnsi"/>
                <w:lang w:val="en-US"/>
              </w:rPr>
              <w:t>-9.751*</w:t>
            </w:r>
          </w:p>
        </w:tc>
      </w:tr>
      <w:tr w:rsidR="009038A6" w:rsidRPr="009038A6" w:rsidTr="00FF5F5C">
        <w:tc>
          <w:tcPr>
            <w:tcW w:w="2265" w:type="dxa"/>
            <w:tcBorders>
              <w:bottom w:val="single" w:sz="4" w:space="0" w:color="auto"/>
            </w:tcBorders>
          </w:tcPr>
          <w:p w:rsidR="008B0E09" w:rsidRPr="009038A6" w:rsidRDefault="008B0E09" w:rsidP="00F646C8">
            <w:pPr>
              <w:spacing w:line="360" w:lineRule="auto"/>
              <w:jc w:val="both"/>
              <w:rPr>
                <w:rFonts w:cstheme="minorHAnsi"/>
                <w:lang w:val="en-US"/>
              </w:rPr>
            </w:pPr>
            <w:proofErr w:type="spellStart"/>
            <w:r w:rsidRPr="009038A6">
              <w:rPr>
                <w:rFonts w:cstheme="minorHAnsi"/>
                <w:lang w:val="en-US"/>
              </w:rPr>
              <w:t>mpuusa</w:t>
            </w:r>
            <w:proofErr w:type="spellEnd"/>
          </w:p>
        </w:tc>
        <w:tc>
          <w:tcPr>
            <w:tcW w:w="2265" w:type="dxa"/>
            <w:tcBorders>
              <w:bottom w:val="single" w:sz="4" w:space="0" w:color="auto"/>
            </w:tcBorders>
          </w:tcPr>
          <w:p w:rsidR="008B0E09" w:rsidRPr="009038A6" w:rsidRDefault="008B0E09" w:rsidP="00F646C8">
            <w:pPr>
              <w:spacing w:line="360" w:lineRule="auto"/>
              <w:jc w:val="center"/>
              <w:rPr>
                <w:rFonts w:cstheme="minorHAnsi"/>
                <w:lang w:val="en-US"/>
              </w:rPr>
            </w:pPr>
            <w:r w:rsidRPr="009038A6">
              <w:rPr>
                <w:rFonts w:cstheme="minorHAnsi"/>
                <w:lang w:val="en-US"/>
              </w:rPr>
              <w:t>-7.463*</w:t>
            </w:r>
          </w:p>
        </w:tc>
        <w:tc>
          <w:tcPr>
            <w:tcW w:w="2266" w:type="dxa"/>
            <w:tcBorders>
              <w:bottom w:val="single" w:sz="4" w:space="0" w:color="auto"/>
            </w:tcBorders>
          </w:tcPr>
          <w:p w:rsidR="008B0E09" w:rsidRPr="009038A6" w:rsidRDefault="008B0E09" w:rsidP="00F646C8">
            <w:pPr>
              <w:spacing w:line="360" w:lineRule="auto"/>
              <w:jc w:val="center"/>
              <w:rPr>
                <w:rFonts w:cstheme="minorHAnsi"/>
                <w:lang w:val="en-US"/>
              </w:rPr>
            </w:pPr>
            <w:r w:rsidRPr="009038A6">
              <w:rPr>
                <w:rFonts w:cstheme="minorHAnsi"/>
                <w:lang w:val="en-US"/>
              </w:rPr>
              <w:t>-7.473*</w:t>
            </w:r>
          </w:p>
        </w:tc>
        <w:tc>
          <w:tcPr>
            <w:tcW w:w="2266" w:type="dxa"/>
            <w:tcBorders>
              <w:bottom w:val="single" w:sz="4" w:space="0" w:color="auto"/>
            </w:tcBorders>
          </w:tcPr>
          <w:p w:rsidR="008B0E09" w:rsidRPr="009038A6" w:rsidRDefault="008B0E09" w:rsidP="00F646C8">
            <w:pPr>
              <w:spacing w:line="360" w:lineRule="auto"/>
              <w:jc w:val="center"/>
              <w:rPr>
                <w:rFonts w:cstheme="minorHAnsi"/>
                <w:lang w:val="en-US"/>
              </w:rPr>
            </w:pPr>
            <w:r w:rsidRPr="009038A6">
              <w:rPr>
                <w:rFonts w:cstheme="minorHAnsi"/>
                <w:lang w:val="en-US"/>
              </w:rPr>
              <w:t>-2.756*</w:t>
            </w:r>
          </w:p>
        </w:tc>
      </w:tr>
    </w:tbl>
    <w:p w:rsidR="00C74433" w:rsidRPr="00743782" w:rsidRDefault="00C74433" w:rsidP="00FE7874">
      <w:pPr>
        <w:widowControl w:val="0"/>
        <w:autoSpaceDE w:val="0"/>
        <w:autoSpaceDN w:val="0"/>
        <w:adjustRightInd w:val="0"/>
        <w:spacing w:before="120" w:after="120" w:line="360" w:lineRule="auto"/>
        <w:jc w:val="both"/>
        <w:rPr>
          <w:rFonts w:cstheme="minorHAnsi"/>
          <w:sz w:val="20"/>
          <w:szCs w:val="20"/>
          <w:lang w:val="en-US"/>
        </w:rPr>
      </w:pPr>
      <w:r w:rsidRPr="00743782">
        <w:rPr>
          <w:rFonts w:cstheme="minorHAnsi"/>
          <w:sz w:val="20"/>
          <w:szCs w:val="20"/>
          <w:lang w:val="en-US"/>
        </w:rPr>
        <w:t>Note: * denotes</w:t>
      </w:r>
      <w:r w:rsidR="000D75CA" w:rsidRPr="00743782">
        <w:rPr>
          <w:rFonts w:cstheme="minorHAnsi"/>
          <w:sz w:val="20"/>
          <w:szCs w:val="20"/>
          <w:lang w:val="en-US"/>
        </w:rPr>
        <w:t xml:space="preserve"> the</w:t>
      </w:r>
      <w:r w:rsidRPr="00743782">
        <w:rPr>
          <w:rFonts w:cstheme="minorHAnsi"/>
          <w:sz w:val="20"/>
          <w:szCs w:val="20"/>
          <w:lang w:val="en-US"/>
        </w:rPr>
        <w:t xml:space="preserve"> significance of the coefficient at the 1% level. </w:t>
      </w:r>
    </w:p>
    <w:p w:rsidR="00332962" w:rsidRPr="009038A6" w:rsidRDefault="00332962" w:rsidP="00FE7874">
      <w:pPr>
        <w:spacing w:before="120" w:after="120" w:line="360" w:lineRule="auto"/>
        <w:jc w:val="both"/>
        <w:rPr>
          <w:rFonts w:cstheme="minorHAnsi"/>
          <w:lang w:val="en-US"/>
        </w:rPr>
      </w:pPr>
    </w:p>
    <w:p w:rsidR="00E14939" w:rsidRPr="009038A6" w:rsidRDefault="00E14939" w:rsidP="00FE7874">
      <w:pPr>
        <w:spacing w:before="120" w:after="120" w:line="360" w:lineRule="auto"/>
        <w:jc w:val="both"/>
        <w:rPr>
          <w:rFonts w:cstheme="minorHAnsi"/>
          <w:lang w:val="en-US"/>
        </w:rPr>
      </w:pPr>
      <w:r w:rsidRPr="009038A6">
        <w:rPr>
          <w:rFonts w:cstheme="minorHAnsi"/>
          <w:lang w:val="en-US"/>
        </w:rPr>
        <w:t>The effects of different yield uncertainties on the real exchange rate, inflation, industrial production, and unemployment were assessed by impulse response functions. The ordering in computing impulse responses was real exchange rate, interest rate uncertainty, inflation, industrial production, and unemployment rate, assuming that the real exchange rate is the most exogenous variable in the model. However, our results were not affected when we changed the ordering of the variables.</w:t>
      </w:r>
    </w:p>
    <w:p w:rsidR="00BD71AA" w:rsidRDefault="00FE7874" w:rsidP="00BD71AA">
      <w:pPr>
        <w:spacing w:before="120" w:after="120" w:line="360" w:lineRule="auto"/>
        <w:jc w:val="both"/>
        <w:rPr>
          <w:rFonts w:cstheme="minorHAnsi"/>
          <w:lang w:val="en-US"/>
        </w:rPr>
      </w:pPr>
      <w:r w:rsidRPr="009038A6">
        <w:rPr>
          <w:rFonts w:cstheme="minorHAnsi"/>
          <w:lang w:val="en-US"/>
        </w:rPr>
        <w:t>We provide the impulse response functions in Figure 1. The dotted lines show the two standard error bands used as a measure of statistical significance. We presented the impulse responses to innovations to uncertainty in the policy rate, and two and ten-years treasury bill rates in the first, second, and third columns, respectively</w:t>
      </w:r>
      <w:r w:rsidR="0064163F">
        <w:rPr>
          <w:rStyle w:val="FootnoteReference"/>
          <w:rFonts w:cstheme="minorHAnsi"/>
          <w:lang w:val="en-US"/>
        </w:rPr>
        <w:footnoteReference w:id="2"/>
      </w:r>
      <w:r w:rsidRPr="009038A6">
        <w:rPr>
          <w:rFonts w:cstheme="minorHAnsi"/>
          <w:lang w:val="en-US"/>
        </w:rPr>
        <w:t>.</w:t>
      </w:r>
      <w:r w:rsidR="00BD71AA" w:rsidRPr="00BD71AA">
        <w:rPr>
          <w:rFonts w:cstheme="minorHAnsi"/>
          <w:lang w:val="en-US"/>
        </w:rPr>
        <w:t xml:space="preserve"> </w:t>
      </w:r>
    </w:p>
    <w:p w:rsidR="00BD71AA" w:rsidRPr="009038A6" w:rsidRDefault="00BD71AA" w:rsidP="00BD71AA">
      <w:pPr>
        <w:spacing w:before="120" w:after="120" w:line="360" w:lineRule="auto"/>
        <w:jc w:val="both"/>
        <w:rPr>
          <w:rFonts w:cstheme="minorHAnsi"/>
          <w:lang w:val="en-US"/>
        </w:rPr>
      </w:pPr>
      <w:r w:rsidRPr="009038A6">
        <w:rPr>
          <w:rFonts w:cstheme="minorHAnsi"/>
          <w:lang w:val="en-US"/>
        </w:rPr>
        <w:t xml:space="preserve">As the figure evidence, an unexpected increase in policy rate uncertainty causes volatility in the real exchange rate. In response to this uncertainty, the real exchange rate temporarily depreciates within the two months the shock hits. Following, increases in policy rate uncertainty lead to a temporary appreciation of the real exchange rate. Similarly, uncertainty in long yield causes an immediate but short-lasting depreciation in the real exchange rate followed by weak and short-lasting appreciation. </w:t>
      </w:r>
      <w:r w:rsidRPr="009038A6">
        <w:rPr>
          <w:rFonts w:cstheme="minorHAnsi"/>
          <w:lang w:val="en-US"/>
        </w:rPr>
        <w:lastRenderedPageBreak/>
        <w:t xml:space="preserve">However, the appreciation effects are not statistically significant. On the other hand, the effect of uncertainty in 2-year treasury bill rates on the real exchange rate is not different from zero. </w:t>
      </w:r>
    </w:p>
    <w:p w:rsidR="00197DDE" w:rsidRPr="009038A6" w:rsidRDefault="00197DDE" w:rsidP="00FE7874">
      <w:pPr>
        <w:spacing w:before="120" w:after="120" w:line="360" w:lineRule="auto"/>
        <w:jc w:val="both"/>
        <w:rPr>
          <w:rFonts w:cstheme="minorHAnsi"/>
          <w:lang w:val="en-US"/>
        </w:rPr>
      </w:pPr>
      <w:r w:rsidRPr="00553BE0">
        <w:rPr>
          <w:rFonts w:cstheme="minorHAnsi"/>
          <w:b/>
          <w:lang w:val="en-US"/>
        </w:rPr>
        <w:t>Figure 1</w:t>
      </w:r>
      <w:r w:rsidRPr="009038A6">
        <w:rPr>
          <w:rFonts w:cstheme="minorHAnsi"/>
          <w:lang w:val="en-US"/>
        </w:rPr>
        <w:t>.</w:t>
      </w:r>
      <w:r w:rsidR="00EC1500" w:rsidRPr="009038A6">
        <w:rPr>
          <w:rFonts w:cstheme="minorHAnsi"/>
          <w:lang w:val="en-US"/>
        </w:rPr>
        <w:t xml:space="preserve"> Impulse Responses to Interest Uncertainty Shock</w:t>
      </w:r>
    </w:p>
    <w:p w:rsidR="00810396" w:rsidRPr="009038A6" w:rsidRDefault="00693CF1" w:rsidP="00FE7874">
      <w:pPr>
        <w:spacing w:before="120" w:after="120" w:line="360" w:lineRule="auto"/>
        <w:jc w:val="both"/>
        <w:rPr>
          <w:rFonts w:cstheme="minorHAnsi"/>
          <w:lang w:val="en-US"/>
        </w:rPr>
      </w:pPr>
      <w:r w:rsidRPr="009038A6">
        <w:rPr>
          <w:rFonts w:cstheme="minorHAnsi"/>
          <w:lang w:val="en-US"/>
        </w:rPr>
        <w:object w:dxaOrig="5010"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05pt" o:ole="">
            <v:imagedata r:id="rId8" o:title=""/>
          </v:shape>
          <o:OLEObject Type="Embed" ProgID="EViews.Workfile.2" ShapeID="_x0000_i1025" DrawAspect="Content" ObjectID="_1701967882" r:id="rId9"/>
        </w:object>
      </w:r>
      <w:r w:rsidRPr="009038A6">
        <w:rPr>
          <w:rFonts w:cstheme="minorHAnsi"/>
        </w:rPr>
        <w:object w:dxaOrig="5010" w:dyaOrig="3510">
          <v:shape id="_x0000_i1026" type="#_x0000_t75" style="width:149.4pt;height:105pt;mso-position-horizontal:absolute" o:ole="">
            <v:imagedata r:id="rId10" o:title=""/>
          </v:shape>
          <o:OLEObject Type="Embed" ProgID="EViews.Workfile.2" ShapeID="_x0000_i1026" DrawAspect="Content" ObjectID="_1701967883" r:id="rId11"/>
        </w:object>
      </w:r>
      <w:r w:rsidR="002E54F0" w:rsidRPr="009038A6">
        <w:rPr>
          <w:rFonts w:cstheme="minorHAnsi"/>
          <w:lang w:val="en-US"/>
        </w:rPr>
        <w:object w:dxaOrig="5010" w:dyaOrig="3510">
          <v:shape id="_x0000_i1027" type="#_x0000_t75" style="width:149.4pt;height:104.4pt;mso-position-horizontal:absolute" o:ole="">
            <v:imagedata r:id="rId12" o:title=""/>
            <o:lock v:ext="edit" aspectratio="f"/>
          </v:shape>
          <o:OLEObject Type="Embed" ProgID="EViews.Workfile.2" ShapeID="_x0000_i1027" DrawAspect="Content" ObjectID="_1701967884" r:id="rId13"/>
        </w:object>
      </w:r>
    </w:p>
    <w:p w:rsidR="00810396" w:rsidRPr="009038A6" w:rsidRDefault="00810396" w:rsidP="00FE7874">
      <w:pPr>
        <w:spacing w:before="120" w:after="120" w:line="360" w:lineRule="auto"/>
        <w:jc w:val="both"/>
        <w:rPr>
          <w:rFonts w:cstheme="minorHAnsi"/>
          <w:lang w:val="en-US"/>
        </w:rPr>
      </w:pPr>
    </w:p>
    <w:p w:rsidR="00210DF1" w:rsidRPr="009038A6" w:rsidRDefault="00E83583" w:rsidP="00FE7874">
      <w:pPr>
        <w:spacing w:before="120" w:after="120" w:line="360" w:lineRule="auto"/>
        <w:jc w:val="both"/>
        <w:rPr>
          <w:rFonts w:cstheme="minorHAnsi"/>
          <w:lang w:val="en-US"/>
        </w:rPr>
      </w:pPr>
      <w:r w:rsidRPr="009038A6">
        <w:rPr>
          <w:rFonts w:cstheme="minorHAnsi"/>
          <w:lang w:val="en-US"/>
        </w:rPr>
        <w:object w:dxaOrig="5010" w:dyaOrig="3510">
          <v:shape id="_x0000_i1028" type="#_x0000_t75" style="width:149.4pt;height:104.4pt;mso-position-vertical:absolute" o:ole="">
            <v:imagedata r:id="rId14" o:title=""/>
          </v:shape>
          <o:OLEObject Type="Embed" ProgID="EViews.Workfile.2" ShapeID="_x0000_i1028" DrawAspect="Content" ObjectID="_1701967885" r:id="rId15"/>
        </w:object>
      </w:r>
      <w:r w:rsidRPr="009038A6">
        <w:rPr>
          <w:rFonts w:cstheme="minorHAnsi"/>
        </w:rPr>
        <w:object w:dxaOrig="5010" w:dyaOrig="3510">
          <v:shape id="_x0000_i1029" type="#_x0000_t75" style="width:149.4pt;height:104.4pt" o:ole="">
            <v:imagedata r:id="rId16" o:title=""/>
          </v:shape>
          <o:OLEObject Type="Embed" ProgID="EViews.Workfile.2" ShapeID="_x0000_i1029" DrawAspect="Content" ObjectID="_1701967886" r:id="rId17"/>
        </w:object>
      </w:r>
      <w:r w:rsidRPr="009038A6">
        <w:rPr>
          <w:rFonts w:cstheme="minorHAnsi"/>
          <w:lang w:val="en-US"/>
        </w:rPr>
        <w:object w:dxaOrig="5010" w:dyaOrig="3510">
          <v:shape id="_x0000_i1030" type="#_x0000_t75" style="width:149.4pt;height:104.4pt;mso-position-vertical:absolute" o:ole="">
            <v:imagedata r:id="rId18" o:title=""/>
          </v:shape>
          <o:OLEObject Type="Embed" ProgID="EViews.Workfile.2" ShapeID="_x0000_i1030" DrawAspect="Content" ObjectID="_1701967887" r:id="rId19"/>
        </w:object>
      </w:r>
    </w:p>
    <w:p w:rsidR="00E83583" w:rsidRPr="009038A6" w:rsidRDefault="00E83583" w:rsidP="00FE7874">
      <w:pPr>
        <w:spacing w:before="120" w:after="120" w:line="360" w:lineRule="auto"/>
        <w:jc w:val="both"/>
        <w:rPr>
          <w:rFonts w:cstheme="minorHAnsi"/>
          <w:lang w:val="en-US"/>
        </w:rPr>
      </w:pPr>
    </w:p>
    <w:p w:rsidR="00ED3DAA" w:rsidRPr="009038A6" w:rsidRDefault="002E54F0" w:rsidP="00FE7874">
      <w:pPr>
        <w:spacing w:before="120" w:after="120" w:line="360" w:lineRule="auto"/>
        <w:jc w:val="both"/>
        <w:rPr>
          <w:rFonts w:cstheme="minorHAnsi"/>
          <w:lang w:val="en-US"/>
        </w:rPr>
      </w:pPr>
      <w:r w:rsidRPr="009038A6">
        <w:rPr>
          <w:rFonts w:cstheme="minorHAnsi"/>
          <w:lang w:val="en-US"/>
        </w:rPr>
        <w:object w:dxaOrig="5115" w:dyaOrig="3510">
          <v:shape id="_x0000_i1031" type="#_x0000_t75" style="width:149.4pt;height:102pt" o:ole="">
            <v:imagedata r:id="rId20" o:title=""/>
          </v:shape>
          <o:OLEObject Type="Embed" ProgID="EViews.Workfile.2" ShapeID="_x0000_i1031" DrawAspect="Content" ObjectID="_1701967888" r:id="rId21"/>
        </w:object>
      </w:r>
      <w:r w:rsidRPr="009038A6">
        <w:rPr>
          <w:rFonts w:cstheme="minorHAnsi"/>
        </w:rPr>
        <w:object w:dxaOrig="5115" w:dyaOrig="3510">
          <v:shape id="_x0000_i1032" type="#_x0000_t75" style="width:149.4pt;height:102pt" o:ole="">
            <v:imagedata r:id="rId22" o:title=""/>
          </v:shape>
          <o:OLEObject Type="Embed" ProgID="EViews.Workfile.2" ShapeID="_x0000_i1032" DrawAspect="Content" ObjectID="_1701967889" r:id="rId23"/>
        </w:object>
      </w:r>
      <w:r w:rsidRPr="009038A6">
        <w:rPr>
          <w:rFonts w:cstheme="minorHAnsi"/>
          <w:lang w:val="en-US"/>
        </w:rPr>
        <w:object w:dxaOrig="5115" w:dyaOrig="3510">
          <v:shape id="_x0000_i1033" type="#_x0000_t75" style="width:149.4pt;height:102pt" o:ole="">
            <v:imagedata r:id="rId24" o:title=""/>
          </v:shape>
          <o:OLEObject Type="Embed" ProgID="EViews.Workfile.2" ShapeID="_x0000_i1033" DrawAspect="Content" ObjectID="_1701967890" r:id="rId25"/>
        </w:object>
      </w:r>
    </w:p>
    <w:p w:rsidR="00F964DC" w:rsidRPr="009038A6" w:rsidRDefault="00F964DC" w:rsidP="00FE7874">
      <w:pPr>
        <w:spacing w:before="120" w:after="120" w:line="360" w:lineRule="auto"/>
        <w:jc w:val="both"/>
        <w:rPr>
          <w:rFonts w:cstheme="minorHAnsi"/>
          <w:lang w:val="en-US"/>
        </w:rPr>
      </w:pPr>
    </w:p>
    <w:p w:rsidR="00ED3DAA" w:rsidRPr="009038A6" w:rsidRDefault="00A42E6A" w:rsidP="00FE7874">
      <w:pPr>
        <w:spacing w:before="120" w:after="120" w:line="360" w:lineRule="auto"/>
        <w:jc w:val="both"/>
        <w:rPr>
          <w:rFonts w:cstheme="minorHAnsi"/>
          <w:lang w:val="en-US"/>
        </w:rPr>
      </w:pPr>
      <w:r w:rsidRPr="009038A6">
        <w:rPr>
          <w:rFonts w:cstheme="minorHAnsi"/>
          <w:lang w:val="en-US"/>
        </w:rPr>
        <w:object w:dxaOrig="4906" w:dyaOrig="3510">
          <v:shape id="_x0000_i1034" type="#_x0000_t75" style="width:149.4pt;height:112.2pt" o:ole="">
            <v:imagedata r:id="rId26" o:title=""/>
          </v:shape>
          <o:OLEObject Type="Embed" ProgID="EViews.Workfile.2" ShapeID="_x0000_i1034" DrawAspect="Content" ObjectID="_1701967891" r:id="rId27"/>
        </w:object>
      </w:r>
      <w:r w:rsidRPr="009038A6">
        <w:rPr>
          <w:rFonts w:cstheme="minorHAnsi"/>
        </w:rPr>
        <w:object w:dxaOrig="4906" w:dyaOrig="3510">
          <v:shape id="_x0000_i1035" type="#_x0000_t75" style="width:154.8pt;height:110.4pt" o:ole="">
            <v:imagedata r:id="rId28" o:title=""/>
          </v:shape>
          <o:OLEObject Type="Embed" ProgID="EViews.Workfile.2" ShapeID="_x0000_i1035" DrawAspect="Content" ObjectID="_1701967892" r:id="rId29"/>
        </w:object>
      </w:r>
      <w:r w:rsidRPr="009038A6">
        <w:rPr>
          <w:rFonts w:cstheme="minorHAnsi"/>
          <w:lang w:val="en-US"/>
        </w:rPr>
        <w:object w:dxaOrig="4906" w:dyaOrig="3510">
          <v:shape id="_x0000_i1036" type="#_x0000_t75" style="width:149.4pt;height:111pt;mso-position-horizontal:absolute;mso-position-vertical:absolute" o:ole="">
            <v:imagedata r:id="rId30" o:title=""/>
          </v:shape>
          <o:OLEObject Type="Embed" ProgID="EViews.Workfile.2" ShapeID="_x0000_i1036" DrawAspect="Content" ObjectID="_1701967893" r:id="rId31"/>
        </w:object>
      </w:r>
    </w:p>
    <w:p w:rsidR="00AB0F4A" w:rsidRPr="009038A6" w:rsidRDefault="00AB0F4A" w:rsidP="00FE7874">
      <w:pPr>
        <w:autoSpaceDE w:val="0"/>
        <w:autoSpaceDN w:val="0"/>
        <w:adjustRightInd w:val="0"/>
        <w:spacing w:before="120" w:after="120" w:line="240" w:lineRule="auto"/>
        <w:jc w:val="both"/>
        <w:rPr>
          <w:rFonts w:cstheme="minorHAnsi"/>
          <w:sz w:val="20"/>
          <w:szCs w:val="20"/>
        </w:rPr>
      </w:pPr>
      <w:r w:rsidRPr="009038A6">
        <w:rPr>
          <w:rFonts w:cstheme="minorHAnsi"/>
          <w:sz w:val="20"/>
          <w:szCs w:val="20"/>
          <w:lang w:val="en-US"/>
        </w:rPr>
        <w:t xml:space="preserve">Note: </w:t>
      </w:r>
      <w:r w:rsidRPr="009038A6">
        <w:rPr>
          <w:rFonts w:cstheme="minorHAnsi"/>
          <w:sz w:val="20"/>
          <w:szCs w:val="20"/>
        </w:rPr>
        <w:t xml:space="preserve">Figure presents the response of </w:t>
      </w:r>
      <w:r w:rsidR="008306FF" w:rsidRPr="009038A6">
        <w:rPr>
          <w:rFonts w:cstheme="minorHAnsi"/>
          <w:sz w:val="20"/>
          <w:szCs w:val="20"/>
        </w:rPr>
        <w:t xml:space="preserve">the </w:t>
      </w:r>
      <w:r w:rsidRPr="009038A6">
        <w:rPr>
          <w:rFonts w:cstheme="minorHAnsi"/>
          <w:sz w:val="20"/>
          <w:szCs w:val="20"/>
        </w:rPr>
        <w:t xml:space="preserve">Turkish macroeconomy to a shock in the </w:t>
      </w:r>
      <w:r w:rsidRPr="009038A6">
        <w:rPr>
          <w:rFonts w:cstheme="minorHAnsi"/>
          <w:sz w:val="20"/>
          <w:szCs w:val="20"/>
          <w:lang w:val="en-US"/>
        </w:rPr>
        <w:t>interest rate uncertainty for different yields. The dotted lines show the two standard error bands used as a measure of statistical significance.</w:t>
      </w:r>
      <w:r w:rsidRPr="009038A6">
        <w:rPr>
          <w:rFonts w:cstheme="minorHAnsi"/>
          <w:sz w:val="20"/>
          <w:szCs w:val="20"/>
        </w:rPr>
        <w:t xml:space="preserve"> VARs include a constant, a time trend</w:t>
      </w:r>
      <w:r w:rsidR="008306FF" w:rsidRPr="009038A6">
        <w:rPr>
          <w:rFonts w:cstheme="minorHAnsi"/>
          <w:sz w:val="20"/>
          <w:szCs w:val="20"/>
        </w:rPr>
        <w:t>,</w:t>
      </w:r>
      <w:r w:rsidRPr="009038A6">
        <w:rPr>
          <w:rFonts w:cstheme="minorHAnsi"/>
          <w:sz w:val="20"/>
          <w:szCs w:val="20"/>
        </w:rPr>
        <w:t xml:space="preserve"> and oil prices as an exogenous variable. Horizontal axis is in months.</w:t>
      </w:r>
    </w:p>
    <w:p w:rsidR="0084568F" w:rsidRPr="009038A6" w:rsidRDefault="0084568F" w:rsidP="00FE7874">
      <w:pPr>
        <w:autoSpaceDE w:val="0"/>
        <w:autoSpaceDN w:val="0"/>
        <w:adjustRightInd w:val="0"/>
        <w:spacing w:before="120" w:after="120" w:line="360" w:lineRule="auto"/>
        <w:jc w:val="both"/>
        <w:rPr>
          <w:rFonts w:cstheme="minorHAnsi"/>
          <w:i/>
        </w:rPr>
      </w:pPr>
    </w:p>
    <w:p w:rsidR="00A55D2A" w:rsidRPr="009038A6" w:rsidRDefault="00A55D2A" w:rsidP="00A55D2A">
      <w:pPr>
        <w:autoSpaceDE w:val="0"/>
        <w:autoSpaceDN w:val="0"/>
        <w:adjustRightInd w:val="0"/>
        <w:spacing w:before="120" w:after="120" w:line="360" w:lineRule="auto"/>
        <w:jc w:val="both"/>
        <w:rPr>
          <w:rFonts w:cstheme="minorHAnsi"/>
          <w:lang w:val="en-US"/>
        </w:rPr>
      </w:pPr>
      <w:r w:rsidRPr="009038A6">
        <w:rPr>
          <w:rFonts w:cstheme="minorHAnsi"/>
          <w:lang w:val="en-US"/>
        </w:rPr>
        <w:lastRenderedPageBreak/>
        <w:t>As can be seen from the second row of Figure 1, the inflation rate increases following a positive policy rate uncertainty shock. The response takes three months to reach its maximum level and remain effective for a long time. Inflation responds immediately and positively to uncertainty in 2-year and 10-year yield shocks, with rates increasing around 0.5 percentage points after three months to these shocks. The response to the 2-year yield shock is significantly positive up to seven months. The effect of uncertainty on the 10-year yield shock is relatively short-lived.</w:t>
      </w:r>
    </w:p>
    <w:p w:rsidR="00A55D2A" w:rsidRDefault="00A55D2A" w:rsidP="00A55D2A">
      <w:pPr>
        <w:autoSpaceDE w:val="0"/>
        <w:autoSpaceDN w:val="0"/>
        <w:adjustRightInd w:val="0"/>
        <w:spacing w:before="120" w:after="120" w:line="360" w:lineRule="auto"/>
        <w:jc w:val="both"/>
        <w:rPr>
          <w:rFonts w:cstheme="minorHAnsi"/>
          <w:lang w:val="en-US"/>
        </w:rPr>
      </w:pPr>
      <w:r w:rsidRPr="009038A6">
        <w:rPr>
          <w:rFonts w:cstheme="minorHAnsi"/>
          <w:lang w:val="en-US"/>
        </w:rPr>
        <w:t xml:space="preserve">We observe that a positive policy rate uncertainty shock causes a short-lived increase in the growth of industrial production followed by a long-lasting decline. However, the effects of policy rate uncertainty shock on the growth of industrial production are not statistically significant. Growth of industrial production responds negatively to the uncertainty in the long yield shocks, and these responses are statistically significant from three-four months after the shocks. It seems that, despite significant, the decline in growth of industrial production does not quantitatively relevant. </w:t>
      </w:r>
    </w:p>
    <w:p w:rsidR="00BD71AA" w:rsidRPr="009038A6" w:rsidRDefault="00BD71AA" w:rsidP="00A55D2A">
      <w:pPr>
        <w:autoSpaceDE w:val="0"/>
        <w:autoSpaceDN w:val="0"/>
        <w:adjustRightInd w:val="0"/>
        <w:spacing w:before="120" w:after="120" w:line="360" w:lineRule="auto"/>
        <w:jc w:val="both"/>
        <w:rPr>
          <w:rFonts w:cstheme="minorHAnsi"/>
          <w:lang w:val="en-US"/>
        </w:rPr>
      </w:pPr>
    </w:p>
    <w:p w:rsidR="00684136" w:rsidRPr="009038A6" w:rsidRDefault="00D70031" w:rsidP="00FE7874">
      <w:pPr>
        <w:spacing w:before="120" w:after="120" w:line="360" w:lineRule="auto"/>
        <w:rPr>
          <w:rFonts w:cstheme="minorHAnsi"/>
          <w:lang w:val="en-US"/>
        </w:rPr>
      </w:pPr>
      <w:r w:rsidRPr="00553BE0">
        <w:rPr>
          <w:rFonts w:cstheme="minorHAnsi"/>
          <w:b/>
        </w:rPr>
        <w:t>Figure 2.</w:t>
      </w:r>
      <w:r w:rsidR="00EC1500" w:rsidRPr="009038A6">
        <w:rPr>
          <w:rFonts w:cstheme="minorHAnsi"/>
          <w:lang w:val="en-US"/>
        </w:rPr>
        <w:t xml:space="preserve"> Impulse Responses to US Monetary Policy Uncertainty Shock</w:t>
      </w:r>
    </w:p>
    <w:p w:rsidR="00D70031" w:rsidRPr="009038A6" w:rsidRDefault="00D70031" w:rsidP="00FE7874">
      <w:pPr>
        <w:spacing w:before="120" w:after="120" w:line="360" w:lineRule="auto"/>
        <w:rPr>
          <w:rFonts w:cstheme="minorHAnsi"/>
        </w:rPr>
      </w:pPr>
      <w:r w:rsidRPr="009038A6">
        <w:rPr>
          <w:rFonts w:cstheme="minorHAnsi"/>
        </w:rPr>
        <w:object w:dxaOrig="5011" w:dyaOrig="3510">
          <v:shape id="_x0000_i1037" type="#_x0000_t75" style="width:149.4pt;height:112.2pt" o:ole="" o:preferrelative="f">
            <v:imagedata r:id="rId32" o:title=""/>
            <o:lock v:ext="edit" aspectratio="f"/>
          </v:shape>
          <o:OLEObject Type="Embed" ProgID="EViews.Workfile.2" ShapeID="_x0000_i1037" DrawAspect="Content" ObjectID="_1701967894" r:id="rId33"/>
        </w:object>
      </w:r>
      <w:r w:rsidRPr="009038A6">
        <w:rPr>
          <w:rFonts w:cstheme="minorHAnsi"/>
        </w:rPr>
        <w:object w:dxaOrig="5011" w:dyaOrig="3510">
          <v:shape id="_x0000_i1038" type="#_x0000_t75" style="width:153.6pt;height:112.2pt;mso-position-vertical:absolute" o:ole="" o:preferrelative="f">
            <v:imagedata r:id="rId34" o:title=""/>
            <o:lock v:ext="edit" aspectratio="f"/>
          </v:shape>
          <o:OLEObject Type="Embed" ProgID="EViews.Workfile.2" ShapeID="_x0000_i1038" DrawAspect="Content" ObjectID="_1701967895" r:id="rId35"/>
        </w:object>
      </w:r>
    </w:p>
    <w:p w:rsidR="005F1BF1" w:rsidRPr="009038A6" w:rsidRDefault="005F1BF1" w:rsidP="00FE7874">
      <w:pPr>
        <w:spacing w:before="120" w:after="120" w:line="360" w:lineRule="auto"/>
        <w:rPr>
          <w:rFonts w:cstheme="minorHAnsi"/>
        </w:rPr>
      </w:pPr>
    </w:p>
    <w:p w:rsidR="00D70031" w:rsidRPr="009038A6" w:rsidRDefault="0082636F" w:rsidP="00FE7874">
      <w:pPr>
        <w:spacing w:before="120" w:after="120" w:line="360" w:lineRule="auto"/>
        <w:rPr>
          <w:rFonts w:cstheme="minorHAnsi"/>
        </w:rPr>
      </w:pPr>
      <w:r w:rsidRPr="009038A6">
        <w:rPr>
          <w:rFonts w:cstheme="minorHAnsi"/>
        </w:rPr>
        <w:object w:dxaOrig="5115" w:dyaOrig="3510">
          <v:shape id="_x0000_i1039" type="#_x0000_t75" style="width:153pt;height:114pt" o:ole="">
            <v:imagedata r:id="rId36" o:title=""/>
          </v:shape>
          <o:OLEObject Type="Embed" ProgID="EViews.Workfile.2" ShapeID="_x0000_i1039" DrawAspect="Content" ObjectID="_1701967896" r:id="rId37"/>
        </w:object>
      </w:r>
      <w:r w:rsidRPr="009038A6">
        <w:rPr>
          <w:rFonts w:cstheme="minorHAnsi"/>
        </w:rPr>
        <w:object w:dxaOrig="4906" w:dyaOrig="3510">
          <v:shape id="_x0000_i1040" type="#_x0000_t75" style="width:154.8pt;height:113.4pt" o:ole="">
            <v:imagedata r:id="rId38" o:title=""/>
          </v:shape>
          <o:OLEObject Type="Embed" ProgID="EViews.Workfile.2" ShapeID="_x0000_i1040" DrawAspect="Content" ObjectID="_1701967897" r:id="rId39"/>
        </w:object>
      </w:r>
    </w:p>
    <w:p w:rsidR="00AB0F4A" w:rsidRPr="009038A6" w:rsidRDefault="00AB0F4A" w:rsidP="00FE7874">
      <w:pPr>
        <w:autoSpaceDE w:val="0"/>
        <w:autoSpaceDN w:val="0"/>
        <w:adjustRightInd w:val="0"/>
        <w:spacing w:before="120" w:after="120" w:line="240" w:lineRule="auto"/>
        <w:jc w:val="both"/>
        <w:rPr>
          <w:rFonts w:cstheme="minorHAnsi"/>
          <w:sz w:val="20"/>
          <w:szCs w:val="20"/>
        </w:rPr>
      </w:pPr>
      <w:r w:rsidRPr="009038A6">
        <w:rPr>
          <w:rFonts w:cstheme="minorHAnsi"/>
          <w:sz w:val="20"/>
          <w:szCs w:val="20"/>
          <w:lang w:val="en-US"/>
        </w:rPr>
        <w:t xml:space="preserve">Note: </w:t>
      </w:r>
      <w:r w:rsidRPr="009038A6">
        <w:rPr>
          <w:rFonts w:cstheme="minorHAnsi"/>
          <w:sz w:val="20"/>
          <w:szCs w:val="20"/>
        </w:rPr>
        <w:t xml:space="preserve">Figure presents the response of </w:t>
      </w:r>
      <w:r w:rsidR="009C70CB" w:rsidRPr="009038A6">
        <w:rPr>
          <w:rFonts w:cstheme="minorHAnsi"/>
          <w:sz w:val="20"/>
          <w:szCs w:val="20"/>
        </w:rPr>
        <w:t xml:space="preserve">the </w:t>
      </w:r>
      <w:r w:rsidRPr="009038A6">
        <w:rPr>
          <w:rFonts w:cstheme="minorHAnsi"/>
          <w:sz w:val="20"/>
          <w:szCs w:val="20"/>
        </w:rPr>
        <w:t xml:space="preserve">Turkish macroeconomy to a shock in US monetary policy uncertainty. </w:t>
      </w:r>
      <w:r w:rsidRPr="009038A6">
        <w:rPr>
          <w:rFonts w:cstheme="minorHAnsi"/>
          <w:sz w:val="20"/>
          <w:szCs w:val="20"/>
          <w:lang w:val="en-US"/>
        </w:rPr>
        <w:t xml:space="preserve"> The dotted lines show the two standard error bands used as a measure of statistical significance.</w:t>
      </w:r>
      <w:r w:rsidRPr="009038A6">
        <w:rPr>
          <w:rFonts w:cstheme="minorHAnsi"/>
          <w:sz w:val="20"/>
          <w:szCs w:val="20"/>
        </w:rPr>
        <w:t xml:space="preserve"> VARs include a constant, a time trend</w:t>
      </w:r>
      <w:r w:rsidR="005C7005" w:rsidRPr="009038A6">
        <w:rPr>
          <w:rFonts w:cstheme="minorHAnsi"/>
          <w:sz w:val="20"/>
          <w:szCs w:val="20"/>
        </w:rPr>
        <w:t>,</w:t>
      </w:r>
      <w:r w:rsidRPr="009038A6">
        <w:rPr>
          <w:rFonts w:cstheme="minorHAnsi"/>
          <w:sz w:val="20"/>
          <w:szCs w:val="20"/>
        </w:rPr>
        <w:t xml:space="preserve"> and oil prices as an exogenous variable. Horizontal axis is in months.</w:t>
      </w:r>
    </w:p>
    <w:p w:rsidR="00D70031" w:rsidRPr="009038A6" w:rsidRDefault="00D70031" w:rsidP="00FE7874">
      <w:pPr>
        <w:spacing w:before="120" w:after="120" w:line="240" w:lineRule="auto"/>
        <w:rPr>
          <w:rFonts w:eastAsia="Times New Roman" w:cstheme="minorHAnsi"/>
          <w:i/>
          <w:iCs/>
          <w:lang w:val="en-US" w:eastAsia="tr-TR"/>
        </w:rPr>
      </w:pPr>
    </w:p>
    <w:p w:rsidR="00BD71AA" w:rsidRPr="009038A6" w:rsidRDefault="00BD71AA" w:rsidP="00BD71AA">
      <w:pPr>
        <w:autoSpaceDE w:val="0"/>
        <w:autoSpaceDN w:val="0"/>
        <w:adjustRightInd w:val="0"/>
        <w:spacing w:before="120" w:after="120" w:line="360" w:lineRule="auto"/>
        <w:jc w:val="both"/>
        <w:rPr>
          <w:rFonts w:cstheme="minorHAnsi"/>
          <w:lang w:val="en-US"/>
        </w:rPr>
      </w:pPr>
      <w:r w:rsidRPr="009038A6">
        <w:rPr>
          <w:rFonts w:cstheme="minorHAnsi"/>
          <w:lang w:val="en-US"/>
        </w:rPr>
        <w:t xml:space="preserve">If we look at the effect of shock in the interest rate uncertainty on unemployment, it is seen that when there is a shock in the policy rate uncertainty, it leads to a decrease in unemployment for up to five months. However, this effect is statistically insignificant. About eight months after the shock, the </w:t>
      </w:r>
      <w:r w:rsidRPr="009038A6">
        <w:rPr>
          <w:rFonts w:cstheme="minorHAnsi"/>
          <w:lang w:val="en-US"/>
        </w:rPr>
        <w:lastRenderedPageBreak/>
        <w:t>unemployment rate responds positively and significantly to the uncertainty shock, with a rate of approximately 0.15 percentages. The response of the unemployment to a 10-year treasury bill uncertainty shock displays similar dynamics. The response is insignificantly negative up to four months. About seven months after the shock, the unemployment rate responds significantly and positively to the long-yield uncertainty shock. In the case of an uncertainty shock in the 2-year yield, the unemployment rate immediately responds with an increase and this response continues for seven months. That is, unemployment worsens in response to a shock in interest rate uncertainty.</w:t>
      </w:r>
    </w:p>
    <w:p w:rsidR="00743782" w:rsidRPr="009038A6" w:rsidRDefault="00743782" w:rsidP="00FE7874">
      <w:pPr>
        <w:autoSpaceDE w:val="0"/>
        <w:autoSpaceDN w:val="0"/>
        <w:adjustRightInd w:val="0"/>
        <w:spacing w:before="120" w:after="120" w:line="360" w:lineRule="auto"/>
        <w:jc w:val="both"/>
        <w:rPr>
          <w:rFonts w:eastAsia="Times New Roman" w:cstheme="minorHAnsi"/>
          <w:iCs/>
          <w:lang w:val="en-US" w:eastAsia="tr-TR"/>
        </w:rPr>
      </w:pPr>
      <w:r w:rsidRPr="009038A6">
        <w:rPr>
          <w:rFonts w:eastAsia="Times New Roman" w:cstheme="minorHAnsi"/>
          <w:iCs/>
          <w:lang w:val="en-US" w:eastAsia="tr-TR"/>
        </w:rPr>
        <w:t>Figure 2 provides the impulse responses of the real exchange rate, industrial production, inflation, and unemployment to US monetary policy uncertainty shock. We observe that the effect of US monetary policy shock on inflation and real exchange rate are not different from zero. In the case of industrial production, we see that the reaction of growth of industrial production to MPU shock is negative and long-lived. Finally, we observe that unemployment reacts by a rise of 2 percentage points to MPU shock. This impact on unemployment is in the short-term, which turns insignificant after 4 months following the shock.</w:t>
      </w:r>
    </w:p>
    <w:p w:rsidR="00D70031" w:rsidRPr="009038A6" w:rsidRDefault="00D70031" w:rsidP="00FE7874">
      <w:pPr>
        <w:spacing w:before="120" w:after="120" w:line="360" w:lineRule="auto"/>
        <w:rPr>
          <w:rFonts w:eastAsia="Times New Roman" w:cstheme="minorHAnsi"/>
          <w:i/>
          <w:iCs/>
          <w:lang w:val="en-US" w:eastAsia="tr-TR"/>
        </w:rPr>
      </w:pPr>
    </w:p>
    <w:p w:rsidR="00A55D2A" w:rsidRDefault="00357409" w:rsidP="00A55D2A">
      <w:pPr>
        <w:spacing w:before="120" w:after="240" w:line="360" w:lineRule="auto"/>
        <w:rPr>
          <w:rFonts w:eastAsia="Times New Roman" w:cstheme="minorHAnsi"/>
          <w:b/>
          <w:iCs/>
          <w:lang w:val="en-US" w:eastAsia="tr-TR"/>
        </w:rPr>
      </w:pPr>
      <w:r w:rsidRPr="00FE7874">
        <w:rPr>
          <w:rFonts w:eastAsia="Times New Roman" w:cstheme="minorHAnsi"/>
          <w:b/>
          <w:iCs/>
          <w:lang w:val="en-US" w:eastAsia="tr-TR"/>
        </w:rPr>
        <w:t xml:space="preserve">5. </w:t>
      </w:r>
      <w:r w:rsidR="00C40FDD" w:rsidRPr="00FE7874">
        <w:rPr>
          <w:rFonts w:eastAsia="Times New Roman" w:cstheme="minorHAnsi"/>
          <w:b/>
          <w:iCs/>
          <w:lang w:val="en-US" w:eastAsia="tr-TR"/>
        </w:rPr>
        <w:t>Policy Implication</w:t>
      </w:r>
      <w:r w:rsidR="0084568F" w:rsidRPr="00FE7874">
        <w:rPr>
          <w:rFonts w:eastAsia="Times New Roman" w:cstheme="minorHAnsi"/>
          <w:b/>
          <w:iCs/>
          <w:lang w:val="en-US" w:eastAsia="tr-TR"/>
        </w:rPr>
        <w:t>s</w:t>
      </w:r>
      <w:r w:rsidRPr="00FE7874">
        <w:rPr>
          <w:rFonts w:eastAsia="Times New Roman" w:cstheme="minorHAnsi"/>
          <w:b/>
          <w:iCs/>
          <w:lang w:val="en-US" w:eastAsia="tr-TR"/>
        </w:rPr>
        <w:t xml:space="preserve"> and Conclusion</w:t>
      </w:r>
      <w:r w:rsidR="00C40FDD" w:rsidRPr="00FE7874">
        <w:rPr>
          <w:rFonts w:eastAsia="Times New Roman" w:cstheme="minorHAnsi"/>
          <w:b/>
          <w:iCs/>
          <w:lang w:val="en-US" w:eastAsia="tr-TR"/>
        </w:rPr>
        <w:t>:</w:t>
      </w:r>
    </w:p>
    <w:p w:rsidR="0084568F" w:rsidRPr="009038A6" w:rsidRDefault="00651D7B" w:rsidP="00A55D2A">
      <w:pPr>
        <w:spacing w:before="120" w:after="120" w:line="360" w:lineRule="auto"/>
        <w:jc w:val="both"/>
        <w:rPr>
          <w:rFonts w:cstheme="minorHAnsi"/>
          <w:lang w:val="en-US"/>
        </w:rPr>
      </w:pPr>
      <w:r w:rsidRPr="009038A6">
        <w:rPr>
          <w:rFonts w:cstheme="minorHAnsi"/>
          <w:lang w:val="en-US"/>
        </w:rPr>
        <w:t>T</w:t>
      </w:r>
      <w:r w:rsidR="008F047B" w:rsidRPr="009038A6">
        <w:rPr>
          <w:rFonts w:cstheme="minorHAnsi"/>
          <w:lang w:val="en-US"/>
        </w:rPr>
        <w:t>o make</w:t>
      </w:r>
      <w:r w:rsidR="00943CC5" w:rsidRPr="009038A6">
        <w:rPr>
          <w:rFonts w:cstheme="minorHAnsi"/>
          <w:lang w:val="en-US"/>
        </w:rPr>
        <w:t xml:space="preserve"> economic decisions, the expected outcomes of these decisions are ge</w:t>
      </w:r>
      <w:r w:rsidR="008F047B" w:rsidRPr="009038A6">
        <w:rPr>
          <w:rFonts w:cstheme="minorHAnsi"/>
          <w:lang w:val="en-US"/>
        </w:rPr>
        <w:t>nerally taken into account and</w:t>
      </w:r>
      <w:r w:rsidR="00943CC5" w:rsidRPr="009038A6">
        <w:rPr>
          <w:rFonts w:cstheme="minorHAnsi"/>
          <w:lang w:val="en-US"/>
        </w:rPr>
        <w:t xml:space="preserve"> people need to have a vision of what the future will be like. While uncertainty about the future is always present, large increases in uncertainty can make forward-looking decisions even more difficult.</w:t>
      </w:r>
      <w:r w:rsidR="0084568F" w:rsidRPr="009038A6">
        <w:rPr>
          <w:rFonts w:cstheme="minorHAnsi"/>
          <w:lang w:val="en-US"/>
        </w:rPr>
        <w:t xml:space="preserve"> </w:t>
      </w:r>
      <w:r w:rsidR="00914687" w:rsidRPr="00A55D2A">
        <w:rPr>
          <w:rFonts w:cstheme="minorHAnsi"/>
          <w:lang w:val="en-US"/>
        </w:rPr>
        <w:t xml:space="preserve">These uncertainties </w:t>
      </w:r>
      <w:r w:rsidR="00AE4074" w:rsidRPr="00A55D2A">
        <w:rPr>
          <w:rFonts w:cstheme="minorHAnsi"/>
          <w:lang w:val="en-US"/>
        </w:rPr>
        <w:t xml:space="preserve">do </w:t>
      </w:r>
      <w:r w:rsidR="00914687" w:rsidRPr="00A55D2A">
        <w:rPr>
          <w:rFonts w:cstheme="minorHAnsi"/>
          <w:lang w:val="en-US"/>
        </w:rPr>
        <w:t xml:space="preserve">not only </w:t>
      </w:r>
      <w:r w:rsidR="00AE4074" w:rsidRPr="00A55D2A">
        <w:rPr>
          <w:rFonts w:cstheme="minorHAnsi"/>
          <w:lang w:val="en-US"/>
        </w:rPr>
        <w:t>arise</w:t>
      </w:r>
      <w:r w:rsidR="00914687" w:rsidRPr="00A55D2A">
        <w:rPr>
          <w:rFonts w:cstheme="minorHAnsi"/>
          <w:lang w:val="en-US"/>
        </w:rPr>
        <w:t xml:space="preserve"> from countries’ own </w:t>
      </w:r>
      <w:r w:rsidRPr="00A55D2A">
        <w:rPr>
          <w:rFonts w:cstheme="minorHAnsi"/>
          <w:lang w:val="en-US"/>
        </w:rPr>
        <w:t>uncertainties</w:t>
      </w:r>
      <w:r w:rsidR="00914687" w:rsidRPr="00A55D2A">
        <w:rPr>
          <w:rFonts w:cstheme="minorHAnsi"/>
          <w:lang w:val="en-US"/>
        </w:rPr>
        <w:t xml:space="preserve"> but also </w:t>
      </w:r>
      <w:r w:rsidR="00AE4074" w:rsidRPr="00A55D2A">
        <w:rPr>
          <w:rFonts w:cstheme="minorHAnsi"/>
          <w:lang w:val="en-US"/>
        </w:rPr>
        <w:t>uncertainties</w:t>
      </w:r>
      <w:r w:rsidR="00914687" w:rsidRPr="00A55D2A">
        <w:rPr>
          <w:rFonts w:cstheme="minorHAnsi"/>
          <w:lang w:val="en-US"/>
        </w:rPr>
        <w:t xml:space="preserve"> from abroad. Due to the dominant position of the US economy in global financial markets, uncertainty about </w:t>
      </w:r>
      <w:r w:rsidRPr="00A55D2A">
        <w:rPr>
          <w:rFonts w:cstheme="minorHAnsi"/>
          <w:lang w:val="en-US"/>
        </w:rPr>
        <w:t xml:space="preserve">the </w:t>
      </w:r>
      <w:r w:rsidR="00914687" w:rsidRPr="00A55D2A">
        <w:rPr>
          <w:rFonts w:cstheme="minorHAnsi"/>
          <w:lang w:val="en-US"/>
        </w:rPr>
        <w:t xml:space="preserve">monetary policy of </w:t>
      </w:r>
      <w:r w:rsidRPr="00A55D2A">
        <w:rPr>
          <w:rFonts w:cstheme="minorHAnsi"/>
          <w:lang w:val="en-US"/>
        </w:rPr>
        <w:t xml:space="preserve">the </w:t>
      </w:r>
      <w:r w:rsidR="00914687" w:rsidRPr="00A55D2A">
        <w:rPr>
          <w:rFonts w:cstheme="minorHAnsi"/>
          <w:lang w:val="en-US"/>
        </w:rPr>
        <w:t xml:space="preserve">US (MPU) may have an impact on other economies. </w:t>
      </w:r>
      <w:r w:rsidR="00945D66" w:rsidRPr="009038A6">
        <w:rPr>
          <w:rFonts w:cstheme="minorHAnsi"/>
          <w:lang w:val="en-US"/>
        </w:rPr>
        <w:t xml:space="preserve">Our study presents the </w:t>
      </w:r>
      <w:r w:rsidR="00567484" w:rsidRPr="009038A6">
        <w:rPr>
          <w:rFonts w:cstheme="minorHAnsi"/>
          <w:lang w:val="en-US"/>
        </w:rPr>
        <w:t xml:space="preserve">macroeconomic </w:t>
      </w:r>
      <w:r w:rsidR="00AE4074" w:rsidRPr="009038A6">
        <w:rPr>
          <w:rFonts w:cstheme="minorHAnsi"/>
          <w:lang w:val="en-US"/>
        </w:rPr>
        <w:t>implication</w:t>
      </w:r>
      <w:r w:rsidR="00945D66" w:rsidRPr="009038A6">
        <w:rPr>
          <w:rFonts w:cstheme="minorHAnsi"/>
          <w:lang w:val="en-US"/>
        </w:rPr>
        <w:t xml:space="preserve">s of uncertainties </w:t>
      </w:r>
      <w:r w:rsidR="00AE4074" w:rsidRPr="009038A6">
        <w:rPr>
          <w:rFonts w:cstheme="minorHAnsi"/>
          <w:lang w:val="en-US"/>
        </w:rPr>
        <w:t>regarding</w:t>
      </w:r>
      <w:r w:rsidR="00945D66" w:rsidRPr="009038A6">
        <w:rPr>
          <w:rFonts w:cstheme="minorHAnsi"/>
          <w:lang w:val="en-US"/>
        </w:rPr>
        <w:t xml:space="preserve"> </w:t>
      </w:r>
      <w:r w:rsidR="00914687" w:rsidRPr="009038A6">
        <w:rPr>
          <w:rFonts w:cstheme="minorHAnsi"/>
          <w:lang w:val="en-US"/>
        </w:rPr>
        <w:t xml:space="preserve">Turkey’s own </w:t>
      </w:r>
      <w:r w:rsidR="00945D66" w:rsidRPr="009038A6">
        <w:rPr>
          <w:rFonts w:cstheme="minorHAnsi"/>
          <w:lang w:val="en-US"/>
        </w:rPr>
        <w:t xml:space="preserve">interest </w:t>
      </w:r>
      <w:r w:rsidR="00914687" w:rsidRPr="009038A6">
        <w:rPr>
          <w:rFonts w:cstheme="minorHAnsi"/>
          <w:lang w:val="en-US"/>
        </w:rPr>
        <w:t>yields and</w:t>
      </w:r>
      <w:r w:rsidR="00AE4074" w:rsidRPr="009038A6">
        <w:rPr>
          <w:rFonts w:cstheme="minorHAnsi"/>
          <w:lang w:val="en-US"/>
        </w:rPr>
        <w:t xml:space="preserve"> the</w:t>
      </w:r>
      <w:r w:rsidR="00914687" w:rsidRPr="009038A6">
        <w:rPr>
          <w:rFonts w:cstheme="minorHAnsi"/>
          <w:lang w:val="en-US"/>
        </w:rPr>
        <w:t xml:space="preserve"> MPU of </w:t>
      </w:r>
      <w:r w:rsidRPr="009038A6">
        <w:rPr>
          <w:rFonts w:cstheme="minorHAnsi"/>
          <w:lang w:val="en-US"/>
        </w:rPr>
        <w:t xml:space="preserve">the </w:t>
      </w:r>
      <w:r w:rsidR="00914687" w:rsidRPr="009038A6">
        <w:rPr>
          <w:rFonts w:cstheme="minorHAnsi"/>
          <w:lang w:val="en-US"/>
        </w:rPr>
        <w:t>US</w:t>
      </w:r>
      <w:r w:rsidR="00945D66" w:rsidRPr="009038A6">
        <w:rPr>
          <w:rFonts w:cstheme="minorHAnsi"/>
          <w:lang w:val="en-US"/>
        </w:rPr>
        <w:t xml:space="preserve">. </w:t>
      </w:r>
    </w:p>
    <w:p w:rsidR="00614803" w:rsidRDefault="00F530E7" w:rsidP="00FE7874">
      <w:pPr>
        <w:spacing w:before="120" w:after="120" w:line="360" w:lineRule="auto"/>
        <w:jc w:val="both"/>
        <w:rPr>
          <w:rFonts w:cstheme="minorHAnsi"/>
          <w:lang w:val="en-US"/>
        </w:rPr>
      </w:pPr>
      <w:r w:rsidRPr="00614803">
        <w:rPr>
          <w:rFonts w:cstheme="minorHAnsi"/>
          <w:lang w:val="en-US"/>
        </w:rPr>
        <w:t>According to our findings,</w:t>
      </w:r>
      <w:r w:rsidR="00AC3209" w:rsidRPr="00614803">
        <w:rPr>
          <w:rFonts w:cstheme="minorHAnsi"/>
          <w:lang w:val="en-US"/>
        </w:rPr>
        <w:t xml:space="preserve"> although it does not quantitatively relevant,</w:t>
      </w:r>
      <w:r w:rsidRPr="00614803">
        <w:rPr>
          <w:rFonts w:cstheme="minorHAnsi"/>
          <w:lang w:val="en-US"/>
        </w:rPr>
        <w:t xml:space="preserve"> shocks to long-yield uncertainties have a negative effect on the growth of industrial production. </w:t>
      </w:r>
      <w:r w:rsidR="004B7D52" w:rsidRPr="00614803">
        <w:rPr>
          <w:rFonts w:cstheme="minorHAnsi"/>
          <w:lang w:val="en-US"/>
        </w:rPr>
        <w:t>In addition, u</w:t>
      </w:r>
      <w:r w:rsidRPr="00614803">
        <w:rPr>
          <w:rFonts w:cstheme="minorHAnsi"/>
          <w:lang w:val="en-US"/>
        </w:rPr>
        <w:t>nemployment worsens in response to a shock in interest rate uncertainty. The response of unemployment to 2-year yield uncertainty is high in magnitude and persistent</w:t>
      </w:r>
      <w:r w:rsidR="00AC3209" w:rsidRPr="00614803">
        <w:rPr>
          <w:rFonts w:cstheme="minorHAnsi"/>
          <w:lang w:val="en-US"/>
        </w:rPr>
        <w:t xml:space="preserve">. </w:t>
      </w:r>
      <w:r w:rsidR="00677BF7" w:rsidRPr="00614803">
        <w:rPr>
          <w:rFonts w:cstheme="minorHAnsi"/>
          <w:lang w:val="en-US"/>
        </w:rPr>
        <w:t>It seems</w:t>
      </w:r>
      <w:r w:rsidR="004B7D52" w:rsidRPr="00614803">
        <w:rPr>
          <w:rFonts w:cstheme="minorHAnsi"/>
          <w:lang w:val="en-US"/>
        </w:rPr>
        <w:t xml:space="preserve"> that interest rate uncertainty is recessionary</w:t>
      </w:r>
      <w:r w:rsidR="00AC3209" w:rsidRPr="00614803">
        <w:rPr>
          <w:rFonts w:cstheme="minorHAnsi"/>
          <w:lang w:val="en-US"/>
        </w:rPr>
        <w:t>, that is, it increases unemployment and decreases economic growth</w:t>
      </w:r>
      <w:r w:rsidR="004B7D52" w:rsidRPr="00614803">
        <w:rPr>
          <w:rFonts w:cstheme="minorHAnsi"/>
          <w:lang w:val="en-US"/>
        </w:rPr>
        <w:t>.</w:t>
      </w:r>
      <w:r w:rsidRPr="00614803">
        <w:rPr>
          <w:rFonts w:cstheme="minorHAnsi"/>
          <w:lang w:val="en-US"/>
        </w:rPr>
        <w:t xml:space="preserve"> </w:t>
      </w:r>
      <w:r w:rsidR="00AC3209" w:rsidRPr="00614803">
        <w:rPr>
          <w:rFonts w:cstheme="minorHAnsi"/>
          <w:lang w:val="en-US"/>
        </w:rPr>
        <w:t>When we consider the inflation rate, we observe that i</w:t>
      </w:r>
      <w:r w:rsidR="004B7D52" w:rsidRPr="00614803">
        <w:rPr>
          <w:rFonts w:cstheme="minorHAnsi"/>
          <w:lang w:val="en-US"/>
        </w:rPr>
        <w:t>nflation increases in response to interest rate uncertainty shocks. The effect of policy rate uncertainty on inflation is quantitatively large</w:t>
      </w:r>
      <w:r w:rsidR="00AC3209" w:rsidRPr="00614803">
        <w:rPr>
          <w:rFonts w:cstheme="minorHAnsi"/>
          <w:lang w:val="en-US"/>
        </w:rPr>
        <w:t>.</w:t>
      </w:r>
      <w:r w:rsidR="004B7D52" w:rsidRPr="00614803">
        <w:rPr>
          <w:rFonts w:cstheme="minorHAnsi"/>
          <w:lang w:val="en-US"/>
        </w:rPr>
        <w:t xml:space="preserve"> </w:t>
      </w:r>
      <w:r w:rsidR="00677BF7" w:rsidRPr="00614803">
        <w:rPr>
          <w:rFonts w:cstheme="minorHAnsi"/>
          <w:lang w:val="en-US"/>
        </w:rPr>
        <w:t>If we look at the response of the exchange rate, we observe that u</w:t>
      </w:r>
      <w:r w:rsidR="00437BC0" w:rsidRPr="00614803">
        <w:rPr>
          <w:rFonts w:cstheme="minorHAnsi"/>
          <w:lang w:val="en-US"/>
        </w:rPr>
        <w:t xml:space="preserve">ncertainty in </w:t>
      </w:r>
      <w:r w:rsidR="002F3765" w:rsidRPr="00614803">
        <w:rPr>
          <w:rFonts w:cstheme="minorHAnsi"/>
          <w:lang w:val="en-US"/>
        </w:rPr>
        <w:t xml:space="preserve">the </w:t>
      </w:r>
      <w:r w:rsidR="00437BC0" w:rsidRPr="00614803">
        <w:rPr>
          <w:rFonts w:cstheme="minorHAnsi"/>
          <w:lang w:val="en-US"/>
        </w:rPr>
        <w:t>interest rate</w:t>
      </w:r>
      <w:r w:rsidR="002F3765" w:rsidRPr="00614803">
        <w:rPr>
          <w:rFonts w:cstheme="minorHAnsi"/>
          <w:lang w:val="en-US"/>
        </w:rPr>
        <w:t>s</w:t>
      </w:r>
      <w:r w:rsidR="00437BC0" w:rsidRPr="00614803">
        <w:rPr>
          <w:rFonts w:cstheme="minorHAnsi"/>
          <w:lang w:val="en-US"/>
        </w:rPr>
        <w:t xml:space="preserve"> causes </w:t>
      </w:r>
      <w:r w:rsidR="00437BC0" w:rsidRPr="00614803">
        <w:rPr>
          <w:rFonts w:cstheme="minorHAnsi"/>
          <w:lang w:val="en-US"/>
        </w:rPr>
        <w:lastRenderedPageBreak/>
        <w:t>volatility in the real exchange rate.</w:t>
      </w:r>
      <w:r w:rsidR="00052346" w:rsidRPr="00614803">
        <w:rPr>
          <w:rFonts w:cstheme="minorHAnsi"/>
          <w:lang w:val="en-US"/>
        </w:rPr>
        <w:t xml:space="preserve"> Overall, our results put forth the importance of reducing uncertainties about interest rates to achieve economic stability.</w:t>
      </w:r>
    </w:p>
    <w:p w:rsidR="00614803" w:rsidRPr="00614803" w:rsidRDefault="00614803" w:rsidP="00FE7874">
      <w:pPr>
        <w:spacing w:before="120" w:after="120" w:line="360" w:lineRule="auto"/>
        <w:jc w:val="both"/>
        <w:rPr>
          <w:rFonts w:cstheme="minorHAnsi"/>
          <w:lang w:val="en-US"/>
        </w:rPr>
      </w:pPr>
      <w:r w:rsidRPr="00614803">
        <w:rPr>
          <w:rFonts w:cstheme="minorHAnsi"/>
          <w:lang w:val="en-US"/>
        </w:rPr>
        <w:t>Finally, we observe that US monetary policy shock leads to a long-lived decline in the growth of industrial production. Besides, unemployment increases following an MPU shock.</w:t>
      </w:r>
      <w:r>
        <w:rPr>
          <w:rFonts w:cstheme="minorHAnsi"/>
          <w:lang w:val="en-US"/>
        </w:rPr>
        <w:t xml:space="preserve"> These</w:t>
      </w:r>
      <w:r w:rsidR="00634EE6" w:rsidRPr="00614803">
        <w:rPr>
          <w:rFonts w:cstheme="minorHAnsi"/>
          <w:lang w:val="en-US"/>
        </w:rPr>
        <w:t xml:space="preserve"> findings indicate that US monetary policy uncertainty can be one of many sources of the decline in output growth and the increase in the unemployment rate for Turkey.</w:t>
      </w:r>
      <w:r w:rsidR="004D0FE6" w:rsidRPr="00614803">
        <w:rPr>
          <w:rFonts w:cstheme="minorHAnsi"/>
          <w:lang w:val="en-US"/>
        </w:rPr>
        <w:t xml:space="preserve"> </w:t>
      </w:r>
      <w:r w:rsidRPr="00614803">
        <w:rPr>
          <w:rFonts w:cstheme="minorHAnsi"/>
          <w:lang w:val="en-US"/>
        </w:rPr>
        <w:t>This may be due to the fact that US monetary policy uncertainty is seen as a source of uncertainty by investors in Turkey.</w:t>
      </w:r>
      <w:r>
        <w:rPr>
          <w:rFonts w:cstheme="minorHAnsi"/>
          <w:lang w:val="en-US"/>
        </w:rPr>
        <w:t xml:space="preserve"> The degrees of trade and financial integration with the US may lead this response.</w:t>
      </w:r>
    </w:p>
    <w:p w:rsidR="003027B8" w:rsidRPr="009038A6" w:rsidRDefault="00052346" w:rsidP="00FE7874">
      <w:pPr>
        <w:spacing w:before="120" w:after="120" w:line="360" w:lineRule="auto"/>
        <w:jc w:val="both"/>
        <w:rPr>
          <w:rFonts w:cstheme="minorHAnsi"/>
          <w:lang w:val="en-US"/>
        </w:rPr>
      </w:pPr>
      <w:r w:rsidRPr="009038A6">
        <w:rPr>
          <w:rFonts w:cstheme="minorHAnsi"/>
          <w:lang w:val="en-US"/>
        </w:rPr>
        <w:t xml:space="preserve">To reach their goals, the central banks should be able to influence expectations regarding the future path of the interest rate. However, uncertainties in the interest rate can weaken this effect. If interest rate uncertainties represent a negative element for the effectiveness of the monetary policy, we can conclude that our findings provide evidence for the importance of transparency, clear communication, and accountability of central banks. That is, central banks can use these tools to alleviate interest rate uncertainty. </w:t>
      </w:r>
      <w:proofErr w:type="spellStart"/>
      <w:r w:rsidR="003027B8" w:rsidRPr="009038A6">
        <w:rPr>
          <w:rFonts w:cstheme="minorHAnsi"/>
          <w:lang w:val="en-US"/>
        </w:rPr>
        <w:t>Mishkin</w:t>
      </w:r>
      <w:proofErr w:type="spellEnd"/>
      <w:r w:rsidR="003027B8" w:rsidRPr="009038A6">
        <w:rPr>
          <w:rFonts w:cstheme="minorHAnsi"/>
          <w:lang w:val="en-US"/>
        </w:rPr>
        <w:t xml:space="preserve"> (2000) examined the principles that central banks should follow in order not to cause uncertainty. Accountability, transparency, and communication are some of those principles. By reducing the uncertainty in the interest rate, economic agents can be enabled to plan, invest and trade with little need for hedging.</w:t>
      </w:r>
    </w:p>
    <w:p w:rsidR="009703F2" w:rsidRPr="009703F2" w:rsidRDefault="0084568F" w:rsidP="009703F2">
      <w:pPr>
        <w:spacing w:before="120" w:after="120" w:line="360" w:lineRule="auto"/>
        <w:jc w:val="both"/>
        <w:rPr>
          <w:rFonts w:cstheme="minorHAnsi"/>
          <w:lang w:val="en-US"/>
        </w:rPr>
      </w:pPr>
      <w:r w:rsidRPr="009703F2">
        <w:rPr>
          <w:rFonts w:cstheme="minorHAnsi"/>
          <w:lang w:val="en-US"/>
        </w:rPr>
        <w:t>Although the central bank's clear communication with the public has an important role in reducing the uncertainty about the future path of interest rates, the central bank may not be able to implement its plans due to unexpected macroeconomic developments. Most economic policies respond to underlying economic conditions. Therefore, it is impossible to be sure exactly what the policy will be if there is uncertainty about the underlying conditions. While it is impossible to eliminate all economic uncertainty, it can be helpful to set clear policy targets.</w:t>
      </w:r>
      <w:r w:rsidR="009703F2" w:rsidRPr="009703F2">
        <w:rPr>
          <w:rFonts w:cstheme="minorHAnsi"/>
          <w:lang w:val="en-US"/>
        </w:rPr>
        <w:t xml:space="preserve"> </w:t>
      </w:r>
      <w:r w:rsidR="009703F2">
        <w:rPr>
          <w:rFonts w:cstheme="minorHAnsi"/>
          <w:lang w:val="en-US"/>
        </w:rPr>
        <w:t xml:space="preserve">At least in this case </w:t>
      </w:r>
      <w:r w:rsidR="009703F2" w:rsidRPr="009703F2">
        <w:rPr>
          <w:rFonts w:cstheme="minorHAnsi"/>
          <w:lang w:val="en-US"/>
        </w:rPr>
        <w:t>monetary policy itself will not be a source of uncertainty.</w:t>
      </w:r>
    </w:p>
    <w:p w:rsidR="00945D66" w:rsidRPr="009038A6" w:rsidRDefault="00945D66" w:rsidP="00FE7874">
      <w:pPr>
        <w:shd w:val="clear" w:color="auto" w:fill="FFFFFF"/>
        <w:spacing w:before="120" w:after="120" w:line="360" w:lineRule="auto"/>
        <w:rPr>
          <w:rFonts w:eastAsia="Times New Roman" w:cstheme="minorHAnsi"/>
          <w:lang w:val="en-US" w:eastAsia="tr-TR"/>
        </w:rPr>
      </w:pPr>
    </w:p>
    <w:p w:rsidR="008933DA" w:rsidRPr="009038A6" w:rsidRDefault="00D930D7" w:rsidP="00FE7874">
      <w:pPr>
        <w:shd w:val="clear" w:color="auto" w:fill="FFFFFF"/>
        <w:spacing w:before="120" w:after="120" w:line="360" w:lineRule="auto"/>
        <w:rPr>
          <w:rFonts w:cstheme="minorHAnsi"/>
          <w:b/>
          <w:shd w:val="clear" w:color="auto" w:fill="FFFFFF"/>
          <w:lang w:val="en-US"/>
        </w:rPr>
      </w:pPr>
      <w:r w:rsidRPr="009038A6">
        <w:rPr>
          <w:rFonts w:cstheme="minorHAnsi"/>
          <w:b/>
          <w:shd w:val="clear" w:color="auto" w:fill="FFFFFF"/>
          <w:lang w:val="en-US"/>
        </w:rPr>
        <w:t>References</w:t>
      </w:r>
    </w:p>
    <w:p w:rsidR="008933DA" w:rsidRDefault="00635362" w:rsidP="00FE7874">
      <w:pPr>
        <w:autoSpaceDE w:val="0"/>
        <w:autoSpaceDN w:val="0"/>
        <w:adjustRightInd w:val="0"/>
        <w:spacing w:before="120" w:after="120" w:line="360" w:lineRule="auto"/>
        <w:ind w:left="567" w:hanging="567"/>
        <w:jc w:val="both"/>
        <w:rPr>
          <w:rFonts w:cstheme="minorHAnsi"/>
          <w:lang w:val="en-US"/>
        </w:rPr>
      </w:pPr>
      <w:proofErr w:type="spellStart"/>
      <w:r w:rsidRPr="009038A6">
        <w:rPr>
          <w:rFonts w:cstheme="minorHAnsi"/>
          <w:lang w:val="en-US"/>
        </w:rPr>
        <w:t>Aastveit</w:t>
      </w:r>
      <w:proofErr w:type="spellEnd"/>
      <w:r w:rsidRPr="009038A6">
        <w:rPr>
          <w:rFonts w:cstheme="minorHAnsi"/>
          <w:lang w:val="en-US"/>
        </w:rPr>
        <w:t>, K.</w:t>
      </w:r>
      <w:proofErr w:type="gramStart"/>
      <w:r w:rsidR="00D42190" w:rsidRPr="009038A6">
        <w:rPr>
          <w:rFonts w:cstheme="minorHAnsi"/>
          <w:lang w:val="en-US"/>
        </w:rPr>
        <w:t>,</w:t>
      </w:r>
      <w:r w:rsidRPr="009038A6">
        <w:rPr>
          <w:rFonts w:cstheme="minorHAnsi"/>
          <w:lang w:val="en-US"/>
        </w:rPr>
        <w:t xml:space="preserve"> </w:t>
      </w:r>
      <w:r w:rsidR="008933DA" w:rsidRPr="009038A6">
        <w:rPr>
          <w:rFonts w:cstheme="minorHAnsi"/>
          <w:lang w:val="en-US"/>
        </w:rPr>
        <w:t xml:space="preserve"> </w:t>
      </w:r>
      <w:proofErr w:type="spellStart"/>
      <w:r w:rsidR="0094402A" w:rsidRPr="009038A6">
        <w:rPr>
          <w:rFonts w:cstheme="minorHAnsi"/>
          <w:lang w:val="en-US"/>
        </w:rPr>
        <w:t>Natvik</w:t>
      </w:r>
      <w:proofErr w:type="spellEnd"/>
      <w:proofErr w:type="gramEnd"/>
      <w:r w:rsidR="0094402A" w:rsidRPr="009038A6">
        <w:rPr>
          <w:rFonts w:cstheme="minorHAnsi"/>
          <w:lang w:val="en-US"/>
        </w:rPr>
        <w:t xml:space="preserve">, </w:t>
      </w:r>
      <w:r w:rsidR="00D42190" w:rsidRPr="009038A6">
        <w:rPr>
          <w:rFonts w:cstheme="minorHAnsi"/>
          <w:lang w:val="en-US"/>
        </w:rPr>
        <w:t>G.J. and</w:t>
      </w:r>
      <w:r w:rsidR="0094402A" w:rsidRPr="009038A6">
        <w:rPr>
          <w:rFonts w:cstheme="minorHAnsi"/>
          <w:lang w:val="en-US"/>
        </w:rPr>
        <w:t xml:space="preserve"> Sola</w:t>
      </w:r>
      <w:r w:rsidR="00D42190" w:rsidRPr="009038A6">
        <w:rPr>
          <w:rFonts w:cstheme="minorHAnsi"/>
          <w:lang w:val="en-US"/>
        </w:rPr>
        <w:t>, S.</w:t>
      </w:r>
      <w:r w:rsidR="0094402A" w:rsidRPr="009038A6">
        <w:rPr>
          <w:rFonts w:cstheme="minorHAnsi"/>
          <w:lang w:val="en-US"/>
        </w:rPr>
        <w:t xml:space="preserve"> (2013) “</w:t>
      </w:r>
      <w:r w:rsidR="008933DA" w:rsidRPr="009038A6">
        <w:rPr>
          <w:rFonts w:cstheme="minorHAnsi"/>
          <w:lang w:val="en-US"/>
        </w:rPr>
        <w:t>Economic uncertainty</w:t>
      </w:r>
      <w:r w:rsidR="0094402A" w:rsidRPr="009038A6">
        <w:rPr>
          <w:rFonts w:cstheme="minorHAnsi"/>
          <w:lang w:val="en-US"/>
        </w:rPr>
        <w:t xml:space="preserve"> and the eff</w:t>
      </w:r>
      <w:r w:rsidR="008933DA" w:rsidRPr="009038A6">
        <w:rPr>
          <w:rFonts w:cstheme="minorHAnsi"/>
          <w:lang w:val="en-US"/>
        </w:rPr>
        <w:t xml:space="preserve">ectiveness of monetary policy." Unpublished manuscript, </w:t>
      </w:r>
      <w:proofErr w:type="spellStart"/>
      <w:r w:rsidR="008933DA" w:rsidRPr="009038A6">
        <w:rPr>
          <w:rFonts w:cstheme="minorHAnsi"/>
          <w:lang w:val="en-US"/>
        </w:rPr>
        <w:t>Norges</w:t>
      </w:r>
      <w:proofErr w:type="spellEnd"/>
      <w:r w:rsidR="008933DA" w:rsidRPr="009038A6">
        <w:rPr>
          <w:rFonts w:cstheme="minorHAnsi"/>
          <w:lang w:val="en-US"/>
        </w:rPr>
        <w:t xml:space="preserve"> Bank.</w:t>
      </w:r>
    </w:p>
    <w:p w:rsidR="00D05358" w:rsidRDefault="00D05358" w:rsidP="00FE7874">
      <w:pPr>
        <w:autoSpaceDE w:val="0"/>
        <w:autoSpaceDN w:val="0"/>
        <w:adjustRightInd w:val="0"/>
        <w:spacing w:before="120" w:after="120" w:line="360" w:lineRule="auto"/>
        <w:ind w:left="567" w:hanging="567"/>
        <w:jc w:val="both"/>
        <w:rPr>
          <w:rFonts w:cstheme="minorHAnsi"/>
          <w:lang w:val="en-US"/>
        </w:rPr>
      </w:pPr>
      <w:r w:rsidRPr="00D05358">
        <w:rPr>
          <w:rFonts w:cstheme="minorHAnsi"/>
          <w:lang w:val="en-US"/>
        </w:rPr>
        <w:t xml:space="preserve">Aktaş, Z., Alp, H., </w:t>
      </w:r>
      <w:proofErr w:type="spellStart"/>
      <w:r w:rsidRPr="00D05358">
        <w:rPr>
          <w:rFonts w:cstheme="minorHAnsi"/>
          <w:lang w:val="en-US"/>
        </w:rPr>
        <w:t>Gürkaynak</w:t>
      </w:r>
      <w:proofErr w:type="spellEnd"/>
      <w:r w:rsidRPr="00D05358">
        <w:rPr>
          <w:rFonts w:cstheme="minorHAnsi"/>
          <w:lang w:val="en-US"/>
        </w:rPr>
        <w:t>, R., Kes</w:t>
      </w:r>
      <w:r w:rsidR="001E24A2">
        <w:rPr>
          <w:rFonts w:cstheme="minorHAnsi"/>
          <w:lang w:val="en-US"/>
        </w:rPr>
        <w:t xml:space="preserve">riyeli, M., and </w:t>
      </w:r>
      <w:proofErr w:type="spellStart"/>
      <w:r w:rsidR="001E24A2">
        <w:rPr>
          <w:rFonts w:cstheme="minorHAnsi"/>
          <w:lang w:val="en-US"/>
        </w:rPr>
        <w:t>Orak</w:t>
      </w:r>
      <w:proofErr w:type="spellEnd"/>
      <w:r w:rsidR="001E24A2">
        <w:rPr>
          <w:rFonts w:cstheme="minorHAnsi"/>
          <w:lang w:val="en-US"/>
        </w:rPr>
        <w:t>, M. (2009)</w:t>
      </w:r>
      <w:r w:rsidRPr="00D05358">
        <w:rPr>
          <w:rFonts w:cstheme="minorHAnsi"/>
          <w:lang w:val="en-US"/>
        </w:rPr>
        <w:t xml:space="preserve"> </w:t>
      </w:r>
      <w:r w:rsidR="001E24A2">
        <w:rPr>
          <w:rFonts w:cstheme="minorHAnsi"/>
          <w:lang w:val="en-US"/>
        </w:rPr>
        <w:t>“</w:t>
      </w:r>
      <w:proofErr w:type="spellStart"/>
      <w:r w:rsidRPr="00D05358">
        <w:rPr>
          <w:rFonts w:cstheme="minorHAnsi"/>
          <w:lang w:val="en-US"/>
        </w:rPr>
        <w:t>Türkiye'de</w:t>
      </w:r>
      <w:proofErr w:type="spellEnd"/>
      <w:r w:rsidRPr="00D05358">
        <w:rPr>
          <w:rFonts w:cstheme="minorHAnsi"/>
          <w:lang w:val="en-US"/>
        </w:rPr>
        <w:t xml:space="preserve"> </w:t>
      </w:r>
      <w:r w:rsidR="00C426A3">
        <w:rPr>
          <w:rFonts w:cstheme="minorHAnsi"/>
          <w:lang w:val="en-US"/>
        </w:rPr>
        <w:t xml:space="preserve">para </w:t>
      </w:r>
      <w:proofErr w:type="spellStart"/>
      <w:r w:rsidR="00C426A3">
        <w:rPr>
          <w:rFonts w:cstheme="minorHAnsi"/>
          <w:lang w:val="en-US"/>
        </w:rPr>
        <w:t>p</w:t>
      </w:r>
      <w:r w:rsidR="00C426A3" w:rsidRPr="00D05358">
        <w:rPr>
          <w:rFonts w:cstheme="minorHAnsi"/>
          <w:lang w:val="en-US"/>
        </w:rPr>
        <w:t>olitikas</w:t>
      </w:r>
      <w:r w:rsidR="001E24A2">
        <w:rPr>
          <w:rFonts w:cstheme="minorHAnsi"/>
          <w:lang w:val="en-US"/>
        </w:rPr>
        <w:t>ının</w:t>
      </w:r>
      <w:proofErr w:type="spellEnd"/>
      <w:r w:rsidR="001E24A2">
        <w:rPr>
          <w:rFonts w:cstheme="minorHAnsi"/>
          <w:lang w:val="en-US"/>
        </w:rPr>
        <w:t xml:space="preserve"> </w:t>
      </w:r>
      <w:proofErr w:type="spellStart"/>
      <w:r w:rsidR="001E24A2">
        <w:rPr>
          <w:rFonts w:cstheme="minorHAnsi"/>
          <w:lang w:val="en-US"/>
        </w:rPr>
        <w:t>aktarımı</w:t>
      </w:r>
      <w:proofErr w:type="spellEnd"/>
      <w:r w:rsidR="00C426A3">
        <w:rPr>
          <w:rFonts w:cstheme="minorHAnsi"/>
          <w:lang w:val="en-US"/>
        </w:rPr>
        <w:t xml:space="preserve">: Para </w:t>
      </w:r>
      <w:proofErr w:type="spellStart"/>
      <w:r w:rsidR="00C426A3">
        <w:rPr>
          <w:rFonts w:cstheme="minorHAnsi"/>
          <w:lang w:val="en-US"/>
        </w:rPr>
        <w:t>politikası</w:t>
      </w:r>
      <w:r w:rsidR="00C426A3" w:rsidRPr="00D05358">
        <w:rPr>
          <w:rFonts w:cstheme="minorHAnsi"/>
          <w:lang w:val="en-US"/>
        </w:rPr>
        <w:t>n</w:t>
      </w:r>
      <w:r w:rsidR="00C426A3">
        <w:rPr>
          <w:rFonts w:cstheme="minorHAnsi"/>
          <w:lang w:val="en-US"/>
        </w:rPr>
        <w:t>ı</w:t>
      </w:r>
      <w:r w:rsidR="00C426A3" w:rsidRPr="00D05358">
        <w:rPr>
          <w:rFonts w:cstheme="minorHAnsi"/>
          <w:lang w:val="en-US"/>
        </w:rPr>
        <w:t>n</w:t>
      </w:r>
      <w:proofErr w:type="spellEnd"/>
      <w:r w:rsidR="00C426A3" w:rsidRPr="00D05358">
        <w:rPr>
          <w:rFonts w:cstheme="minorHAnsi"/>
          <w:lang w:val="en-US"/>
        </w:rPr>
        <w:t xml:space="preserve"> </w:t>
      </w:r>
      <w:proofErr w:type="spellStart"/>
      <w:r w:rsidR="00C426A3">
        <w:rPr>
          <w:rFonts w:cstheme="minorHAnsi"/>
          <w:lang w:val="en-US"/>
        </w:rPr>
        <w:t>mali</w:t>
      </w:r>
      <w:proofErr w:type="spellEnd"/>
      <w:r w:rsidR="00C426A3">
        <w:rPr>
          <w:rFonts w:cstheme="minorHAnsi"/>
          <w:lang w:val="en-US"/>
        </w:rPr>
        <w:t xml:space="preserve"> </w:t>
      </w:r>
      <w:proofErr w:type="spellStart"/>
      <w:r w:rsidR="00C426A3">
        <w:rPr>
          <w:rFonts w:cstheme="minorHAnsi"/>
          <w:lang w:val="en-US"/>
        </w:rPr>
        <w:t>p</w:t>
      </w:r>
      <w:r w:rsidR="00C426A3" w:rsidRPr="00D05358">
        <w:rPr>
          <w:rFonts w:cstheme="minorHAnsi"/>
          <w:lang w:val="en-US"/>
        </w:rPr>
        <w:t>iyasalara</w:t>
      </w:r>
      <w:proofErr w:type="spellEnd"/>
      <w:r w:rsidR="00C426A3" w:rsidRPr="00D05358">
        <w:rPr>
          <w:rFonts w:cstheme="minorHAnsi"/>
          <w:lang w:val="en-US"/>
        </w:rPr>
        <w:t xml:space="preserve"> </w:t>
      </w:r>
      <w:proofErr w:type="spellStart"/>
      <w:r w:rsidR="00C426A3">
        <w:rPr>
          <w:rFonts w:cstheme="minorHAnsi"/>
          <w:lang w:val="en-US"/>
        </w:rPr>
        <w:t>etkis</w:t>
      </w:r>
      <w:r>
        <w:rPr>
          <w:rFonts w:cstheme="minorHAnsi"/>
          <w:lang w:val="en-US"/>
        </w:rPr>
        <w:t>i</w:t>
      </w:r>
      <w:proofErr w:type="spellEnd"/>
      <w:r>
        <w:rPr>
          <w:rFonts w:cstheme="minorHAnsi"/>
          <w:lang w:val="en-US"/>
        </w:rPr>
        <w:t>.</w:t>
      </w:r>
      <w:r w:rsidR="001E24A2">
        <w:rPr>
          <w:rFonts w:cstheme="minorHAnsi"/>
          <w:lang w:val="en-US"/>
        </w:rPr>
        <w:t>”</w:t>
      </w:r>
      <w:r>
        <w:rPr>
          <w:rFonts w:cstheme="minorHAnsi"/>
          <w:lang w:val="en-US"/>
        </w:rPr>
        <w:t> </w:t>
      </w:r>
      <w:proofErr w:type="spellStart"/>
      <w:r>
        <w:rPr>
          <w:rFonts w:cstheme="minorHAnsi"/>
          <w:lang w:val="en-US"/>
        </w:rPr>
        <w:t>İktisat</w:t>
      </w:r>
      <w:proofErr w:type="spellEnd"/>
      <w:r>
        <w:rPr>
          <w:rFonts w:cstheme="minorHAnsi"/>
          <w:lang w:val="en-US"/>
        </w:rPr>
        <w:t xml:space="preserve"> </w:t>
      </w:r>
      <w:proofErr w:type="spellStart"/>
      <w:r>
        <w:rPr>
          <w:rFonts w:cstheme="minorHAnsi"/>
          <w:lang w:val="en-US"/>
        </w:rPr>
        <w:t>İş</w:t>
      </w:r>
      <w:r w:rsidRPr="00D05358">
        <w:rPr>
          <w:rFonts w:cstheme="minorHAnsi"/>
          <w:lang w:val="en-US"/>
        </w:rPr>
        <w:t>letme</w:t>
      </w:r>
      <w:proofErr w:type="spellEnd"/>
      <w:r w:rsidRPr="00D05358">
        <w:rPr>
          <w:rFonts w:cstheme="minorHAnsi"/>
          <w:lang w:val="en-US"/>
        </w:rPr>
        <w:t xml:space="preserve"> </w:t>
      </w:r>
      <w:proofErr w:type="spellStart"/>
      <w:r w:rsidRPr="00D05358">
        <w:rPr>
          <w:rFonts w:cstheme="minorHAnsi"/>
          <w:lang w:val="en-US"/>
        </w:rPr>
        <w:t>ve</w:t>
      </w:r>
      <w:proofErr w:type="spellEnd"/>
      <w:r w:rsidRPr="00D05358">
        <w:rPr>
          <w:rFonts w:cstheme="minorHAnsi"/>
          <w:lang w:val="en-US"/>
        </w:rPr>
        <w:t xml:space="preserve"> </w:t>
      </w:r>
      <w:proofErr w:type="spellStart"/>
      <w:r w:rsidRPr="00D05358">
        <w:rPr>
          <w:rFonts w:cstheme="minorHAnsi"/>
          <w:lang w:val="en-US"/>
        </w:rPr>
        <w:t>Finans</w:t>
      </w:r>
      <w:proofErr w:type="spellEnd"/>
      <w:r w:rsidRPr="00D05358">
        <w:rPr>
          <w:rFonts w:cstheme="minorHAnsi"/>
          <w:lang w:val="en-US"/>
        </w:rPr>
        <w:t>, 24(278), 9-24.</w:t>
      </w:r>
      <w:r w:rsidRPr="009038A6">
        <w:rPr>
          <w:rFonts w:cstheme="minorHAnsi"/>
          <w:lang w:val="en-US"/>
        </w:rPr>
        <w:t xml:space="preserve"> </w:t>
      </w:r>
    </w:p>
    <w:p w:rsidR="008933DA" w:rsidRPr="009038A6" w:rsidRDefault="0094402A"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lang w:val="en-US"/>
        </w:rPr>
        <w:t>Aydın</w:t>
      </w:r>
      <w:r w:rsidR="00D42190" w:rsidRPr="009038A6">
        <w:rPr>
          <w:rFonts w:cstheme="minorHAnsi"/>
          <w:lang w:val="en-US"/>
        </w:rPr>
        <w:t>, H.İ.</w:t>
      </w:r>
      <w:r w:rsidR="00C7042A" w:rsidRPr="009038A6">
        <w:rPr>
          <w:rFonts w:cstheme="minorHAnsi"/>
          <w:lang w:val="en-US"/>
        </w:rPr>
        <w:t xml:space="preserve"> (</w:t>
      </w:r>
      <w:r w:rsidR="00552D5E" w:rsidRPr="009038A6">
        <w:rPr>
          <w:rFonts w:cstheme="minorHAnsi"/>
          <w:lang w:val="en-US"/>
        </w:rPr>
        <w:t>2007</w:t>
      </w:r>
      <w:r w:rsidR="00C7042A" w:rsidRPr="009038A6">
        <w:rPr>
          <w:rFonts w:cstheme="minorHAnsi"/>
          <w:lang w:val="en-US"/>
        </w:rPr>
        <w:t>)</w:t>
      </w:r>
      <w:r w:rsidR="00552D5E" w:rsidRPr="009038A6">
        <w:rPr>
          <w:rFonts w:cstheme="minorHAnsi"/>
          <w:lang w:val="en-US"/>
        </w:rPr>
        <w:t xml:space="preserve"> "</w:t>
      </w:r>
      <w:hyperlink r:id="rId40" w:history="1">
        <w:r w:rsidR="00C426A3">
          <w:rPr>
            <w:rFonts w:cstheme="minorHAnsi"/>
            <w:lang w:val="en-US"/>
          </w:rPr>
          <w:t>Interest rate pass-t</w:t>
        </w:r>
        <w:r w:rsidR="00552D5E" w:rsidRPr="009038A6">
          <w:rPr>
            <w:rFonts w:cstheme="minorHAnsi"/>
            <w:lang w:val="en-US"/>
          </w:rPr>
          <w:t>hrough in Turkey</w:t>
        </w:r>
      </w:hyperlink>
      <w:r w:rsidR="00552D5E" w:rsidRPr="009038A6">
        <w:rPr>
          <w:rFonts w:cstheme="minorHAnsi"/>
          <w:lang w:val="en-US"/>
        </w:rPr>
        <w:t>," </w:t>
      </w:r>
      <w:hyperlink r:id="rId41" w:history="1">
        <w:r w:rsidR="00552D5E" w:rsidRPr="009038A6">
          <w:rPr>
            <w:rFonts w:cstheme="minorHAnsi"/>
            <w:lang w:val="en-US"/>
          </w:rPr>
          <w:t>Working Papers</w:t>
        </w:r>
      </w:hyperlink>
      <w:r w:rsidR="00552D5E" w:rsidRPr="009038A6">
        <w:rPr>
          <w:rFonts w:cstheme="minorHAnsi"/>
          <w:lang w:val="en-US"/>
        </w:rPr>
        <w:t> 0705, Research and Monetary Policy Department, Central Bank of the Republic of Turkey.</w:t>
      </w:r>
    </w:p>
    <w:p w:rsidR="00592648" w:rsidRPr="009038A6" w:rsidRDefault="00592648"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lang w:val="en-US"/>
        </w:rPr>
        <w:lastRenderedPageBreak/>
        <w:t>Baker, Scott R., Nicholas Bloom, and Steven J. Davis. (2016) “</w:t>
      </w:r>
      <w:r w:rsidR="00C426A3">
        <w:rPr>
          <w:rFonts w:cstheme="minorHAnsi"/>
          <w:lang w:val="en-US"/>
        </w:rPr>
        <w:t>Measuring economic policy u</w:t>
      </w:r>
      <w:r w:rsidRPr="009038A6">
        <w:rPr>
          <w:rFonts w:cstheme="minorHAnsi"/>
          <w:lang w:val="en-US"/>
        </w:rPr>
        <w:t>ncertainty.” The Quarterly Journal of Economics. 131 (4): 1593–1636.</w:t>
      </w:r>
    </w:p>
    <w:p w:rsidR="0094402A" w:rsidRPr="009038A6" w:rsidRDefault="00D42190" w:rsidP="00FE7874">
      <w:pPr>
        <w:spacing w:before="120" w:after="120" w:line="360" w:lineRule="auto"/>
        <w:ind w:left="567" w:hanging="567"/>
        <w:jc w:val="both"/>
        <w:rPr>
          <w:rFonts w:cstheme="minorHAnsi"/>
          <w:lang w:val="en-US"/>
        </w:rPr>
      </w:pPr>
      <w:proofErr w:type="spellStart"/>
      <w:r w:rsidRPr="009038A6">
        <w:rPr>
          <w:rFonts w:cstheme="minorHAnsi"/>
          <w:shd w:val="clear" w:color="auto" w:fill="FFFFFF"/>
          <w:lang w:val="en-US"/>
        </w:rPr>
        <w:t>Başçı</w:t>
      </w:r>
      <w:proofErr w:type="spellEnd"/>
      <w:r w:rsidRPr="009038A6">
        <w:rPr>
          <w:rFonts w:cstheme="minorHAnsi"/>
          <w:shd w:val="clear" w:color="auto" w:fill="FFFFFF"/>
          <w:lang w:val="en-US"/>
        </w:rPr>
        <w:t xml:space="preserve">, E., </w:t>
      </w:r>
      <w:proofErr w:type="spellStart"/>
      <w:r w:rsidRPr="009038A6">
        <w:rPr>
          <w:rFonts w:cstheme="minorHAnsi"/>
          <w:shd w:val="clear" w:color="auto" w:fill="FFFFFF"/>
          <w:lang w:val="en-US"/>
        </w:rPr>
        <w:t>Özel</w:t>
      </w:r>
      <w:proofErr w:type="spellEnd"/>
      <w:r w:rsidRPr="009038A6">
        <w:rPr>
          <w:rFonts w:cstheme="minorHAnsi"/>
          <w:shd w:val="clear" w:color="auto" w:fill="FFFFFF"/>
          <w:lang w:val="en-US"/>
        </w:rPr>
        <w:t>, Ö., and</w:t>
      </w:r>
      <w:r w:rsidR="0094402A" w:rsidRPr="009038A6">
        <w:rPr>
          <w:rFonts w:cstheme="minorHAnsi"/>
          <w:shd w:val="clear" w:color="auto" w:fill="FFFFFF"/>
          <w:lang w:val="en-US"/>
        </w:rPr>
        <w:t xml:space="preserve"> </w:t>
      </w:r>
      <w:proofErr w:type="spellStart"/>
      <w:r w:rsidR="0094402A" w:rsidRPr="009038A6">
        <w:rPr>
          <w:rFonts w:cstheme="minorHAnsi"/>
          <w:shd w:val="clear" w:color="auto" w:fill="FFFFFF"/>
          <w:lang w:val="en-US"/>
        </w:rPr>
        <w:t>Sarıkaya</w:t>
      </w:r>
      <w:proofErr w:type="spellEnd"/>
      <w:r w:rsidR="0094402A" w:rsidRPr="009038A6">
        <w:rPr>
          <w:rFonts w:cstheme="minorHAnsi"/>
          <w:shd w:val="clear" w:color="auto" w:fill="FFFFFF"/>
          <w:lang w:val="en-US"/>
        </w:rPr>
        <w:t>, Ç. (2008, January). The monetary transmission mechanism in Turkey: new developments. In </w:t>
      </w:r>
      <w:r w:rsidR="0094402A" w:rsidRPr="009038A6">
        <w:rPr>
          <w:rFonts w:cstheme="minorHAnsi"/>
          <w:iCs/>
          <w:shd w:val="clear" w:color="auto" w:fill="FFFFFF"/>
          <w:lang w:val="en-US"/>
        </w:rPr>
        <w:t>Participants in the meeting</w:t>
      </w:r>
      <w:r w:rsidR="0094402A" w:rsidRPr="009038A6">
        <w:rPr>
          <w:rFonts w:cstheme="minorHAnsi"/>
          <w:shd w:val="clear" w:color="auto" w:fill="FFFFFF"/>
          <w:lang w:val="en-US"/>
        </w:rPr>
        <w:t> (p. 475).</w:t>
      </w:r>
    </w:p>
    <w:p w:rsidR="008933DA" w:rsidRPr="009038A6" w:rsidRDefault="008933DA" w:rsidP="00FE7874">
      <w:pPr>
        <w:autoSpaceDE w:val="0"/>
        <w:autoSpaceDN w:val="0"/>
        <w:adjustRightInd w:val="0"/>
        <w:spacing w:before="120" w:after="120" w:line="360" w:lineRule="auto"/>
        <w:ind w:left="567" w:hanging="567"/>
        <w:jc w:val="both"/>
        <w:rPr>
          <w:rFonts w:cstheme="minorHAnsi"/>
          <w:lang w:val="en-US"/>
        </w:rPr>
      </w:pPr>
      <w:proofErr w:type="spellStart"/>
      <w:r w:rsidRPr="009038A6">
        <w:rPr>
          <w:rFonts w:cstheme="minorHAnsi"/>
          <w:lang w:val="en-US"/>
        </w:rPr>
        <w:t>Bekaert</w:t>
      </w:r>
      <w:proofErr w:type="spellEnd"/>
      <w:r w:rsidR="00D42190" w:rsidRPr="009038A6">
        <w:rPr>
          <w:rFonts w:cstheme="minorHAnsi"/>
          <w:lang w:val="en-US"/>
        </w:rPr>
        <w:t xml:space="preserve">, G., </w:t>
      </w:r>
      <w:proofErr w:type="spellStart"/>
      <w:r w:rsidRPr="009038A6">
        <w:rPr>
          <w:rFonts w:cstheme="minorHAnsi"/>
          <w:lang w:val="en-US"/>
        </w:rPr>
        <w:t>Hoerova</w:t>
      </w:r>
      <w:proofErr w:type="spellEnd"/>
      <w:r w:rsidRPr="009038A6">
        <w:rPr>
          <w:rFonts w:cstheme="minorHAnsi"/>
          <w:lang w:val="en-US"/>
        </w:rPr>
        <w:t>,</w:t>
      </w:r>
      <w:r w:rsidR="00D42190" w:rsidRPr="009038A6">
        <w:rPr>
          <w:rFonts w:cstheme="minorHAnsi"/>
          <w:lang w:val="en-US"/>
        </w:rPr>
        <w:t xml:space="preserve"> M. and</w:t>
      </w:r>
      <w:r w:rsidRPr="009038A6">
        <w:rPr>
          <w:rFonts w:cstheme="minorHAnsi"/>
          <w:lang w:val="en-US"/>
        </w:rPr>
        <w:t xml:space="preserve"> </w:t>
      </w:r>
      <w:proofErr w:type="spellStart"/>
      <w:r w:rsidRPr="009038A6">
        <w:rPr>
          <w:rFonts w:cstheme="minorHAnsi"/>
          <w:lang w:val="en-US"/>
        </w:rPr>
        <w:t>Duca</w:t>
      </w:r>
      <w:proofErr w:type="spellEnd"/>
      <w:r w:rsidR="00D42190" w:rsidRPr="009038A6">
        <w:rPr>
          <w:rFonts w:cstheme="minorHAnsi"/>
          <w:lang w:val="en-US"/>
        </w:rPr>
        <w:t>, M.L</w:t>
      </w:r>
      <w:r w:rsidR="00C7042A" w:rsidRPr="009038A6">
        <w:rPr>
          <w:rFonts w:cstheme="minorHAnsi"/>
          <w:lang w:val="en-US"/>
        </w:rPr>
        <w:t xml:space="preserve"> (2013) “</w:t>
      </w:r>
      <w:r w:rsidR="00D930D7" w:rsidRPr="009038A6">
        <w:rPr>
          <w:rFonts w:cstheme="minorHAnsi"/>
          <w:lang w:val="en-US"/>
        </w:rPr>
        <w:t xml:space="preserve">Risk, uncertainty, and </w:t>
      </w:r>
      <w:r w:rsidRPr="009038A6">
        <w:rPr>
          <w:rFonts w:cstheme="minorHAnsi"/>
          <w:lang w:val="en-US"/>
        </w:rPr>
        <w:t xml:space="preserve">monetary policy." Journal of Monetary Economics </w:t>
      </w:r>
      <w:r w:rsidR="00D930D7" w:rsidRPr="009038A6">
        <w:rPr>
          <w:rFonts w:cstheme="minorHAnsi"/>
          <w:lang w:val="en-US"/>
        </w:rPr>
        <w:t>60, 771-</w:t>
      </w:r>
      <w:r w:rsidRPr="009038A6">
        <w:rPr>
          <w:rFonts w:cstheme="minorHAnsi"/>
          <w:lang w:val="en-US"/>
        </w:rPr>
        <w:t>788.</w:t>
      </w:r>
    </w:p>
    <w:p w:rsidR="0068610D" w:rsidRPr="009038A6" w:rsidRDefault="001E4735" w:rsidP="00FE7874">
      <w:pPr>
        <w:autoSpaceDE w:val="0"/>
        <w:autoSpaceDN w:val="0"/>
        <w:adjustRightInd w:val="0"/>
        <w:spacing w:before="120" w:after="120" w:line="360" w:lineRule="auto"/>
        <w:ind w:left="567" w:hanging="567"/>
        <w:jc w:val="both"/>
        <w:rPr>
          <w:rFonts w:cstheme="minorHAnsi"/>
          <w:lang w:val="en-US"/>
        </w:rPr>
      </w:pPr>
      <w:r>
        <w:rPr>
          <w:rFonts w:cstheme="minorHAnsi"/>
          <w:shd w:val="clear" w:color="auto" w:fill="FFFFFF"/>
        </w:rPr>
        <w:t>Benigno, G., Benigno, P., and</w:t>
      </w:r>
      <w:r w:rsidR="0068610D" w:rsidRPr="009038A6">
        <w:rPr>
          <w:rFonts w:cstheme="minorHAnsi"/>
          <w:shd w:val="clear" w:color="auto" w:fill="FFFFFF"/>
        </w:rPr>
        <w:t xml:space="preserve"> Nisticò, S. (2012) </w:t>
      </w:r>
      <w:r w:rsidR="001E24A2">
        <w:rPr>
          <w:rFonts w:cstheme="minorHAnsi"/>
          <w:shd w:val="clear" w:color="auto" w:fill="FFFFFF"/>
        </w:rPr>
        <w:t>“</w:t>
      </w:r>
      <w:r w:rsidR="0068610D" w:rsidRPr="009038A6">
        <w:rPr>
          <w:rFonts w:cstheme="minorHAnsi"/>
          <w:shd w:val="clear" w:color="auto" w:fill="FFFFFF"/>
        </w:rPr>
        <w:t>Risk, monetary policy, and the exchange rate.</w:t>
      </w:r>
      <w:r w:rsidR="001E24A2">
        <w:rPr>
          <w:rFonts w:cstheme="minorHAnsi"/>
          <w:shd w:val="clear" w:color="auto" w:fill="FFFFFF"/>
        </w:rPr>
        <w:t>”</w:t>
      </w:r>
      <w:r w:rsidR="0068610D" w:rsidRPr="009038A6">
        <w:rPr>
          <w:rFonts w:cstheme="minorHAnsi"/>
          <w:shd w:val="clear" w:color="auto" w:fill="FFFFFF"/>
        </w:rPr>
        <w:t> </w:t>
      </w:r>
      <w:r w:rsidR="0068610D" w:rsidRPr="009038A6">
        <w:rPr>
          <w:rFonts w:cstheme="minorHAnsi"/>
          <w:iCs/>
          <w:shd w:val="clear" w:color="auto" w:fill="FFFFFF"/>
        </w:rPr>
        <w:t>NBER Macroeconomics Annual</w:t>
      </w:r>
      <w:r w:rsidR="0068610D" w:rsidRPr="009038A6">
        <w:rPr>
          <w:rFonts w:cstheme="minorHAnsi"/>
          <w:shd w:val="clear" w:color="auto" w:fill="FFFFFF"/>
        </w:rPr>
        <w:t>, </w:t>
      </w:r>
      <w:r w:rsidR="0068610D" w:rsidRPr="009038A6">
        <w:rPr>
          <w:rFonts w:cstheme="minorHAnsi"/>
          <w:iCs/>
          <w:shd w:val="clear" w:color="auto" w:fill="FFFFFF"/>
        </w:rPr>
        <w:t>26</w:t>
      </w:r>
      <w:r w:rsidR="0068610D" w:rsidRPr="009038A6">
        <w:rPr>
          <w:rFonts w:cstheme="minorHAnsi"/>
          <w:shd w:val="clear" w:color="auto" w:fill="FFFFFF"/>
        </w:rPr>
        <w:t>(1), 247-309.</w:t>
      </w:r>
    </w:p>
    <w:p w:rsidR="001E4735" w:rsidRDefault="001E4735" w:rsidP="00FE7874">
      <w:pPr>
        <w:spacing w:before="120" w:after="120" w:line="360" w:lineRule="auto"/>
        <w:ind w:left="567" w:hanging="567"/>
        <w:jc w:val="both"/>
        <w:rPr>
          <w:rFonts w:cstheme="minorHAnsi"/>
          <w:shd w:val="clear" w:color="auto" w:fill="FFFFFF"/>
        </w:rPr>
      </w:pPr>
      <w:r>
        <w:rPr>
          <w:rFonts w:cstheme="minorHAnsi"/>
          <w:shd w:val="clear" w:color="auto" w:fill="FFFFFF"/>
        </w:rPr>
        <w:t>Bhattarai, S., Chatterjee, A., and</w:t>
      </w:r>
      <w:r w:rsidR="001E24A2">
        <w:rPr>
          <w:rFonts w:cstheme="minorHAnsi"/>
          <w:shd w:val="clear" w:color="auto" w:fill="FFFFFF"/>
        </w:rPr>
        <w:t xml:space="preserve"> Park, W. Y. (2020)</w:t>
      </w:r>
      <w:r w:rsidRPr="001E4735">
        <w:rPr>
          <w:rFonts w:cstheme="minorHAnsi"/>
          <w:shd w:val="clear" w:color="auto" w:fill="FFFFFF"/>
        </w:rPr>
        <w:t xml:space="preserve"> Global spillover effects of US uncertainty. Journal of Monetary Economics, 114, 71-89. </w:t>
      </w:r>
    </w:p>
    <w:p w:rsidR="008933DA" w:rsidRPr="009038A6" w:rsidRDefault="008933DA" w:rsidP="00FE7874">
      <w:pPr>
        <w:spacing w:before="120" w:after="120" w:line="360" w:lineRule="auto"/>
        <w:ind w:left="567" w:hanging="567"/>
        <w:jc w:val="both"/>
        <w:rPr>
          <w:rFonts w:cstheme="minorHAnsi"/>
          <w:lang w:val="en-US"/>
        </w:rPr>
      </w:pPr>
      <w:r w:rsidRPr="001E4735">
        <w:rPr>
          <w:rFonts w:cstheme="minorHAnsi"/>
          <w:shd w:val="clear" w:color="auto" w:fill="FFFFFF"/>
        </w:rPr>
        <w:t xml:space="preserve">Bloom N. </w:t>
      </w:r>
      <w:r w:rsidR="00C7042A" w:rsidRPr="001E4735">
        <w:rPr>
          <w:rFonts w:cstheme="minorHAnsi"/>
          <w:shd w:val="clear" w:color="auto" w:fill="FFFFFF"/>
        </w:rPr>
        <w:t>(</w:t>
      </w:r>
      <w:r w:rsidRPr="001E4735">
        <w:rPr>
          <w:rFonts w:cstheme="minorHAnsi"/>
          <w:shd w:val="clear" w:color="auto" w:fill="FFFFFF"/>
        </w:rPr>
        <w:t>2009</w:t>
      </w:r>
      <w:r w:rsidR="00C7042A" w:rsidRPr="001E4735">
        <w:rPr>
          <w:rFonts w:cstheme="minorHAnsi"/>
          <w:shd w:val="clear" w:color="auto" w:fill="FFFFFF"/>
        </w:rPr>
        <w:t>)</w:t>
      </w:r>
      <w:r w:rsidRPr="001E4735">
        <w:rPr>
          <w:rFonts w:cstheme="minorHAnsi"/>
          <w:shd w:val="clear" w:color="auto" w:fill="FFFFFF"/>
        </w:rPr>
        <w:t xml:space="preserve"> </w:t>
      </w:r>
      <w:r w:rsidR="00C7042A" w:rsidRPr="001E4735">
        <w:rPr>
          <w:rFonts w:cstheme="minorHAnsi"/>
          <w:shd w:val="clear" w:color="auto" w:fill="FFFFFF"/>
        </w:rPr>
        <w:t>“</w:t>
      </w:r>
      <w:r w:rsidRPr="001E4735">
        <w:rPr>
          <w:rFonts w:cstheme="minorHAnsi"/>
          <w:shd w:val="clear" w:color="auto" w:fill="FFFFFF"/>
        </w:rPr>
        <w:t>The impact of uncertainty shocks</w:t>
      </w:r>
      <w:r w:rsidR="00C7042A" w:rsidRPr="001E4735">
        <w:rPr>
          <w:rFonts w:cstheme="minorHAnsi"/>
          <w:shd w:val="clear" w:color="auto" w:fill="FFFFFF"/>
        </w:rPr>
        <w:t>”</w:t>
      </w:r>
      <w:r w:rsidRPr="001E4735">
        <w:rPr>
          <w:rFonts w:cstheme="minorHAnsi"/>
          <w:shd w:val="clear" w:color="auto" w:fill="FFFFFF"/>
        </w:rPr>
        <w:t>.</w:t>
      </w:r>
      <w:r w:rsidRPr="009038A6">
        <w:rPr>
          <w:rFonts w:cstheme="minorHAnsi"/>
          <w:lang w:val="en-US"/>
        </w:rPr>
        <w:t xml:space="preserve"> </w:t>
      </w:r>
      <w:proofErr w:type="spellStart"/>
      <w:r w:rsidRPr="009038A6">
        <w:rPr>
          <w:rFonts w:cstheme="minorHAnsi"/>
          <w:lang w:val="en-US"/>
        </w:rPr>
        <w:t>Econometrica</w:t>
      </w:r>
      <w:proofErr w:type="spellEnd"/>
      <w:r w:rsidRPr="009038A6">
        <w:rPr>
          <w:rFonts w:cstheme="minorHAnsi"/>
          <w:lang w:val="en-US"/>
        </w:rPr>
        <w:t xml:space="preserve"> 77: 623–685.</w:t>
      </w:r>
    </w:p>
    <w:p w:rsidR="00225439" w:rsidRPr="009038A6" w:rsidRDefault="001E24A2" w:rsidP="00FE7874">
      <w:pPr>
        <w:spacing w:before="120" w:after="120" w:line="360" w:lineRule="auto"/>
        <w:ind w:left="567" w:hanging="567"/>
        <w:jc w:val="both"/>
        <w:rPr>
          <w:rFonts w:cstheme="minorHAnsi"/>
          <w:shd w:val="clear" w:color="auto" w:fill="FFFFFF"/>
          <w:lang w:val="en-US"/>
        </w:rPr>
      </w:pPr>
      <w:proofErr w:type="spellStart"/>
      <w:r>
        <w:rPr>
          <w:rFonts w:cstheme="minorHAnsi"/>
          <w:shd w:val="clear" w:color="auto" w:fill="FFFFFF"/>
          <w:lang w:val="en-US"/>
        </w:rPr>
        <w:t>Bollerslev</w:t>
      </w:r>
      <w:proofErr w:type="spellEnd"/>
      <w:r>
        <w:rPr>
          <w:rFonts w:cstheme="minorHAnsi"/>
          <w:shd w:val="clear" w:color="auto" w:fill="FFFFFF"/>
          <w:lang w:val="en-US"/>
        </w:rPr>
        <w:t>, T. (1986)</w:t>
      </w:r>
      <w:r w:rsidR="00225439" w:rsidRPr="009038A6">
        <w:rPr>
          <w:rFonts w:cstheme="minorHAnsi"/>
          <w:shd w:val="clear" w:color="auto" w:fill="FFFFFF"/>
          <w:lang w:val="en-US"/>
        </w:rPr>
        <w:t xml:space="preserve"> </w:t>
      </w:r>
      <w:r w:rsidR="00172AA0" w:rsidRPr="009038A6">
        <w:rPr>
          <w:rFonts w:cstheme="minorHAnsi"/>
          <w:shd w:val="clear" w:color="auto" w:fill="FFFFFF"/>
          <w:lang w:val="en-US"/>
        </w:rPr>
        <w:t>“</w:t>
      </w:r>
      <w:r w:rsidR="00225439" w:rsidRPr="009038A6">
        <w:rPr>
          <w:rFonts w:cstheme="minorHAnsi"/>
          <w:shd w:val="clear" w:color="auto" w:fill="FFFFFF"/>
          <w:lang w:val="en-US"/>
        </w:rPr>
        <w:t xml:space="preserve">Generalized autoregressive conditional </w:t>
      </w:r>
      <w:proofErr w:type="spellStart"/>
      <w:r w:rsidR="00225439" w:rsidRPr="009038A6">
        <w:rPr>
          <w:rFonts w:cstheme="minorHAnsi"/>
          <w:shd w:val="clear" w:color="auto" w:fill="FFFFFF"/>
          <w:lang w:val="en-US"/>
        </w:rPr>
        <w:t>heteroskedasticity</w:t>
      </w:r>
      <w:proofErr w:type="spellEnd"/>
      <w:r w:rsidR="00225439" w:rsidRPr="009038A6">
        <w:rPr>
          <w:rFonts w:cstheme="minorHAnsi"/>
          <w:shd w:val="clear" w:color="auto" w:fill="FFFFFF"/>
          <w:lang w:val="en-US"/>
        </w:rPr>
        <w:t>.</w:t>
      </w:r>
      <w:r w:rsidR="00172AA0" w:rsidRPr="009038A6">
        <w:rPr>
          <w:rFonts w:cstheme="minorHAnsi"/>
          <w:shd w:val="clear" w:color="auto" w:fill="FFFFFF"/>
          <w:lang w:val="en-US"/>
        </w:rPr>
        <w:t>”</w:t>
      </w:r>
      <w:r w:rsidR="00225439" w:rsidRPr="009038A6">
        <w:rPr>
          <w:rFonts w:cstheme="minorHAnsi"/>
          <w:shd w:val="clear" w:color="auto" w:fill="FFFFFF"/>
          <w:lang w:val="en-US"/>
        </w:rPr>
        <w:t> </w:t>
      </w:r>
      <w:r w:rsidR="00172AA0" w:rsidRPr="009038A6">
        <w:rPr>
          <w:rFonts w:cstheme="minorHAnsi"/>
          <w:iCs/>
          <w:shd w:val="clear" w:color="auto" w:fill="FFFFFF"/>
          <w:lang w:val="en-US"/>
        </w:rPr>
        <w:t>Journal of E</w:t>
      </w:r>
      <w:r w:rsidR="00225439" w:rsidRPr="009038A6">
        <w:rPr>
          <w:rFonts w:cstheme="minorHAnsi"/>
          <w:iCs/>
          <w:shd w:val="clear" w:color="auto" w:fill="FFFFFF"/>
          <w:lang w:val="en-US"/>
        </w:rPr>
        <w:t>conometrics</w:t>
      </w:r>
      <w:r w:rsidR="00225439" w:rsidRPr="009038A6">
        <w:rPr>
          <w:rFonts w:cstheme="minorHAnsi"/>
          <w:shd w:val="clear" w:color="auto" w:fill="FFFFFF"/>
          <w:lang w:val="en-US"/>
        </w:rPr>
        <w:t>, </w:t>
      </w:r>
      <w:r w:rsidR="00225439" w:rsidRPr="009038A6">
        <w:rPr>
          <w:rFonts w:cstheme="minorHAnsi"/>
          <w:iCs/>
          <w:shd w:val="clear" w:color="auto" w:fill="FFFFFF"/>
          <w:lang w:val="en-US"/>
        </w:rPr>
        <w:t>31</w:t>
      </w:r>
      <w:r w:rsidR="00225439" w:rsidRPr="009038A6">
        <w:rPr>
          <w:rFonts w:cstheme="minorHAnsi"/>
          <w:shd w:val="clear" w:color="auto" w:fill="FFFFFF"/>
          <w:lang w:val="en-US"/>
        </w:rPr>
        <w:t>(3), 307-327.</w:t>
      </w:r>
    </w:p>
    <w:p w:rsidR="00F143C5" w:rsidRPr="009038A6" w:rsidRDefault="00F143C5" w:rsidP="00FE7874">
      <w:pPr>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t>Bundick</w:t>
      </w:r>
      <w:proofErr w:type="spellEnd"/>
      <w:r w:rsidRPr="009038A6">
        <w:rPr>
          <w:rFonts w:cstheme="minorHAnsi"/>
          <w:shd w:val="clear" w:color="auto" w:fill="FFFFFF"/>
          <w:lang w:val="en-US"/>
        </w:rPr>
        <w:t xml:space="preserve">, B., </w:t>
      </w:r>
      <w:proofErr w:type="spellStart"/>
      <w:r w:rsidRPr="009038A6">
        <w:rPr>
          <w:rFonts w:cstheme="minorHAnsi"/>
          <w:shd w:val="clear" w:color="auto" w:fill="FFFFFF"/>
          <w:lang w:val="en-US"/>
        </w:rPr>
        <w:t>Herr</w:t>
      </w:r>
      <w:r w:rsidR="001E24A2">
        <w:rPr>
          <w:rFonts w:cstheme="minorHAnsi"/>
          <w:shd w:val="clear" w:color="auto" w:fill="FFFFFF"/>
          <w:lang w:val="en-US"/>
        </w:rPr>
        <w:t>iford</w:t>
      </w:r>
      <w:proofErr w:type="spellEnd"/>
      <w:r w:rsidR="001E24A2">
        <w:rPr>
          <w:rFonts w:cstheme="minorHAnsi"/>
          <w:shd w:val="clear" w:color="auto" w:fill="FFFFFF"/>
          <w:lang w:val="en-US"/>
        </w:rPr>
        <w:t>, T., and Smith, A. (2017)</w:t>
      </w:r>
      <w:r w:rsidRPr="009038A6">
        <w:rPr>
          <w:rFonts w:cstheme="minorHAnsi"/>
          <w:shd w:val="clear" w:color="auto" w:fill="FFFFFF"/>
          <w:lang w:val="en-US"/>
        </w:rPr>
        <w:t xml:space="preserve"> </w:t>
      </w:r>
      <w:r w:rsidR="00172AA0" w:rsidRPr="009038A6">
        <w:rPr>
          <w:rFonts w:cstheme="minorHAnsi"/>
          <w:shd w:val="clear" w:color="auto" w:fill="FFFFFF"/>
          <w:lang w:val="en-US"/>
        </w:rPr>
        <w:t>“</w:t>
      </w:r>
      <w:r w:rsidRPr="009038A6">
        <w:rPr>
          <w:rFonts w:cstheme="minorHAnsi"/>
          <w:shd w:val="clear" w:color="auto" w:fill="FFFFFF"/>
          <w:lang w:val="en-US"/>
        </w:rPr>
        <w:t>Forward guidance, monetary policy uncertainty, and the term premium.</w:t>
      </w:r>
      <w:r w:rsidR="00172AA0" w:rsidRPr="009038A6">
        <w:rPr>
          <w:rFonts w:cstheme="minorHAnsi"/>
          <w:shd w:val="clear" w:color="auto" w:fill="FFFFFF"/>
          <w:lang w:val="en-US"/>
        </w:rPr>
        <w:t>”</w:t>
      </w:r>
      <w:r w:rsidRPr="009038A6">
        <w:rPr>
          <w:rFonts w:cstheme="minorHAnsi"/>
          <w:shd w:val="clear" w:color="auto" w:fill="FFFFFF"/>
          <w:lang w:val="en-US"/>
        </w:rPr>
        <w:t> </w:t>
      </w:r>
      <w:r w:rsidRPr="009038A6">
        <w:rPr>
          <w:rFonts w:cstheme="minorHAnsi"/>
          <w:iCs/>
          <w:shd w:val="clear" w:color="auto" w:fill="FFFFFF"/>
          <w:lang w:val="en-US"/>
        </w:rPr>
        <w:t>Monetary Policy Uncertainty, and the Term Premium (July 2017)</w:t>
      </w:r>
      <w:r w:rsidRPr="009038A6">
        <w:rPr>
          <w:rFonts w:cstheme="minorHAnsi"/>
          <w:shd w:val="clear" w:color="auto" w:fill="FFFFFF"/>
          <w:lang w:val="en-US"/>
        </w:rPr>
        <w:t>.</w:t>
      </w:r>
    </w:p>
    <w:p w:rsidR="006C4B85" w:rsidRPr="009038A6" w:rsidRDefault="006C4B85" w:rsidP="00FE7874">
      <w:pPr>
        <w:autoSpaceDE w:val="0"/>
        <w:autoSpaceDN w:val="0"/>
        <w:adjustRightInd w:val="0"/>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t>Caporal</w:t>
      </w:r>
      <w:r w:rsidR="001E24A2">
        <w:rPr>
          <w:rFonts w:cstheme="minorHAnsi"/>
          <w:shd w:val="clear" w:color="auto" w:fill="FFFFFF"/>
          <w:lang w:val="en-US"/>
        </w:rPr>
        <w:t>e</w:t>
      </w:r>
      <w:proofErr w:type="spellEnd"/>
      <w:r w:rsidR="001E24A2">
        <w:rPr>
          <w:rFonts w:cstheme="minorHAnsi"/>
          <w:shd w:val="clear" w:color="auto" w:fill="FFFFFF"/>
          <w:lang w:val="en-US"/>
        </w:rPr>
        <w:t>, T., and McKiernan, B. (1998)</w:t>
      </w:r>
      <w:r w:rsidRPr="009038A6">
        <w:rPr>
          <w:rFonts w:cstheme="minorHAnsi"/>
          <w:shd w:val="clear" w:color="auto" w:fill="FFFFFF"/>
          <w:lang w:val="en-US"/>
        </w:rPr>
        <w:t xml:space="preserve"> </w:t>
      </w:r>
      <w:r w:rsidR="00172AA0" w:rsidRPr="009038A6">
        <w:rPr>
          <w:rFonts w:cstheme="minorHAnsi"/>
          <w:shd w:val="clear" w:color="auto" w:fill="FFFFFF"/>
          <w:lang w:val="en-US"/>
        </w:rPr>
        <w:t>“</w:t>
      </w:r>
      <w:r w:rsidRPr="009038A6">
        <w:rPr>
          <w:rFonts w:cstheme="minorHAnsi"/>
          <w:shd w:val="clear" w:color="auto" w:fill="FFFFFF"/>
          <w:lang w:val="en-US"/>
        </w:rPr>
        <w:t>Interest rate uncertainty and the founding of the Federal Reserve.</w:t>
      </w:r>
      <w:r w:rsidR="00172AA0" w:rsidRPr="009038A6">
        <w:rPr>
          <w:rFonts w:cstheme="minorHAnsi"/>
          <w:shd w:val="clear" w:color="auto" w:fill="FFFFFF"/>
          <w:lang w:val="en-US"/>
        </w:rPr>
        <w:t>”</w:t>
      </w:r>
      <w:r w:rsidRPr="009038A6">
        <w:rPr>
          <w:rFonts w:cstheme="minorHAnsi"/>
          <w:shd w:val="clear" w:color="auto" w:fill="FFFFFF"/>
          <w:lang w:val="en-US"/>
        </w:rPr>
        <w:t> </w:t>
      </w:r>
      <w:r w:rsidRPr="009038A6">
        <w:rPr>
          <w:rFonts w:cstheme="minorHAnsi"/>
          <w:iCs/>
          <w:shd w:val="clear" w:color="auto" w:fill="FFFFFF"/>
          <w:lang w:val="en-US"/>
        </w:rPr>
        <w:t>The Journal of Economic History</w:t>
      </w:r>
      <w:r w:rsidRPr="009038A6">
        <w:rPr>
          <w:rFonts w:cstheme="minorHAnsi"/>
          <w:shd w:val="clear" w:color="auto" w:fill="FFFFFF"/>
          <w:lang w:val="en-US"/>
        </w:rPr>
        <w:t>, </w:t>
      </w:r>
      <w:r w:rsidRPr="009038A6">
        <w:rPr>
          <w:rFonts w:cstheme="minorHAnsi"/>
          <w:iCs/>
          <w:shd w:val="clear" w:color="auto" w:fill="FFFFFF"/>
          <w:lang w:val="en-US"/>
        </w:rPr>
        <w:t>58</w:t>
      </w:r>
      <w:r w:rsidRPr="009038A6">
        <w:rPr>
          <w:rFonts w:cstheme="minorHAnsi"/>
          <w:shd w:val="clear" w:color="auto" w:fill="FFFFFF"/>
          <w:lang w:val="en-US"/>
        </w:rPr>
        <w:t>(4), 1110-1117.</w:t>
      </w:r>
    </w:p>
    <w:p w:rsidR="00457887" w:rsidRDefault="00D42190" w:rsidP="00FE7874">
      <w:pPr>
        <w:autoSpaceDE w:val="0"/>
        <w:autoSpaceDN w:val="0"/>
        <w:adjustRightInd w:val="0"/>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t>Creal</w:t>
      </w:r>
      <w:proofErr w:type="spellEnd"/>
      <w:r w:rsidRPr="009038A6">
        <w:rPr>
          <w:rFonts w:cstheme="minorHAnsi"/>
          <w:shd w:val="clear" w:color="auto" w:fill="FFFFFF"/>
          <w:lang w:val="en-US"/>
        </w:rPr>
        <w:t>, D.D., and Wu, J.</w:t>
      </w:r>
      <w:r w:rsidR="00457887" w:rsidRPr="009038A6">
        <w:rPr>
          <w:rFonts w:cstheme="minorHAnsi"/>
          <w:shd w:val="clear" w:color="auto" w:fill="FFFFFF"/>
          <w:lang w:val="en-US"/>
        </w:rPr>
        <w:t xml:space="preserve">C. (2017) </w:t>
      </w:r>
      <w:r w:rsidR="00C7042A" w:rsidRPr="009038A6">
        <w:rPr>
          <w:rFonts w:cstheme="minorHAnsi"/>
          <w:shd w:val="clear" w:color="auto" w:fill="FFFFFF"/>
          <w:lang w:val="en-US"/>
        </w:rPr>
        <w:t>“</w:t>
      </w:r>
      <w:r w:rsidR="00457887" w:rsidRPr="009038A6">
        <w:rPr>
          <w:rFonts w:cstheme="minorHAnsi"/>
          <w:shd w:val="clear" w:color="auto" w:fill="FFFFFF"/>
          <w:lang w:val="en-US"/>
        </w:rPr>
        <w:t>Monetary policy uncertainty and economic fluctuations.</w:t>
      </w:r>
      <w:r w:rsidR="00C7042A" w:rsidRPr="009038A6">
        <w:rPr>
          <w:rFonts w:cstheme="minorHAnsi"/>
          <w:shd w:val="clear" w:color="auto" w:fill="FFFFFF"/>
          <w:lang w:val="en-US"/>
        </w:rPr>
        <w:t>”</w:t>
      </w:r>
      <w:r w:rsidR="00457887" w:rsidRPr="009038A6">
        <w:rPr>
          <w:rFonts w:cstheme="minorHAnsi"/>
          <w:shd w:val="clear" w:color="auto" w:fill="FFFFFF"/>
          <w:lang w:val="en-US"/>
        </w:rPr>
        <w:t> </w:t>
      </w:r>
      <w:r w:rsidR="00457887" w:rsidRPr="009038A6">
        <w:rPr>
          <w:rFonts w:cstheme="minorHAnsi"/>
          <w:iCs/>
          <w:shd w:val="clear" w:color="auto" w:fill="FFFFFF"/>
          <w:lang w:val="en-US"/>
        </w:rPr>
        <w:t>International Economic Review</w:t>
      </w:r>
      <w:r w:rsidR="00457887" w:rsidRPr="009038A6">
        <w:rPr>
          <w:rFonts w:cstheme="minorHAnsi"/>
          <w:shd w:val="clear" w:color="auto" w:fill="FFFFFF"/>
          <w:lang w:val="en-US"/>
        </w:rPr>
        <w:t>, </w:t>
      </w:r>
      <w:r w:rsidR="00457887" w:rsidRPr="009038A6">
        <w:rPr>
          <w:rFonts w:cstheme="minorHAnsi"/>
          <w:iCs/>
          <w:shd w:val="clear" w:color="auto" w:fill="FFFFFF"/>
          <w:lang w:val="en-US"/>
        </w:rPr>
        <w:t>58</w:t>
      </w:r>
      <w:r w:rsidR="00457887" w:rsidRPr="009038A6">
        <w:rPr>
          <w:rFonts w:cstheme="minorHAnsi"/>
          <w:shd w:val="clear" w:color="auto" w:fill="FFFFFF"/>
          <w:lang w:val="en-US"/>
        </w:rPr>
        <w:t>(4), 1317-1354.</w:t>
      </w:r>
    </w:p>
    <w:p w:rsidR="00D05358" w:rsidRDefault="00D05358" w:rsidP="00FE7874">
      <w:pPr>
        <w:autoSpaceDE w:val="0"/>
        <w:autoSpaceDN w:val="0"/>
        <w:adjustRightInd w:val="0"/>
        <w:spacing w:before="120" w:after="120" w:line="360" w:lineRule="auto"/>
        <w:ind w:left="567" w:hanging="567"/>
        <w:jc w:val="both"/>
        <w:rPr>
          <w:rFonts w:cstheme="minorHAnsi"/>
          <w:shd w:val="clear" w:color="auto" w:fill="FFFFFF"/>
          <w:lang w:val="en-US"/>
        </w:rPr>
      </w:pPr>
      <w:proofErr w:type="spellStart"/>
      <w:r w:rsidRPr="00D05358">
        <w:rPr>
          <w:rFonts w:cstheme="minorHAnsi"/>
          <w:shd w:val="clear" w:color="auto" w:fill="FFFFFF"/>
          <w:lang w:val="en-US"/>
        </w:rPr>
        <w:t>Cevik</w:t>
      </w:r>
      <w:proofErr w:type="spellEnd"/>
      <w:r w:rsidRPr="00D05358">
        <w:rPr>
          <w:rFonts w:cstheme="minorHAnsi"/>
          <w:shd w:val="clear" w:color="auto" w:fill="FFFFFF"/>
          <w:lang w:val="en-US"/>
        </w:rPr>
        <w:t xml:space="preserve">, S., and </w:t>
      </w:r>
      <w:proofErr w:type="spellStart"/>
      <w:r w:rsidRPr="00D05358">
        <w:rPr>
          <w:rFonts w:cstheme="minorHAnsi"/>
          <w:shd w:val="clear" w:color="auto" w:fill="FFFFFF"/>
          <w:lang w:val="en-US"/>
        </w:rPr>
        <w:t>Erd</w:t>
      </w:r>
      <w:r w:rsidR="001E24A2">
        <w:rPr>
          <w:rFonts w:cstheme="minorHAnsi"/>
          <w:shd w:val="clear" w:color="auto" w:fill="FFFFFF"/>
          <w:lang w:val="en-US"/>
        </w:rPr>
        <w:t>uman</w:t>
      </w:r>
      <w:proofErr w:type="spellEnd"/>
      <w:r w:rsidR="001E24A2">
        <w:rPr>
          <w:rFonts w:cstheme="minorHAnsi"/>
          <w:shd w:val="clear" w:color="auto" w:fill="FFFFFF"/>
          <w:lang w:val="en-US"/>
        </w:rPr>
        <w:t>, Y. (2020)</w:t>
      </w:r>
      <w:r w:rsidR="00A55D2A">
        <w:rPr>
          <w:rFonts w:cstheme="minorHAnsi"/>
          <w:shd w:val="clear" w:color="auto" w:fill="FFFFFF"/>
          <w:lang w:val="en-US"/>
        </w:rPr>
        <w:t xml:space="preserve"> Measuring monetary policy uncertainty and its e</w:t>
      </w:r>
      <w:r w:rsidRPr="00D05358">
        <w:rPr>
          <w:rFonts w:cstheme="minorHAnsi"/>
          <w:shd w:val="clear" w:color="auto" w:fill="FFFFFF"/>
          <w:lang w:val="en-US"/>
        </w:rPr>
        <w:t xml:space="preserve">ffects on the </w:t>
      </w:r>
      <w:r w:rsidR="00A55D2A">
        <w:rPr>
          <w:rFonts w:cstheme="minorHAnsi"/>
          <w:shd w:val="clear" w:color="auto" w:fill="FFFFFF"/>
          <w:lang w:val="en-US"/>
        </w:rPr>
        <w:t>e</w:t>
      </w:r>
      <w:r w:rsidRPr="00D05358">
        <w:rPr>
          <w:rFonts w:cstheme="minorHAnsi"/>
          <w:shd w:val="clear" w:color="auto" w:fill="FFFFFF"/>
          <w:lang w:val="en-US"/>
        </w:rPr>
        <w:t xml:space="preserve">conomy: The Case of Turkey. Eastern European Economics, 58(5), 436-454. </w:t>
      </w:r>
    </w:p>
    <w:p w:rsidR="0068610D" w:rsidRPr="00D05358" w:rsidRDefault="001E24A2" w:rsidP="00FE7874">
      <w:pPr>
        <w:autoSpaceDE w:val="0"/>
        <w:autoSpaceDN w:val="0"/>
        <w:adjustRightInd w:val="0"/>
        <w:spacing w:before="120" w:after="120" w:line="360" w:lineRule="auto"/>
        <w:ind w:left="567" w:hanging="567"/>
        <w:jc w:val="both"/>
        <w:rPr>
          <w:rFonts w:cstheme="minorHAnsi"/>
          <w:shd w:val="clear" w:color="auto" w:fill="FFFFFF"/>
          <w:lang w:val="en-US"/>
        </w:rPr>
      </w:pPr>
      <w:proofErr w:type="spellStart"/>
      <w:r>
        <w:rPr>
          <w:rFonts w:cstheme="minorHAnsi"/>
          <w:shd w:val="clear" w:color="auto" w:fill="FFFFFF"/>
          <w:lang w:val="en-US"/>
        </w:rPr>
        <w:t>Fasolo</w:t>
      </w:r>
      <w:proofErr w:type="spellEnd"/>
      <w:r>
        <w:rPr>
          <w:rFonts w:cstheme="minorHAnsi"/>
          <w:shd w:val="clear" w:color="auto" w:fill="FFFFFF"/>
          <w:lang w:val="en-US"/>
        </w:rPr>
        <w:t>, A. M. (2019)</w:t>
      </w:r>
      <w:r w:rsidR="0068610D" w:rsidRPr="00D05358">
        <w:rPr>
          <w:rFonts w:cstheme="minorHAnsi"/>
          <w:shd w:val="clear" w:color="auto" w:fill="FFFFFF"/>
          <w:lang w:val="en-US"/>
        </w:rPr>
        <w:t xml:space="preserve"> Monetary policy volatility shocks in Brazil. Economic Modelling, 81, 348-360.</w:t>
      </w:r>
    </w:p>
    <w:p w:rsidR="008933DA" w:rsidRPr="009038A6" w:rsidRDefault="00D42190"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lang w:val="en-US"/>
        </w:rPr>
        <w:t>Fernandez-</w:t>
      </w:r>
      <w:proofErr w:type="spellStart"/>
      <w:r w:rsidRPr="009038A6">
        <w:rPr>
          <w:rFonts w:cstheme="minorHAnsi"/>
          <w:lang w:val="en-US"/>
        </w:rPr>
        <w:t>Villaverde</w:t>
      </w:r>
      <w:proofErr w:type="spellEnd"/>
      <w:r w:rsidRPr="009038A6">
        <w:rPr>
          <w:rFonts w:cstheme="minorHAnsi"/>
          <w:lang w:val="en-US"/>
        </w:rPr>
        <w:t xml:space="preserve">, J., </w:t>
      </w:r>
      <w:proofErr w:type="spellStart"/>
      <w:r w:rsidRPr="009038A6">
        <w:rPr>
          <w:rFonts w:cstheme="minorHAnsi"/>
          <w:lang w:val="en-US"/>
        </w:rPr>
        <w:t>Guerr</w:t>
      </w:r>
      <w:r w:rsidR="008933DA" w:rsidRPr="009038A6">
        <w:rPr>
          <w:rFonts w:cstheme="minorHAnsi"/>
          <w:lang w:val="en-US"/>
        </w:rPr>
        <w:t>on</w:t>
      </w:r>
      <w:proofErr w:type="spellEnd"/>
      <w:r w:rsidR="008933DA" w:rsidRPr="009038A6">
        <w:rPr>
          <w:rFonts w:cstheme="minorHAnsi"/>
          <w:lang w:val="en-US"/>
        </w:rPr>
        <w:t>-Quinta</w:t>
      </w:r>
      <w:r w:rsidR="00D930D7" w:rsidRPr="009038A6">
        <w:rPr>
          <w:rFonts w:cstheme="minorHAnsi"/>
          <w:lang w:val="en-US"/>
        </w:rPr>
        <w:t>na,</w:t>
      </w:r>
      <w:r w:rsidRPr="009038A6">
        <w:rPr>
          <w:rFonts w:cstheme="minorHAnsi"/>
          <w:lang w:val="en-US"/>
        </w:rPr>
        <w:t xml:space="preserve"> P.,</w:t>
      </w:r>
      <w:r w:rsidR="00D930D7" w:rsidRPr="009038A6">
        <w:rPr>
          <w:rFonts w:cstheme="minorHAnsi"/>
          <w:lang w:val="en-US"/>
        </w:rPr>
        <w:t xml:space="preserve"> Rubio-</w:t>
      </w:r>
      <w:proofErr w:type="spellStart"/>
      <w:r w:rsidR="00D930D7" w:rsidRPr="009038A6">
        <w:rPr>
          <w:rFonts w:cstheme="minorHAnsi"/>
          <w:lang w:val="en-US"/>
        </w:rPr>
        <w:t>Ramrez</w:t>
      </w:r>
      <w:proofErr w:type="spellEnd"/>
      <w:r w:rsidR="00D930D7" w:rsidRPr="009038A6">
        <w:rPr>
          <w:rFonts w:cstheme="minorHAnsi"/>
          <w:lang w:val="en-US"/>
        </w:rPr>
        <w:t xml:space="preserve">, </w:t>
      </w:r>
      <w:r w:rsidRPr="009038A6">
        <w:rPr>
          <w:rFonts w:cstheme="minorHAnsi"/>
          <w:lang w:val="en-US"/>
        </w:rPr>
        <w:t xml:space="preserve">J.F. and </w:t>
      </w:r>
      <w:r w:rsidR="00D930D7" w:rsidRPr="009038A6">
        <w:rPr>
          <w:rFonts w:cstheme="minorHAnsi"/>
          <w:lang w:val="en-US"/>
        </w:rPr>
        <w:t>Uribe</w:t>
      </w:r>
      <w:r w:rsidRPr="009038A6">
        <w:rPr>
          <w:rFonts w:cstheme="minorHAnsi"/>
          <w:lang w:val="en-US"/>
        </w:rPr>
        <w:t>, M.</w:t>
      </w:r>
      <w:r w:rsidR="00D930D7" w:rsidRPr="009038A6">
        <w:rPr>
          <w:rFonts w:cstheme="minorHAnsi"/>
          <w:lang w:val="en-US"/>
        </w:rPr>
        <w:t xml:space="preserve"> (2011) “</w:t>
      </w:r>
      <w:r w:rsidR="009038A6" w:rsidRPr="009038A6">
        <w:rPr>
          <w:rFonts w:cstheme="minorHAnsi"/>
          <w:lang w:val="en-US"/>
        </w:rPr>
        <w:t>Risk matters: the real eff</w:t>
      </w:r>
      <w:r w:rsidR="008933DA" w:rsidRPr="009038A6">
        <w:rPr>
          <w:rFonts w:cstheme="minorHAnsi"/>
          <w:lang w:val="en-US"/>
        </w:rPr>
        <w:t xml:space="preserve">ects of volatility shocks." </w:t>
      </w:r>
      <w:r w:rsidR="00D930D7" w:rsidRPr="009038A6">
        <w:rPr>
          <w:rFonts w:cstheme="minorHAnsi"/>
          <w:lang w:val="en-US"/>
        </w:rPr>
        <w:t xml:space="preserve">American </w:t>
      </w:r>
      <w:r w:rsidR="008933DA" w:rsidRPr="009038A6">
        <w:rPr>
          <w:rFonts w:cstheme="minorHAnsi"/>
          <w:lang w:val="en-US"/>
        </w:rPr>
        <w:t xml:space="preserve">Economic Review </w:t>
      </w:r>
      <w:r w:rsidR="00D930D7" w:rsidRPr="009038A6">
        <w:rPr>
          <w:rFonts w:cstheme="minorHAnsi"/>
          <w:lang w:val="en-US"/>
        </w:rPr>
        <w:t>101, 2530-</w:t>
      </w:r>
      <w:r w:rsidR="008933DA" w:rsidRPr="009038A6">
        <w:rPr>
          <w:rFonts w:cstheme="minorHAnsi"/>
          <w:lang w:val="en-US"/>
        </w:rPr>
        <w:t>2561.</w:t>
      </w:r>
    </w:p>
    <w:p w:rsidR="00926479" w:rsidRPr="009038A6" w:rsidRDefault="00926479"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shd w:val="clear" w:color="auto" w:fill="FFFFFF"/>
        </w:rPr>
        <w:t>Grie</w:t>
      </w:r>
      <w:r w:rsidR="001E24A2">
        <w:rPr>
          <w:rFonts w:cstheme="minorHAnsi"/>
          <w:shd w:val="clear" w:color="auto" w:fill="FFFFFF"/>
        </w:rPr>
        <w:t>r, K. B., &amp; Perry, M. J. (2000)</w:t>
      </w:r>
      <w:r w:rsidRPr="009038A6">
        <w:rPr>
          <w:rFonts w:cstheme="minorHAnsi"/>
          <w:shd w:val="clear" w:color="auto" w:fill="FFFFFF"/>
        </w:rPr>
        <w:t xml:space="preserve"> The effects of real and nominal uncertainty on inflation and output growth: some garch‐m evidence. </w:t>
      </w:r>
      <w:r w:rsidRPr="009038A6">
        <w:rPr>
          <w:rFonts w:cstheme="minorHAnsi"/>
          <w:iCs/>
          <w:shd w:val="clear" w:color="auto" w:fill="FFFFFF"/>
        </w:rPr>
        <w:t>Journal of applied econometrics</w:t>
      </w:r>
      <w:r w:rsidRPr="009038A6">
        <w:rPr>
          <w:rFonts w:cstheme="minorHAnsi"/>
          <w:shd w:val="clear" w:color="auto" w:fill="FFFFFF"/>
        </w:rPr>
        <w:t>, </w:t>
      </w:r>
      <w:r w:rsidRPr="009038A6">
        <w:rPr>
          <w:rFonts w:cstheme="minorHAnsi"/>
          <w:iCs/>
          <w:shd w:val="clear" w:color="auto" w:fill="FFFFFF"/>
        </w:rPr>
        <w:t>15</w:t>
      </w:r>
      <w:r w:rsidRPr="009038A6">
        <w:rPr>
          <w:rFonts w:cstheme="minorHAnsi"/>
          <w:shd w:val="clear" w:color="auto" w:fill="FFFFFF"/>
        </w:rPr>
        <w:t>(1), 45-58.</w:t>
      </w:r>
    </w:p>
    <w:p w:rsidR="0094402A" w:rsidRPr="009038A6" w:rsidRDefault="00D42190" w:rsidP="00FE7874">
      <w:pPr>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t>Güney</w:t>
      </w:r>
      <w:proofErr w:type="spellEnd"/>
      <w:r w:rsidRPr="009038A6">
        <w:rPr>
          <w:rFonts w:cstheme="minorHAnsi"/>
          <w:shd w:val="clear" w:color="auto" w:fill="FFFFFF"/>
          <w:lang w:val="en-US"/>
        </w:rPr>
        <w:t>, P.</w:t>
      </w:r>
      <w:r w:rsidR="001E24A2">
        <w:rPr>
          <w:rFonts w:cstheme="minorHAnsi"/>
          <w:shd w:val="clear" w:color="auto" w:fill="FFFFFF"/>
          <w:lang w:val="en-US"/>
        </w:rPr>
        <w:t>Ö. (2016)</w:t>
      </w:r>
      <w:r w:rsidR="0094402A" w:rsidRPr="009038A6">
        <w:rPr>
          <w:rFonts w:cstheme="minorHAnsi"/>
          <w:shd w:val="clear" w:color="auto" w:fill="FFFFFF"/>
          <w:lang w:val="en-US"/>
        </w:rPr>
        <w:t xml:space="preserve"> </w:t>
      </w:r>
      <w:r w:rsidR="00C7042A" w:rsidRPr="009038A6">
        <w:rPr>
          <w:rFonts w:cstheme="minorHAnsi"/>
          <w:shd w:val="clear" w:color="auto" w:fill="FFFFFF"/>
          <w:lang w:val="en-US"/>
        </w:rPr>
        <w:t>“</w:t>
      </w:r>
      <w:r w:rsidR="0094402A" w:rsidRPr="009038A6">
        <w:rPr>
          <w:rFonts w:cstheme="minorHAnsi"/>
          <w:shd w:val="clear" w:color="auto" w:fill="FFFFFF"/>
          <w:lang w:val="en-US"/>
        </w:rPr>
        <w:t xml:space="preserve">Does the central bank directly respond to output and inflation uncertainties in </w:t>
      </w:r>
      <w:proofErr w:type="gramStart"/>
      <w:r w:rsidR="0094402A" w:rsidRPr="009038A6">
        <w:rPr>
          <w:rFonts w:cstheme="minorHAnsi"/>
          <w:shd w:val="clear" w:color="auto" w:fill="FFFFFF"/>
          <w:lang w:val="en-US"/>
        </w:rPr>
        <w:t>Turkey?.</w:t>
      </w:r>
      <w:proofErr w:type="gramEnd"/>
      <w:r w:rsidR="00C7042A" w:rsidRPr="009038A6">
        <w:rPr>
          <w:rFonts w:cstheme="minorHAnsi"/>
          <w:shd w:val="clear" w:color="auto" w:fill="FFFFFF"/>
          <w:lang w:val="en-US"/>
        </w:rPr>
        <w:t>”</w:t>
      </w:r>
      <w:r w:rsidR="0094402A" w:rsidRPr="009038A6">
        <w:rPr>
          <w:rFonts w:cstheme="minorHAnsi"/>
          <w:shd w:val="clear" w:color="auto" w:fill="FFFFFF"/>
          <w:lang w:val="en-US"/>
        </w:rPr>
        <w:t> </w:t>
      </w:r>
      <w:r w:rsidR="0094402A" w:rsidRPr="009038A6">
        <w:rPr>
          <w:rFonts w:cstheme="minorHAnsi"/>
          <w:iCs/>
          <w:shd w:val="clear" w:color="auto" w:fill="FFFFFF"/>
          <w:lang w:val="en-US"/>
        </w:rPr>
        <w:t>Central Bank Review</w:t>
      </w:r>
      <w:r w:rsidR="0094402A" w:rsidRPr="009038A6">
        <w:rPr>
          <w:rFonts w:cstheme="minorHAnsi"/>
          <w:shd w:val="clear" w:color="auto" w:fill="FFFFFF"/>
          <w:lang w:val="en-US"/>
        </w:rPr>
        <w:t>, </w:t>
      </w:r>
      <w:r w:rsidR="0094402A" w:rsidRPr="009038A6">
        <w:rPr>
          <w:rFonts w:cstheme="minorHAnsi"/>
          <w:iCs/>
          <w:shd w:val="clear" w:color="auto" w:fill="FFFFFF"/>
          <w:lang w:val="en-US"/>
        </w:rPr>
        <w:t>16</w:t>
      </w:r>
      <w:r w:rsidR="0094402A" w:rsidRPr="009038A6">
        <w:rPr>
          <w:rFonts w:cstheme="minorHAnsi"/>
          <w:shd w:val="clear" w:color="auto" w:fill="FFFFFF"/>
          <w:lang w:val="en-US"/>
        </w:rPr>
        <w:t>(2), 53-57.</w:t>
      </w:r>
    </w:p>
    <w:p w:rsidR="0068610D" w:rsidRPr="009038A6" w:rsidRDefault="0068610D" w:rsidP="00FE7874">
      <w:pPr>
        <w:spacing w:before="120" w:after="120" w:line="360" w:lineRule="auto"/>
        <w:ind w:left="567" w:hanging="567"/>
        <w:jc w:val="both"/>
        <w:rPr>
          <w:rFonts w:cstheme="minorHAnsi"/>
          <w:shd w:val="clear" w:color="auto" w:fill="FFFFFF"/>
          <w:lang w:val="en-US"/>
        </w:rPr>
      </w:pPr>
      <w:r w:rsidRPr="009038A6">
        <w:rPr>
          <w:rFonts w:cstheme="minorHAnsi"/>
          <w:shd w:val="clear" w:color="auto" w:fill="FFFFFF"/>
          <w:lang w:val="en-US"/>
        </w:rPr>
        <w:t xml:space="preserve">Husted, Lucas, John H. Rogers, and Bo Sun. (2017) “Monetary </w:t>
      </w:r>
      <w:r w:rsidR="00A55D2A">
        <w:rPr>
          <w:rFonts w:cstheme="minorHAnsi"/>
          <w:shd w:val="clear" w:color="auto" w:fill="FFFFFF"/>
          <w:lang w:val="en-US"/>
        </w:rPr>
        <w:t>policy u</w:t>
      </w:r>
      <w:r w:rsidRPr="009038A6">
        <w:rPr>
          <w:rFonts w:cstheme="minorHAnsi"/>
          <w:shd w:val="clear" w:color="auto" w:fill="FFFFFF"/>
          <w:lang w:val="en-US"/>
        </w:rPr>
        <w:t xml:space="preserve">ncertainty.” International Finance Discussion Papers. Board </w:t>
      </w:r>
      <w:proofErr w:type="spellStart"/>
      <w:r w:rsidRPr="009038A6">
        <w:rPr>
          <w:rFonts w:cstheme="minorHAnsi"/>
          <w:shd w:val="clear" w:color="auto" w:fill="FFFFFF"/>
          <w:lang w:val="en-US"/>
        </w:rPr>
        <w:t>ofGovernors</w:t>
      </w:r>
      <w:proofErr w:type="spellEnd"/>
      <w:r w:rsidRPr="009038A6">
        <w:rPr>
          <w:rFonts w:cstheme="minorHAnsi"/>
          <w:shd w:val="clear" w:color="auto" w:fill="FFFFFF"/>
          <w:lang w:val="en-US"/>
        </w:rPr>
        <w:t xml:space="preserve"> of the Federal Reserve System. (1215).</w:t>
      </w:r>
    </w:p>
    <w:p w:rsidR="008933DA" w:rsidRPr="009038A6" w:rsidRDefault="00D42190" w:rsidP="00FE7874">
      <w:pPr>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lastRenderedPageBreak/>
        <w:t>Istrefi</w:t>
      </w:r>
      <w:proofErr w:type="spellEnd"/>
      <w:r w:rsidRPr="009038A6">
        <w:rPr>
          <w:rFonts w:cstheme="minorHAnsi"/>
          <w:shd w:val="clear" w:color="auto" w:fill="FFFFFF"/>
          <w:lang w:val="en-US"/>
        </w:rPr>
        <w:t>, K., and</w:t>
      </w:r>
      <w:r w:rsidR="0094402A" w:rsidRPr="009038A6">
        <w:rPr>
          <w:rFonts w:cstheme="minorHAnsi"/>
          <w:shd w:val="clear" w:color="auto" w:fill="FFFFFF"/>
          <w:lang w:val="en-US"/>
        </w:rPr>
        <w:t xml:space="preserve"> </w:t>
      </w:r>
      <w:proofErr w:type="spellStart"/>
      <w:r w:rsidR="0094402A" w:rsidRPr="009038A6">
        <w:rPr>
          <w:rFonts w:cstheme="minorHAnsi"/>
          <w:shd w:val="clear" w:color="auto" w:fill="FFFFFF"/>
          <w:lang w:val="en-US"/>
        </w:rPr>
        <w:t>Mouabbi</w:t>
      </w:r>
      <w:proofErr w:type="spellEnd"/>
      <w:r w:rsidR="0094402A" w:rsidRPr="009038A6">
        <w:rPr>
          <w:rFonts w:cstheme="minorHAnsi"/>
          <w:shd w:val="clear" w:color="auto" w:fill="FFFFFF"/>
          <w:lang w:val="en-US"/>
        </w:rPr>
        <w:t xml:space="preserve">, S. (2018). </w:t>
      </w:r>
      <w:r w:rsidR="00C7042A" w:rsidRPr="009038A6">
        <w:rPr>
          <w:rFonts w:cstheme="minorHAnsi"/>
          <w:shd w:val="clear" w:color="auto" w:fill="FFFFFF"/>
          <w:lang w:val="en-US"/>
        </w:rPr>
        <w:t>“</w:t>
      </w:r>
      <w:r w:rsidR="0094402A" w:rsidRPr="009038A6">
        <w:rPr>
          <w:rFonts w:cstheme="minorHAnsi"/>
          <w:shd w:val="clear" w:color="auto" w:fill="FFFFFF"/>
          <w:lang w:val="en-US"/>
        </w:rPr>
        <w:t xml:space="preserve">Subjective interest rate uncertainty and the </w:t>
      </w:r>
      <w:proofErr w:type="spellStart"/>
      <w:r w:rsidR="0094402A" w:rsidRPr="009038A6">
        <w:rPr>
          <w:rFonts w:cstheme="minorHAnsi"/>
          <w:shd w:val="clear" w:color="auto" w:fill="FFFFFF"/>
          <w:lang w:val="en-US"/>
        </w:rPr>
        <w:t>macroeconomy</w:t>
      </w:r>
      <w:proofErr w:type="spellEnd"/>
      <w:r w:rsidR="0094402A" w:rsidRPr="009038A6">
        <w:rPr>
          <w:rFonts w:cstheme="minorHAnsi"/>
          <w:shd w:val="clear" w:color="auto" w:fill="FFFFFF"/>
          <w:lang w:val="en-US"/>
        </w:rPr>
        <w:t>: A cross-country analysis.</w:t>
      </w:r>
      <w:r w:rsidR="00C7042A" w:rsidRPr="009038A6">
        <w:rPr>
          <w:rFonts w:cstheme="minorHAnsi"/>
          <w:shd w:val="clear" w:color="auto" w:fill="FFFFFF"/>
          <w:lang w:val="en-US"/>
        </w:rPr>
        <w:t>”</w:t>
      </w:r>
      <w:r w:rsidR="0094402A" w:rsidRPr="009038A6">
        <w:rPr>
          <w:rFonts w:cstheme="minorHAnsi"/>
          <w:shd w:val="clear" w:color="auto" w:fill="FFFFFF"/>
          <w:lang w:val="en-US"/>
        </w:rPr>
        <w:t> </w:t>
      </w:r>
      <w:r w:rsidR="0094402A" w:rsidRPr="009038A6">
        <w:rPr>
          <w:rFonts w:cstheme="minorHAnsi"/>
          <w:iCs/>
          <w:shd w:val="clear" w:color="auto" w:fill="FFFFFF"/>
          <w:lang w:val="en-US"/>
        </w:rPr>
        <w:t>Journal of International Money and Finance</w:t>
      </w:r>
      <w:r w:rsidR="0094402A" w:rsidRPr="009038A6">
        <w:rPr>
          <w:rFonts w:cstheme="minorHAnsi"/>
          <w:shd w:val="clear" w:color="auto" w:fill="FFFFFF"/>
          <w:lang w:val="en-US"/>
        </w:rPr>
        <w:t>, </w:t>
      </w:r>
      <w:r w:rsidR="0094402A" w:rsidRPr="009038A6">
        <w:rPr>
          <w:rFonts w:cstheme="minorHAnsi"/>
          <w:iCs/>
          <w:shd w:val="clear" w:color="auto" w:fill="FFFFFF"/>
          <w:lang w:val="en-US"/>
        </w:rPr>
        <w:t>88</w:t>
      </w:r>
      <w:r w:rsidR="0094402A" w:rsidRPr="009038A6">
        <w:rPr>
          <w:rFonts w:cstheme="minorHAnsi"/>
          <w:shd w:val="clear" w:color="auto" w:fill="FFFFFF"/>
          <w:lang w:val="en-US"/>
        </w:rPr>
        <w:t>, 296-313.</w:t>
      </w:r>
    </w:p>
    <w:p w:rsidR="008933DA" w:rsidRPr="009038A6" w:rsidRDefault="00D42190" w:rsidP="00FE7874">
      <w:pPr>
        <w:autoSpaceDE w:val="0"/>
        <w:autoSpaceDN w:val="0"/>
        <w:adjustRightInd w:val="0"/>
        <w:spacing w:before="120" w:after="120" w:line="360" w:lineRule="auto"/>
        <w:ind w:left="567" w:hanging="567"/>
        <w:jc w:val="both"/>
        <w:rPr>
          <w:rFonts w:cstheme="minorHAnsi"/>
          <w:lang w:val="en-US"/>
        </w:rPr>
      </w:pPr>
      <w:proofErr w:type="spellStart"/>
      <w:r w:rsidRPr="009038A6">
        <w:rPr>
          <w:rFonts w:cstheme="minorHAnsi"/>
          <w:lang w:val="en-US"/>
        </w:rPr>
        <w:t>Jurado</w:t>
      </w:r>
      <w:proofErr w:type="spellEnd"/>
      <w:r w:rsidRPr="009038A6">
        <w:rPr>
          <w:rFonts w:cstheme="minorHAnsi"/>
          <w:lang w:val="en-US"/>
        </w:rPr>
        <w:t xml:space="preserve">, K., </w:t>
      </w:r>
      <w:proofErr w:type="spellStart"/>
      <w:r w:rsidR="008933DA" w:rsidRPr="009038A6">
        <w:rPr>
          <w:rFonts w:cstheme="minorHAnsi"/>
          <w:lang w:val="en-US"/>
        </w:rPr>
        <w:t>Ludvigson</w:t>
      </w:r>
      <w:proofErr w:type="spellEnd"/>
      <w:r w:rsidR="008933DA" w:rsidRPr="009038A6">
        <w:rPr>
          <w:rFonts w:cstheme="minorHAnsi"/>
          <w:lang w:val="en-US"/>
        </w:rPr>
        <w:t>,</w:t>
      </w:r>
      <w:r w:rsidR="00733912">
        <w:rPr>
          <w:rFonts w:cstheme="minorHAnsi"/>
          <w:lang w:val="en-US"/>
        </w:rPr>
        <w:t xml:space="preserve"> S.C., and</w:t>
      </w:r>
      <w:r w:rsidR="008933DA" w:rsidRPr="009038A6">
        <w:rPr>
          <w:rFonts w:cstheme="minorHAnsi"/>
          <w:lang w:val="en-US"/>
        </w:rPr>
        <w:t xml:space="preserve"> Ng</w:t>
      </w:r>
      <w:r w:rsidRPr="009038A6">
        <w:rPr>
          <w:rFonts w:cstheme="minorHAnsi"/>
          <w:lang w:val="en-US"/>
        </w:rPr>
        <w:t>, S.</w:t>
      </w:r>
      <w:r w:rsidR="008933DA" w:rsidRPr="009038A6">
        <w:rPr>
          <w:rFonts w:cstheme="minorHAnsi"/>
          <w:lang w:val="en-US"/>
        </w:rPr>
        <w:t xml:space="preserve"> </w:t>
      </w:r>
      <w:r w:rsidR="00D930D7" w:rsidRPr="009038A6">
        <w:rPr>
          <w:rFonts w:cstheme="minorHAnsi"/>
          <w:lang w:val="en-US"/>
        </w:rPr>
        <w:t xml:space="preserve">(2015) “Measuring uncertainty." </w:t>
      </w:r>
      <w:r w:rsidR="008933DA" w:rsidRPr="009038A6">
        <w:rPr>
          <w:rFonts w:cstheme="minorHAnsi"/>
          <w:lang w:val="en-US"/>
        </w:rPr>
        <w:t>American Economic Review 105, 1177</w:t>
      </w:r>
      <w:r w:rsidR="00D930D7" w:rsidRPr="009038A6">
        <w:rPr>
          <w:rFonts w:cstheme="minorHAnsi"/>
          <w:lang w:val="en-US"/>
        </w:rPr>
        <w:t>-</w:t>
      </w:r>
      <w:r w:rsidR="008933DA" w:rsidRPr="009038A6">
        <w:rPr>
          <w:rFonts w:cstheme="minorHAnsi"/>
          <w:lang w:val="en-US"/>
        </w:rPr>
        <w:t>1216.</w:t>
      </w:r>
    </w:p>
    <w:p w:rsidR="007963E8" w:rsidRDefault="007963E8" w:rsidP="00FE7874">
      <w:pPr>
        <w:spacing w:before="120" w:after="120" w:line="360" w:lineRule="auto"/>
        <w:ind w:left="567" w:hanging="567"/>
        <w:jc w:val="both"/>
        <w:rPr>
          <w:rFonts w:cstheme="minorHAnsi"/>
          <w:lang w:val="en-US"/>
        </w:rPr>
      </w:pPr>
      <w:r w:rsidRPr="009038A6">
        <w:rPr>
          <w:rFonts w:cstheme="minorHAnsi"/>
          <w:lang w:val="en-US"/>
        </w:rPr>
        <w:t>Kara, H</w:t>
      </w:r>
      <w:r w:rsidR="00D42190" w:rsidRPr="009038A6">
        <w:rPr>
          <w:rFonts w:cstheme="minorHAnsi"/>
          <w:lang w:val="en-US"/>
        </w:rPr>
        <w:t>.,</w:t>
      </w:r>
      <w:r w:rsidRPr="009038A6">
        <w:rPr>
          <w:rFonts w:cstheme="minorHAnsi"/>
          <w:lang w:val="en-US"/>
        </w:rPr>
        <w:t xml:space="preserve"> </w:t>
      </w:r>
      <w:proofErr w:type="spellStart"/>
      <w:r w:rsidRPr="009038A6">
        <w:rPr>
          <w:rFonts w:cstheme="minorHAnsi"/>
          <w:lang w:val="en-US"/>
        </w:rPr>
        <w:t>Küçük-Tuğer</w:t>
      </w:r>
      <w:proofErr w:type="spellEnd"/>
      <w:r w:rsidRPr="009038A6">
        <w:rPr>
          <w:rFonts w:cstheme="minorHAnsi"/>
          <w:lang w:val="en-US"/>
        </w:rPr>
        <w:t>,</w:t>
      </w:r>
      <w:r w:rsidR="00D42190" w:rsidRPr="009038A6">
        <w:rPr>
          <w:rFonts w:cstheme="minorHAnsi"/>
          <w:lang w:val="en-US"/>
        </w:rPr>
        <w:t xml:space="preserve"> H., </w:t>
      </w:r>
      <w:proofErr w:type="spellStart"/>
      <w:r w:rsidRPr="009038A6">
        <w:rPr>
          <w:rFonts w:cstheme="minorHAnsi"/>
          <w:lang w:val="en-US"/>
        </w:rPr>
        <w:t>Özlale</w:t>
      </w:r>
      <w:proofErr w:type="spellEnd"/>
      <w:r w:rsidRPr="009038A6">
        <w:rPr>
          <w:rFonts w:cstheme="minorHAnsi"/>
          <w:lang w:val="en-US"/>
        </w:rPr>
        <w:t xml:space="preserve">, </w:t>
      </w:r>
      <w:r w:rsidR="00D42190" w:rsidRPr="009038A6">
        <w:rPr>
          <w:rFonts w:cstheme="minorHAnsi"/>
          <w:lang w:val="en-US"/>
        </w:rPr>
        <w:t xml:space="preserve">Ü., </w:t>
      </w:r>
      <w:proofErr w:type="spellStart"/>
      <w:r w:rsidRPr="009038A6">
        <w:rPr>
          <w:rFonts w:cstheme="minorHAnsi"/>
          <w:lang w:val="en-US"/>
        </w:rPr>
        <w:t>Tuğer</w:t>
      </w:r>
      <w:proofErr w:type="spellEnd"/>
      <w:r w:rsidR="00D42190" w:rsidRPr="009038A6">
        <w:rPr>
          <w:rFonts w:cstheme="minorHAnsi"/>
          <w:lang w:val="en-US"/>
        </w:rPr>
        <w:t xml:space="preserve">, B., and </w:t>
      </w:r>
      <w:proofErr w:type="spellStart"/>
      <w:r w:rsidRPr="009038A6">
        <w:rPr>
          <w:rFonts w:cstheme="minorHAnsi"/>
          <w:lang w:val="en-US"/>
        </w:rPr>
        <w:t>Yücel</w:t>
      </w:r>
      <w:proofErr w:type="spellEnd"/>
      <w:r w:rsidR="00D42190" w:rsidRPr="009038A6">
        <w:rPr>
          <w:rFonts w:cstheme="minorHAnsi"/>
          <w:lang w:val="en-US"/>
        </w:rPr>
        <w:t>, E.</w:t>
      </w:r>
      <w:r w:rsidR="0068610D" w:rsidRPr="009038A6">
        <w:rPr>
          <w:rFonts w:cstheme="minorHAnsi"/>
          <w:lang w:val="en-US"/>
        </w:rPr>
        <w:t xml:space="preserve"> (2007)</w:t>
      </w:r>
      <w:r w:rsidRPr="009038A6">
        <w:rPr>
          <w:rFonts w:cstheme="minorHAnsi"/>
          <w:lang w:val="en-US"/>
        </w:rPr>
        <w:t xml:space="preserve"> “Exchange </w:t>
      </w:r>
      <w:r w:rsidR="00A55D2A">
        <w:rPr>
          <w:rFonts w:cstheme="minorHAnsi"/>
          <w:lang w:val="en-US"/>
        </w:rPr>
        <w:t>rate r</w:t>
      </w:r>
      <w:r w:rsidRPr="009038A6">
        <w:rPr>
          <w:rFonts w:cstheme="minorHAnsi"/>
          <w:lang w:val="en-US"/>
        </w:rPr>
        <w:t xml:space="preserve">egimes and </w:t>
      </w:r>
      <w:r w:rsidR="00A55D2A">
        <w:rPr>
          <w:rFonts w:cstheme="minorHAnsi"/>
          <w:lang w:val="en-US"/>
        </w:rPr>
        <w:t>pass-t</w:t>
      </w:r>
      <w:r w:rsidRPr="009038A6">
        <w:rPr>
          <w:rFonts w:cstheme="minorHAnsi"/>
          <w:lang w:val="en-US"/>
        </w:rPr>
        <w:t>hrough: Evidence from the Turkish Economy.” Contemporary Economic Policy, 25 (2), 206–225.</w:t>
      </w:r>
    </w:p>
    <w:p w:rsidR="00F33FDF" w:rsidRPr="009038A6" w:rsidRDefault="00F33FDF" w:rsidP="00FE7874">
      <w:pPr>
        <w:spacing w:before="120" w:after="120" w:line="360" w:lineRule="auto"/>
        <w:ind w:left="567" w:hanging="567"/>
        <w:jc w:val="both"/>
        <w:rPr>
          <w:rFonts w:cstheme="minorHAnsi"/>
          <w:lang w:val="en-US"/>
        </w:rPr>
      </w:pPr>
      <w:proofErr w:type="spellStart"/>
      <w:r>
        <w:rPr>
          <w:rFonts w:cstheme="minorHAnsi"/>
          <w:lang w:val="en-US"/>
        </w:rPr>
        <w:t>Lakdawala</w:t>
      </w:r>
      <w:proofErr w:type="spellEnd"/>
      <w:r>
        <w:rPr>
          <w:rFonts w:cstheme="minorHAnsi"/>
          <w:lang w:val="en-US"/>
        </w:rPr>
        <w:t>, A., Moreland, T., and</w:t>
      </w:r>
      <w:r w:rsidR="001E24A2">
        <w:rPr>
          <w:rFonts w:cstheme="minorHAnsi"/>
          <w:lang w:val="en-US"/>
        </w:rPr>
        <w:t xml:space="preserve"> Schaffer, M. (2021)</w:t>
      </w:r>
      <w:r w:rsidR="00A55D2A">
        <w:rPr>
          <w:rFonts w:cstheme="minorHAnsi"/>
          <w:lang w:val="en-US"/>
        </w:rPr>
        <w:t xml:space="preserve"> The international spillover effects of US m</w:t>
      </w:r>
      <w:r w:rsidRPr="00F33FDF">
        <w:rPr>
          <w:rFonts w:cstheme="minorHAnsi"/>
          <w:lang w:val="en-US"/>
        </w:rPr>
        <w:t>onet</w:t>
      </w:r>
      <w:r w:rsidR="00A55D2A">
        <w:rPr>
          <w:rFonts w:cstheme="minorHAnsi"/>
          <w:lang w:val="en-US"/>
        </w:rPr>
        <w:t>ary p</w:t>
      </w:r>
      <w:r w:rsidRPr="00F33FDF">
        <w:rPr>
          <w:rFonts w:cstheme="minorHAnsi"/>
          <w:lang w:val="en-US"/>
        </w:rPr>
        <w:t xml:space="preserve">olicy </w:t>
      </w:r>
      <w:r w:rsidR="00A55D2A">
        <w:rPr>
          <w:rFonts w:cstheme="minorHAnsi"/>
          <w:lang w:val="en-US"/>
        </w:rPr>
        <w:t>u</w:t>
      </w:r>
      <w:r w:rsidRPr="00F33FDF">
        <w:rPr>
          <w:rFonts w:cstheme="minorHAnsi"/>
          <w:lang w:val="en-US"/>
        </w:rPr>
        <w:t>ncertainty. Journal of International Economics, 133, 103525.</w:t>
      </w:r>
    </w:p>
    <w:p w:rsidR="004D6FB6" w:rsidRPr="009038A6" w:rsidRDefault="004D6FB6" w:rsidP="00FE7874">
      <w:pPr>
        <w:spacing w:before="120" w:after="120" w:line="360" w:lineRule="auto"/>
        <w:ind w:left="567" w:hanging="567"/>
        <w:jc w:val="both"/>
        <w:rPr>
          <w:rFonts w:cstheme="minorHAnsi"/>
          <w:lang w:val="en-US"/>
        </w:rPr>
      </w:pPr>
      <w:r w:rsidRPr="009038A6">
        <w:rPr>
          <w:rFonts w:cstheme="minorHAnsi"/>
          <w:shd w:val="clear" w:color="auto" w:fill="FFFFFF"/>
        </w:rPr>
        <w:t>Lastauskas, Povila</w:t>
      </w:r>
      <w:r w:rsidR="001E24A2">
        <w:rPr>
          <w:rFonts w:cstheme="minorHAnsi"/>
          <w:shd w:val="clear" w:color="auto" w:fill="FFFFFF"/>
        </w:rPr>
        <w:t>s &amp; Nguyen, Anh Dinh Minh, (2021)</w:t>
      </w:r>
      <w:r w:rsidRPr="009038A6">
        <w:rPr>
          <w:rFonts w:cstheme="minorHAnsi"/>
          <w:shd w:val="clear" w:color="auto" w:fill="FFFFFF"/>
        </w:rPr>
        <w:t xml:space="preserve"> "</w:t>
      </w:r>
      <w:hyperlink r:id="rId42" w:history="1">
        <w:r w:rsidRPr="009038A6">
          <w:rPr>
            <w:rFonts w:cstheme="minorHAnsi"/>
            <w:bCs/>
          </w:rPr>
          <w:t>Global impacts of US monetary policy uncertainty shocks</w:t>
        </w:r>
      </w:hyperlink>
      <w:r w:rsidRPr="009038A6">
        <w:rPr>
          <w:rFonts w:cstheme="minorHAnsi"/>
          <w:shd w:val="clear" w:color="auto" w:fill="FFFFFF"/>
        </w:rPr>
        <w:t>," </w:t>
      </w:r>
      <w:hyperlink r:id="rId43" w:history="1">
        <w:r w:rsidRPr="009038A6">
          <w:rPr>
            <w:rFonts w:cstheme="minorHAnsi"/>
          </w:rPr>
          <w:t>Working Paper Series</w:t>
        </w:r>
      </w:hyperlink>
      <w:r w:rsidRPr="009038A6">
        <w:rPr>
          <w:rFonts w:cstheme="minorHAnsi"/>
          <w:shd w:val="clear" w:color="auto" w:fill="FFFFFF"/>
        </w:rPr>
        <w:t> 2513, European Central Bank.</w:t>
      </w:r>
    </w:p>
    <w:p w:rsidR="0094402A" w:rsidRPr="009038A6" w:rsidRDefault="00C7042A" w:rsidP="00FE7874">
      <w:pPr>
        <w:widowControl w:val="0"/>
        <w:tabs>
          <w:tab w:val="left" w:pos="851"/>
        </w:tabs>
        <w:suppressAutoHyphens/>
        <w:autoSpaceDE w:val="0"/>
        <w:autoSpaceDN w:val="0"/>
        <w:adjustRightInd w:val="0"/>
        <w:spacing w:before="120" w:after="120" w:line="360" w:lineRule="auto"/>
        <w:ind w:left="567" w:hanging="567"/>
        <w:jc w:val="both"/>
        <w:rPr>
          <w:rFonts w:cstheme="minorHAnsi"/>
          <w:lang w:val="en-US"/>
        </w:rPr>
      </w:pPr>
      <w:proofErr w:type="spellStart"/>
      <w:r w:rsidRPr="009038A6">
        <w:rPr>
          <w:rFonts w:cstheme="minorHAnsi"/>
          <w:lang w:val="en-US"/>
        </w:rPr>
        <w:t>Lensink</w:t>
      </w:r>
      <w:proofErr w:type="spellEnd"/>
      <w:r w:rsidRPr="009038A6">
        <w:rPr>
          <w:rFonts w:cstheme="minorHAnsi"/>
          <w:lang w:val="en-US"/>
        </w:rPr>
        <w:t>, R. (2002)</w:t>
      </w:r>
      <w:r w:rsidR="0094402A" w:rsidRPr="009038A6">
        <w:rPr>
          <w:rFonts w:cstheme="minorHAnsi"/>
          <w:lang w:val="en-US"/>
        </w:rPr>
        <w:t xml:space="preserve"> </w:t>
      </w:r>
      <w:r w:rsidRPr="009038A6">
        <w:rPr>
          <w:rFonts w:cstheme="minorHAnsi"/>
          <w:lang w:val="en-US"/>
        </w:rPr>
        <w:t>“</w:t>
      </w:r>
      <w:r w:rsidR="00A55D2A">
        <w:rPr>
          <w:rFonts w:cstheme="minorHAnsi"/>
          <w:lang w:val="en-US"/>
        </w:rPr>
        <w:t>Is the uncertainty-investment link n</w:t>
      </w:r>
      <w:r w:rsidR="0094402A" w:rsidRPr="009038A6">
        <w:rPr>
          <w:rFonts w:cstheme="minorHAnsi"/>
          <w:lang w:val="en-US"/>
        </w:rPr>
        <w:t xml:space="preserve">on-linear?” Review of World Economics, 138(1), 131-147. </w:t>
      </w:r>
    </w:p>
    <w:p w:rsidR="008933DA" w:rsidRPr="009038A6" w:rsidRDefault="0020581A" w:rsidP="00FE7874">
      <w:pPr>
        <w:autoSpaceDE w:val="0"/>
        <w:autoSpaceDN w:val="0"/>
        <w:adjustRightInd w:val="0"/>
        <w:spacing w:before="120" w:after="120" w:line="360" w:lineRule="auto"/>
        <w:ind w:left="567" w:hanging="567"/>
        <w:jc w:val="both"/>
        <w:rPr>
          <w:rFonts w:cstheme="minorHAnsi"/>
          <w:lang w:val="en-US"/>
        </w:rPr>
      </w:pPr>
      <w:proofErr w:type="spellStart"/>
      <w:r w:rsidRPr="009038A6">
        <w:rPr>
          <w:rFonts w:cstheme="minorHAnsi"/>
          <w:lang w:val="en-US"/>
        </w:rPr>
        <w:t>Ludvigson</w:t>
      </w:r>
      <w:proofErr w:type="spellEnd"/>
      <w:r w:rsidRPr="009038A6">
        <w:rPr>
          <w:rFonts w:cstheme="minorHAnsi"/>
          <w:lang w:val="en-US"/>
        </w:rPr>
        <w:t xml:space="preserve"> S</w:t>
      </w:r>
      <w:r w:rsidR="00D42190" w:rsidRPr="009038A6">
        <w:rPr>
          <w:rFonts w:cstheme="minorHAnsi"/>
          <w:lang w:val="en-US"/>
        </w:rPr>
        <w:t>.</w:t>
      </w:r>
      <w:r w:rsidRPr="009038A6">
        <w:rPr>
          <w:rFonts w:cstheme="minorHAnsi"/>
          <w:lang w:val="en-US"/>
        </w:rPr>
        <w:t>C</w:t>
      </w:r>
      <w:r w:rsidR="00D42190" w:rsidRPr="009038A6">
        <w:rPr>
          <w:rFonts w:cstheme="minorHAnsi"/>
          <w:lang w:val="en-US"/>
        </w:rPr>
        <w:t>.</w:t>
      </w:r>
      <w:r w:rsidRPr="009038A6">
        <w:rPr>
          <w:rFonts w:cstheme="minorHAnsi"/>
          <w:lang w:val="en-US"/>
        </w:rPr>
        <w:t>, Ma</w:t>
      </w:r>
      <w:r w:rsidR="00D42190" w:rsidRPr="009038A6">
        <w:rPr>
          <w:rFonts w:cstheme="minorHAnsi"/>
          <w:lang w:val="en-US"/>
        </w:rPr>
        <w:t>,</w:t>
      </w:r>
      <w:r w:rsidRPr="009038A6">
        <w:rPr>
          <w:rFonts w:cstheme="minorHAnsi"/>
          <w:lang w:val="en-US"/>
        </w:rPr>
        <w:t xml:space="preserve"> S</w:t>
      </w:r>
      <w:r w:rsidR="00D42190" w:rsidRPr="009038A6">
        <w:rPr>
          <w:rFonts w:cstheme="minorHAnsi"/>
          <w:lang w:val="en-US"/>
        </w:rPr>
        <w:t>.</w:t>
      </w:r>
      <w:r w:rsidRPr="009038A6">
        <w:rPr>
          <w:rFonts w:cstheme="minorHAnsi"/>
          <w:lang w:val="en-US"/>
        </w:rPr>
        <w:t>, Ng</w:t>
      </w:r>
      <w:r w:rsidR="00D42190" w:rsidRPr="009038A6">
        <w:rPr>
          <w:rFonts w:cstheme="minorHAnsi"/>
          <w:lang w:val="en-US"/>
        </w:rPr>
        <w:t>,</w:t>
      </w:r>
      <w:r w:rsidRPr="009038A6">
        <w:rPr>
          <w:rFonts w:cstheme="minorHAnsi"/>
          <w:lang w:val="en-US"/>
        </w:rPr>
        <w:t xml:space="preserve"> S. </w:t>
      </w:r>
      <w:r w:rsidR="00C7042A" w:rsidRPr="009038A6">
        <w:rPr>
          <w:rFonts w:cstheme="minorHAnsi"/>
          <w:lang w:val="en-US"/>
        </w:rPr>
        <w:t>(</w:t>
      </w:r>
      <w:r w:rsidRPr="009038A6">
        <w:rPr>
          <w:rFonts w:cstheme="minorHAnsi"/>
          <w:lang w:val="en-US"/>
        </w:rPr>
        <w:t>2015</w:t>
      </w:r>
      <w:r w:rsidR="00C7042A" w:rsidRPr="009038A6">
        <w:rPr>
          <w:rFonts w:cstheme="minorHAnsi"/>
          <w:lang w:val="en-US"/>
        </w:rPr>
        <w:t>)</w:t>
      </w:r>
      <w:r w:rsidRPr="009038A6">
        <w:rPr>
          <w:rFonts w:cstheme="minorHAnsi"/>
          <w:lang w:val="en-US"/>
        </w:rPr>
        <w:t xml:space="preserve"> </w:t>
      </w:r>
      <w:r w:rsidR="00C7042A" w:rsidRPr="009038A6">
        <w:rPr>
          <w:rFonts w:cstheme="minorHAnsi"/>
          <w:lang w:val="en-US"/>
        </w:rPr>
        <w:t>“</w:t>
      </w:r>
      <w:r w:rsidRPr="009038A6">
        <w:rPr>
          <w:rFonts w:cstheme="minorHAnsi"/>
          <w:lang w:val="en-US"/>
        </w:rPr>
        <w:t>Uncertainty and business cycl</w:t>
      </w:r>
      <w:r w:rsidR="00D930D7" w:rsidRPr="009038A6">
        <w:rPr>
          <w:rFonts w:cstheme="minorHAnsi"/>
          <w:lang w:val="en-US"/>
        </w:rPr>
        <w:t xml:space="preserve">es exogenous impulse or </w:t>
      </w:r>
      <w:r w:rsidRPr="009038A6">
        <w:rPr>
          <w:rFonts w:cstheme="minorHAnsi"/>
          <w:lang w:val="en-US"/>
        </w:rPr>
        <w:t>endogenous response?</w:t>
      </w:r>
      <w:r w:rsidR="00C7042A" w:rsidRPr="009038A6">
        <w:rPr>
          <w:rFonts w:cstheme="minorHAnsi"/>
          <w:lang w:val="en-US"/>
        </w:rPr>
        <w:t>”</w:t>
      </w:r>
      <w:r w:rsidRPr="009038A6">
        <w:rPr>
          <w:rFonts w:cstheme="minorHAnsi"/>
          <w:lang w:val="en-US"/>
        </w:rPr>
        <w:t xml:space="preserve"> NBER Working Paper 21803, NBER Working Paper.</w:t>
      </w:r>
    </w:p>
    <w:p w:rsidR="00F04CD8" w:rsidRPr="009038A6" w:rsidRDefault="00F04CD8" w:rsidP="00FE7874">
      <w:pPr>
        <w:spacing w:before="120" w:after="120" w:line="360" w:lineRule="auto"/>
        <w:ind w:left="567" w:hanging="567"/>
        <w:jc w:val="both"/>
        <w:rPr>
          <w:rFonts w:cstheme="minorHAnsi"/>
          <w:shd w:val="clear" w:color="auto" w:fill="FFFFFF"/>
          <w:lang w:val="en-US"/>
        </w:rPr>
      </w:pPr>
      <w:proofErr w:type="spellStart"/>
      <w:r w:rsidRPr="009038A6">
        <w:rPr>
          <w:rFonts w:cstheme="minorHAnsi"/>
          <w:shd w:val="clear" w:color="auto" w:fill="FFFFFF"/>
          <w:lang w:val="en-US"/>
        </w:rPr>
        <w:t>Mishkin</w:t>
      </w:r>
      <w:proofErr w:type="spellEnd"/>
      <w:r w:rsidRPr="009038A6">
        <w:rPr>
          <w:rFonts w:cstheme="minorHAnsi"/>
          <w:shd w:val="clear" w:color="auto" w:fill="FFFFFF"/>
          <w:lang w:val="en-US"/>
        </w:rPr>
        <w:t xml:space="preserve">, F. S. (2000). </w:t>
      </w:r>
      <w:r w:rsidR="00C46CAE">
        <w:rPr>
          <w:rFonts w:cstheme="minorHAnsi"/>
          <w:shd w:val="clear" w:color="auto" w:fill="FFFFFF"/>
          <w:lang w:val="en-US"/>
        </w:rPr>
        <w:t>“</w:t>
      </w:r>
      <w:r w:rsidRPr="009038A6">
        <w:rPr>
          <w:rFonts w:cstheme="minorHAnsi"/>
          <w:shd w:val="clear" w:color="auto" w:fill="FFFFFF"/>
          <w:lang w:val="en-US"/>
        </w:rPr>
        <w:t xml:space="preserve">What should central banks </w:t>
      </w:r>
      <w:proofErr w:type="gramStart"/>
      <w:r w:rsidRPr="009038A6">
        <w:rPr>
          <w:rFonts w:cstheme="minorHAnsi"/>
          <w:shd w:val="clear" w:color="auto" w:fill="FFFFFF"/>
          <w:lang w:val="en-US"/>
        </w:rPr>
        <w:t>do?.</w:t>
      </w:r>
      <w:proofErr w:type="gramEnd"/>
      <w:r w:rsidR="00C46CAE">
        <w:rPr>
          <w:rFonts w:cstheme="minorHAnsi"/>
          <w:shd w:val="clear" w:color="auto" w:fill="FFFFFF"/>
          <w:lang w:val="en-US"/>
        </w:rPr>
        <w:t>”</w:t>
      </w:r>
      <w:r w:rsidR="00C46CAE" w:rsidRPr="00C46CAE">
        <w:t xml:space="preserve"> </w:t>
      </w:r>
      <w:r w:rsidR="00C46CAE">
        <w:t>Review, Federal Reserve Bank of St. Louis.</w:t>
      </w:r>
      <w:r w:rsidR="00C46CAE">
        <w:rPr>
          <w:rFonts w:cstheme="minorHAnsi"/>
          <w:shd w:val="clear" w:color="auto" w:fill="FFFFFF"/>
          <w:lang w:val="en-US"/>
        </w:rPr>
        <w:t xml:space="preserve"> 82(Nov),</w:t>
      </w:r>
      <w:r w:rsidR="00C46CAE" w:rsidRPr="00C46CAE">
        <w:rPr>
          <w:rFonts w:cstheme="minorHAnsi"/>
          <w:shd w:val="clear" w:color="auto" w:fill="FFFFFF"/>
          <w:lang w:val="en-US"/>
        </w:rPr>
        <w:t xml:space="preserve"> 1-14.</w:t>
      </w:r>
    </w:p>
    <w:p w:rsidR="0068610D" w:rsidRPr="009038A6" w:rsidRDefault="009038A6" w:rsidP="00FE7874">
      <w:pPr>
        <w:spacing w:before="120" w:after="120" w:line="360" w:lineRule="auto"/>
        <w:ind w:left="567" w:hanging="567"/>
        <w:jc w:val="both"/>
        <w:rPr>
          <w:rFonts w:cstheme="minorHAnsi"/>
          <w:shd w:val="clear" w:color="auto" w:fill="FFFFFF"/>
          <w:lang w:val="en-US"/>
        </w:rPr>
      </w:pPr>
      <w:r w:rsidRPr="009038A6">
        <w:rPr>
          <w:rFonts w:cstheme="minorHAnsi"/>
          <w:shd w:val="clear" w:color="auto" w:fill="FFFFFF"/>
        </w:rPr>
        <w:t>Mumtaz, H., and</w:t>
      </w:r>
      <w:r w:rsidR="001E24A2">
        <w:rPr>
          <w:rFonts w:cstheme="minorHAnsi"/>
          <w:shd w:val="clear" w:color="auto" w:fill="FFFFFF"/>
        </w:rPr>
        <w:t xml:space="preserve"> Zanetti, F. (2013)</w:t>
      </w:r>
      <w:r w:rsidR="0068610D" w:rsidRPr="009038A6">
        <w:rPr>
          <w:rFonts w:cstheme="minorHAnsi"/>
          <w:shd w:val="clear" w:color="auto" w:fill="FFFFFF"/>
        </w:rPr>
        <w:t xml:space="preserve"> The impact of the volatility of monetary policy shocks. </w:t>
      </w:r>
      <w:r w:rsidR="0068610D" w:rsidRPr="009038A6">
        <w:rPr>
          <w:rFonts w:cstheme="minorHAnsi"/>
          <w:iCs/>
          <w:shd w:val="clear" w:color="auto" w:fill="FFFFFF"/>
        </w:rPr>
        <w:t>Journal of Money, Credit and Banking</w:t>
      </w:r>
      <w:r w:rsidR="0068610D" w:rsidRPr="009038A6">
        <w:rPr>
          <w:rFonts w:cstheme="minorHAnsi"/>
          <w:shd w:val="clear" w:color="auto" w:fill="FFFFFF"/>
        </w:rPr>
        <w:t>, </w:t>
      </w:r>
      <w:r w:rsidR="0068610D" w:rsidRPr="009038A6">
        <w:rPr>
          <w:rFonts w:cstheme="minorHAnsi"/>
          <w:iCs/>
          <w:shd w:val="clear" w:color="auto" w:fill="FFFFFF"/>
        </w:rPr>
        <w:t>45</w:t>
      </w:r>
      <w:r w:rsidR="0068610D" w:rsidRPr="009038A6">
        <w:rPr>
          <w:rFonts w:cstheme="minorHAnsi"/>
          <w:shd w:val="clear" w:color="auto" w:fill="FFFFFF"/>
        </w:rPr>
        <w:t>(4), 535-558.</w:t>
      </w:r>
    </w:p>
    <w:p w:rsidR="0068610D" w:rsidRPr="009038A6" w:rsidRDefault="009038A6" w:rsidP="00FE7874">
      <w:pPr>
        <w:spacing w:before="120" w:after="120" w:line="360" w:lineRule="auto"/>
        <w:ind w:left="567" w:hanging="567"/>
        <w:jc w:val="both"/>
        <w:rPr>
          <w:rFonts w:cstheme="minorHAnsi"/>
          <w:shd w:val="clear" w:color="auto" w:fill="FFFFFF"/>
          <w:lang w:val="en-US"/>
        </w:rPr>
      </w:pPr>
      <w:r w:rsidRPr="009038A6">
        <w:rPr>
          <w:rFonts w:cstheme="minorHAnsi"/>
          <w:shd w:val="clear" w:color="auto" w:fill="FFFFFF"/>
        </w:rPr>
        <w:t>Mumtaz, H., and</w:t>
      </w:r>
      <w:r w:rsidR="001E24A2">
        <w:rPr>
          <w:rFonts w:cstheme="minorHAnsi"/>
          <w:shd w:val="clear" w:color="auto" w:fill="FFFFFF"/>
        </w:rPr>
        <w:t xml:space="preserve"> Theodoridis, K. (2020)</w:t>
      </w:r>
      <w:r w:rsidR="00926479" w:rsidRPr="009038A6">
        <w:rPr>
          <w:rFonts w:cstheme="minorHAnsi"/>
          <w:shd w:val="clear" w:color="auto" w:fill="FFFFFF"/>
        </w:rPr>
        <w:t xml:space="preserve"> Dynamic effects of monetary policy shocks on macroeconomic volatility. </w:t>
      </w:r>
      <w:r w:rsidR="00926479" w:rsidRPr="009038A6">
        <w:rPr>
          <w:rFonts w:cstheme="minorHAnsi"/>
          <w:iCs/>
          <w:shd w:val="clear" w:color="auto" w:fill="FFFFFF"/>
        </w:rPr>
        <w:t>Journal of Monetary Economics</w:t>
      </w:r>
      <w:r w:rsidR="00926479" w:rsidRPr="009038A6">
        <w:rPr>
          <w:rFonts w:cstheme="minorHAnsi"/>
          <w:shd w:val="clear" w:color="auto" w:fill="FFFFFF"/>
        </w:rPr>
        <w:t>, </w:t>
      </w:r>
      <w:r w:rsidR="00926479" w:rsidRPr="009038A6">
        <w:rPr>
          <w:rFonts w:cstheme="minorHAnsi"/>
          <w:iCs/>
          <w:shd w:val="clear" w:color="auto" w:fill="FFFFFF"/>
        </w:rPr>
        <w:t>114</w:t>
      </w:r>
      <w:r w:rsidR="00926479" w:rsidRPr="009038A6">
        <w:rPr>
          <w:rFonts w:cstheme="minorHAnsi"/>
          <w:shd w:val="clear" w:color="auto" w:fill="FFFFFF"/>
        </w:rPr>
        <w:t>, 262-282.</w:t>
      </w:r>
    </w:p>
    <w:p w:rsidR="006E67CA" w:rsidRPr="009038A6" w:rsidRDefault="006E67CA" w:rsidP="00FE7874">
      <w:pPr>
        <w:spacing w:before="120" w:after="120" w:line="360" w:lineRule="auto"/>
        <w:ind w:left="567" w:hanging="567"/>
        <w:jc w:val="both"/>
        <w:rPr>
          <w:rFonts w:cstheme="minorHAnsi"/>
          <w:lang w:val="en-US"/>
        </w:rPr>
      </w:pPr>
      <w:r w:rsidRPr="009038A6">
        <w:rPr>
          <w:rFonts w:cstheme="minorHAnsi"/>
          <w:shd w:val="clear" w:color="auto" w:fill="FCFCFC"/>
        </w:rPr>
        <w:t>Park, D., Qureshi, I., Tian, S. </w:t>
      </w:r>
      <w:r w:rsidRPr="009038A6">
        <w:rPr>
          <w:rFonts w:cstheme="minorHAnsi"/>
          <w:iCs/>
          <w:shd w:val="clear" w:color="auto" w:fill="FCFCFC"/>
        </w:rPr>
        <w:t>et al.</w:t>
      </w:r>
      <w:r w:rsidRPr="009038A6">
        <w:rPr>
          <w:rFonts w:cstheme="minorHAnsi"/>
          <w:shd w:val="clear" w:color="auto" w:fill="FCFCFC"/>
        </w:rPr>
        <w:t> (2020) “Impact of US monetary policy uncertainty on Asian exchange rates”. </w:t>
      </w:r>
      <w:r w:rsidRPr="009038A6">
        <w:rPr>
          <w:rFonts w:cstheme="minorHAnsi"/>
          <w:iCs/>
          <w:shd w:val="clear" w:color="auto" w:fill="FCFCFC"/>
        </w:rPr>
        <w:t>Econ Change Restruct</w:t>
      </w:r>
      <w:r w:rsidRPr="009038A6">
        <w:rPr>
          <w:rFonts w:cstheme="minorHAnsi"/>
          <w:shd w:val="clear" w:color="auto" w:fill="FCFCFC"/>
        </w:rPr>
        <w:t>. https://doi.org/10.1007/s10644-020-09307-3</w:t>
      </w:r>
    </w:p>
    <w:p w:rsidR="005C7962" w:rsidRPr="009038A6" w:rsidRDefault="00635362"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shd w:val="clear" w:color="auto" w:fill="FFFFFF"/>
          <w:lang w:val="en-US"/>
        </w:rPr>
        <w:t>Pastor, L., and</w:t>
      </w:r>
      <w:r w:rsidR="005C7962" w:rsidRPr="009038A6">
        <w:rPr>
          <w:rFonts w:cstheme="minorHAnsi"/>
          <w:shd w:val="clear" w:color="auto" w:fill="FFFFFF"/>
          <w:lang w:val="en-US"/>
        </w:rPr>
        <w:t xml:space="preserve"> Veronesi, P. (2012) “Uncertainty about government policy and stock prices.” </w:t>
      </w:r>
      <w:r w:rsidR="005C7962" w:rsidRPr="009038A6">
        <w:rPr>
          <w:rFonts w:cstheme="minorHAnsi"/>
          <w:iCs/>
          <w:shd w:val="clear" w:color="auto" w:fill="FFFFFF"/>
          <w:lang w:val="en-US"/>
        </w:rPr>
        <w:t>The journal of Finance</w:t>
      </w:r>
      <w:r w:rsidR="005C7962" w:rsidRPr="009038A6">
        <w:rPr>
          <w:rFonts w:cstheme="minorHAnsi"/>
          <w:shd w:val="clear" w:color="auto" w:fill="FFFFFF"/>
          <w:lang w:val="en-US"/>
        </w:rPr>
        <w:t>, </w:t>
      </w:r>
      <w:r w:rsidR="005C7962" w:rsidRPr="009038A6">
        <w:rPr>
          <w:rFonts w:cstheme="minorHAnsi"/>
          <w:iCs/>
          <w:shd w:val="clear" w:color="auto" w:fill="FFFFFF"/>
          <w:lang w:val="en-US"/>
        </w:rPr>
        <w:t>67</w:t>
      </w:r>
      <w:r w:rsidR="005C7962" w:rsidRPr="009038A6">
        <w:rPr>
          <w:rFonts w:cstheme="minorHAnsi"/>
          <w:shd w:val="clear" w:color="auto" w:fill="FFFFFF"/>
          <w:lang w:val="en-US"/>
        </w:rPr>
        <w:t>(4), 1219-1264.</w:t>
      </w:r>
    </w:p>
    <w:p w:rsidR="008933DA" w:rsidRPr="009038A6" w:rsidRDefault="00D42190" w:rsidP="00FE7874">
      <w:pPr>
        <w:autoSpaceDE w:val="0"/>
        <w:autoSpaceDN w:val="0"/>
        <w:adjustRightInd w:val="0"/>
        <w:spacing w:before="120" w:after="120" w:line="360" w:lineRule="auto"/>
        <w:ind w:left="567" w:hanging="567"/>
        <w:jc w:val="both"/>
        <w:rPr>
          <w:rFonts w:cstheme="minorHAnsi"/>
          <w:lang w:val="en-US"/>
        </w:rPr>
      </w:pPr>
      <w:r w:rsidRPr="009038A6">
        <w:rPr>
          <w:rFonts w:cstheme="minorHAnsi"/>
          <w:lang w:val="en-US"/>
        </w:rPr>
        <w:t>Ulrich, M.</w:t>
      </w:r>
      <w:r w:rsidR="00D930D7" w:rsidRPr="009038A6">
        <w:rPr>
          <w:rFonts w:cstheme="minorHAnsi"/>
          <w:lang w:val="en-US"/>
        </w:rPr>
        <w:t xml:space="preserve"> (2012) “</w:t>
      </w:r>
      <w:r w:rsidR="008933DA" w:rsidRPr="009038A6">
        <w:rPr>
          <w:rFonts w:cstheme="minorHAnsi"/>
          <w:lang w:val="en-US"/>
        </w:rPr>
        <w:t xml:space="preserve">Economic policy uncertainty and asset price </w:t>
      </w:r>
      <w:r w:rsidR="00D930D7" w:rsidRPr="009038A6">
        <w:rPr>
          <w:rFonts w:cstheme="minorHAnsi"/>
          <w:lang w:val="en-US"/>
        </w:rPr>
        <w:t xml:space="preserve">volatility" Unpublished </w:t>
      </w:r>
      <w:r w:rsidR="008933DA" w:rsidRPr="009038A6">
        <w:rPr>
          <w:rFonts w:cstheme="minorHAnsi"/>
          <w:lang w:val="en-US"/>
        </w:rPr>
        <w:t>manuscript, Department of Economics, Columbia University.</w:t>
      </w:r>
    </w:p>
    <w:p w:rsidR="00D930D7" w:rsidRPr="009038A6" w:rsidRDefault="00D42190" w:rsidP="00FE7874">
      <w:pPr>
        <w:spacing w:before="120" w:after="120" w:line="360" w:lineRule="auto"/>
        <w:ind w:left="567" w:hanging="567"/>
        <w:jc w:val="both"/>
        <w:rPr>
          <w:rFonts w:cstheme="minorHAnsi"/>
          <w:lang w:val="en-US"/>
        </w:rPr>
      </w:pPr>
      <w:r w:rsidRPr="009038A6">
        <w:rPr>
          <w:rFonts w:cstheme="minorHAnsi"/>
          <w:lang w:val="en-US"/>
        </w:rPr>
        <w:t>Us, V.</w:t>
      </w:r>
      <w:r w:rsidR="007963E8" w:rsidRPr="009038A6">
        <w:rPr>
          <w:rFonts w:cstheme="minorHAnsi"/>
          <w:lang w:val="en-US"/>
        </w:rPr>
        <w:t xml:space="preserve"> (2004) </w:t>
      </w:r>
      <w:r w:rsidR="00C7042A" w:rsidRPr="009038A6">
        <w:rPr>
          <w:rFonts w:cstheme="minorHAnsi"/>
          <w:lang w:val="en-US"/>
        </w:rPr>
        <w:t>“</w:t>
      </w:r>
      <w:r w:rsidR="007963E8" w:rsidRPr="009038A6">
        <w:rPr>
          <w:rFonts w:cstheme="minorHAnsi"/>
          <w:lang w:val="en-US"/>
        </w:rPr>
        <w:t>Monetary transmission mechanism in Turkey under the monetary conditions index: an alternative policy rule</w:t>
      </w:r>
      <w:r w:rsidR="00C7042A" w:rsidRPr="009038A6">
        <w:rPr>
          <w:rFonts w:cstheme="minorHAnsi"/>
          <w:lang w:val="en-US"/>
        </w:rPr>
        <w:t>.”</w:t>
      </w:r>
      <w:r w:rsidR="007963E8" w:rsidRPr="009038A6">
        <w:rPr>
          <w:rFonts w:cstheme="minorHAnsi"/>
          <w:lang w:val="en-US"/>
        </w:rPr>
        <w:t xml:space="preserve"> Applied Economics, 36:9, 967-976, DOI:</w:t>
      </w:r>
      <w:r w:rsidR="007963E8" w:rsidRPr="009038A6">
        <w:rPr>
          <w:rFonts w:cstheme="minorHAnsi"/>
          <w:b/>
          <w:lang w:val="en-US"/>
        </w:rPr>
        <w:t xml:space="preserve"> </w:t>
      </w:r>
      <w:r w:rsidR="007963E8" w:rsidRPr="009038A6">
        <w:rPr>
          <w:rFonts w:cstheme="minorHAnsi"/>
          <w:lang w:val="en-US"/>
        </w:rPr>
        <w:t>10.1080/0003684042000233195</w:t>
      </w:r>
    </w:p>
    <w:sectPr w:rsidR="00D930D7" w:rsidRPr="00903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90" w:rsidRDefault="00E40690" w:rsidP="0058660F">
      <w:pPr>
        <w:spacing w:after="0" w:line="240" w:lineRule="auto"/>
      </w:pPr>
      <w:r>
        <w:separator/>
      </w:r>
    </w:p>
  </w:endnote>
  <w:endnote w:type="continuationSeparator" w:id="0">
    <w:p w:rsidR="00E40690" w:rsidRDefault="00E40690" w:rsidP="0058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90" w:rsidRDefault="00E40690" w:rsidP="0058660F">
      <w:pPr>
        <w:spacing w:after="0" w:line="240" w:lineRule="auto"/>
      </w:pPr>
      <w:r>
        <w:separator/>
      </w:r>
    </w:p>
  </w:footnote>
  <w:footnote w:type="continuationSeparator" w:id="0">
    <w:p w:rsidR="00E40690" w:rsidRDefault="00E40690" w:rsidP="0058660F">
      <w:pPr>
        <w:spacing w:after="0" w:line="240" w:lineRule="auto"/>
      </w:pPr>
      <w:r>
        <w:continuationSeparator/>
      </w:r>
    </w:p>
  </w:footnote>
  <w:footnote w:id="1">
    <w:p w:rsidR="009703F2" w:rsidRPr="001912CD" w:rsidRDefault="009703F2" w:rsidP="0058660F">
      <w:pPr>
        <w:pStyle w:val="FootnoteText"/>
        <w:jc w:val="both"/>
        <w:rPr>
          <w:rFonts w:asciiTheme="majorHAnsi" w:hAnsiTheme="majorHAnsi" w:cstheme="majorHAnsi"/>
          <w:sz w:val="16"/>
          <w:szCs w:val="16"/>
          <w:lang w:val="en-US"/>
        </w:rPr>
      </w:pPr>
      <w:r>
        <w:rPr>
          <w:rStyle w:val="FootnoteReference"/>
        </w:rPr>
        <w:footnoteRef/>
      </w:r>
      <w:r>
        <w:t xml:space="preserve"> </w:t>
      </w:r>
      <w:r w:rsidRPr="001912CD">
        <w:rPr>
          <w:rStyle w:val="FootnoteReference"/>
          <w:rFonts w:cstheme="majorHAnsi"/>
          <w:sz w:val="16"/>
          <w:szCs w:val="16"/>
          <w:lang w:val="en-US"/>
        </w:rPr>
        <w:footnoteRef/>
      </w:r>
      <w:r w:rsidRPr="001912CD">
        <w:rPr>
          <w:rFonts w:asciiTheme="majorHAnsi" w:hAnsiTheme="majorHAnsi" w:cstheme="majorHAnsi"/>
          <w:sz w:val="16"/>
          <w:szCs w:val="16"/>
          <w:lang w:val="en-US"/>
        </w:rPr>
        <w:t xml:space="preserve"> </w:t>
      </w:r>
      <w:r w:rsidRPr="001912CD">
        <w:rPr>
          <w:rFonts w:asciiTheme="majorHAnsi" w:hAnsiTheme="majorHAnsi" w:cstheme="majorHAnsi"/>
          <w:i/>
          <w:sz w:val="16"/>
          <w:szCs w:val="16"/>
          <w:lang w:val="en-US"/>
        </w:rPr>
        <w:t xml:space="preserve">Prof. Dr., </w:t>
      </w:r>
      <w:proofErr w:type="spellStart"/>
      <w:r w:rsidRPr="001912CD">
        <w:rPr>
          <w:rFonts w:asciiTheme="majorHAnsi" w:hAnsiTheme="majorHAnsi" w:cstheme="majorHAnsi"/>
          <w:i/>
          <w:sz w:val="16"/>
          <w:szCs w:val="16"/>
          <w:lang w:val="en-US"/>
        </w:rPr>
        <w:t>Hacettepe</w:t>
      </w:r>
      <w:proofErr w:type="spellEnd"/>
      <w:r w:rsidRPr="001912CD">
        <w:rPr>
          <w:rFonts w:asciiTheme="majorHAnsi" w:hAnsiTheme="majorHAnsi" w:cstheme="majorHAnsi"/>
          <w:i/>
          <w:sz w:val="16"/>
          <w:szCs w:val="16"/>
          <w:lang w:val="en-US"/>
        </w:rPr>
        <w:t xml:space="preserve"> University, Faculty of Economics and Administrative Sciences, Department of Economics, pelinoge@hacettepe.edu.tr</w:t>
      </w:r>
      <w:r w:rsidRPr="001912CD">
        <w:rPr>
          <w:rFonts w:asciiTheme="majorHAnsi" w:hAnsiTheme="majorHAnsi" w:cstheme="majorHAnsi"/>
          <w:sz w:val="16"/>
          <w:szCs w:val="16"/>
          <w:lang w:val="en-US"/>
        </w:rPr>
        <w:t xml:space="preserve"> </w:t>
      </w:r>
    </w:p>
    <w:p w:rsidR="009703F2" w:rsidRDefault="009703F2">
      <w:pPr>
        <w:pStyle w:val="FootnoteText"/>
      </w:pPr>
    </w:p>
  </w:footnote>
  <w:footnote w:id="2">
    <w:p w:rsidR="0064163F" w:rsidRPr="0064163F" w:rsidRDefault="0064163F" w:rsidP="0064163F">
      <w:pPr>
        <w:spacing w:after="0" w:line="240" w:lineRule="auto"/>
        <w:jc w:val="both"/>
        <w:rPr>
          <w:rFonts w:eastAsia="Times New Roman" w:cstheme="minorHAnsi"/>
          <w:sz w:val="20"/>
          <w:szCs w:val="20"/>
          <w:lang w:val="en-US" w:eastAsia="tr-TR"/>
        </w:rPr>
      </w:pPr>
      <w:r>
        <w:rPr>
          <w:rStyle w:val="FootnoteReference"/>
        </w:rPr>
        <w:footnoteRef/>
      </w:r>
      <w:r>
        <w:t xml:space="preserve"> </w:t>
      </w:r>
      <w:r w:rsidRPr="0064163F">
        <w:rPr>
          <w:rFonts w:eastAsia="Times New Roman" w:cstheme="minorHAnsi"/>
          <w:sz w:val="20"/>
          <w:szCs w:val="20"/>
          <w:lang w:val="en-US" w:eastAsia="tr-TR"/>
        </w:rPr>
        <w:t>To test the robustness of the results, we used another measure for interest rate uncertainty obtained from the CBRT's survey of expectations. We took the series of the </w:t>
      </w:r>
      <w:hyperlink r:id="rId1" w:tgtFrame="_blank" w:history="1">
        <w:r w:rsidRPr="0064163F">
          <w:rPr>
            <w:rFonts w:eastAsia="Times New Roman" w:cstheme="minorHAnsi"/>
            <w:sz w:val="20"/>
            <w:szCs w:val="20"/>
            <w:lang w:val="en-US" w:eastAsia="tr-TR"/>
          </w:rPr>
          <w:t>standard deviation</w:t>
        </w:r>
      </w:hyperlink>
      <w:r w:rsidRPr="0064163F">
        <w:rPr>
          <w:rFonts w:eastAsia="Times New Roman" w:cstheme="minorHAnsi"/>
          <w:sz w:val="20"/>
          <w:szCs w:val="20"/>
          <w:lang w:val="en-US" w:eastAsia="tr-TR"/>
        </w:rPr>
        <w:t> of the expected policy rate. </w:t>
      </w:r>
      <w:r w:rsidR="00E304D0" w:rsidRPr="00E304D0">
        <w:rPr>
          <w:rFonts w:eastAsia="Times New Roman" w:cstheme="minorHAnsi"/>
          <w:sz w:val="20"/>
          <w:szCs w:val="20"/>
          <w:lang w:val="en-US" w:eastAsia="tr-TR"/>
        </w:rPr>
        <w:t xml:space="preserve">Since the data availability, our VAR model </w:t>
      </w:r>
      <w:r w:rsidR="00E304D0">
        <w:rPr>
          <w:rFonts w:eastAsia="Times New Roman" w:cstheme="minorHAnsi"/>
          <w:sz w:val="20"/>
          <w:szCs w:val="20"/>
          <w:lang w:val="en-US" w:eastAsia="tr-TR"/>
        </w:rPr>
        <w:t>covers 20</w:t>
      </w:r>
      <w:r w:rsidR="00E304D0" w:rsidRPr="00E304D0">
        <w:rPr>
          <w:rFonts w:eastAsia="Times New Roman" w:cstheme="minorHAnsi"/>
          <w:sz w:val="20"/>
          <w:szCs w:val="20"/>
          <w:lang w:val="en-US" w:eastAsia="tr-TR"/>
        </w:rPr>
        <w:t xml:space="preserve">10M6-2020:10. </w:t>
      </w:r>
      <w:r w:rsidRPr="0064163F">
        <w:rPr>
          <w:rFonts w:eastAsia="Times New Roman" w:cstheme="minorHAnsi"/>
          <w:sz w:val="20"/>
          <w:szCs w:val="20"/>
          <w:lang w:val="en-US" w:eastAsia="tr-TR"/>
        </w:rPr>
        <w:t xml:space="preserve">This estimation did not cause a significant change in our results. </w:t>
      </w:r>
    </w:p>
    <w:p w:rsidR="0064163F" w:rsidRDefault="0064163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511F"/>
    <w:multiLevelType w:val="multilevel"/>
    <w:tmpl w:val="B886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B7"/>
    <w:rsid w:val="00000ADE"/>
    <w:rsid w:val="00001C3C"/>
    <w:rsid w:val="00004D07"/>
    <w:rsid w:val="00017B03"/>
    <w:rsid w:val="00020916"/>
    <w:rsid w:val="00020B4C"/>
    <w:rsid w:val="00023793"/>
    <w:rsid w:val="00024859"/>
    <w:rsid w:val="0003238E"/>
    <w:rsid w:val="000323C5"/>
    <w:rsid w:val="00041CB7"/>
    <w:rsid w:val="00043B43"/>
    <w:rsid w:val="00044FDF"/>
    <w:rsid w:val="00047299"/>
    <w:rsid w:val="00052346"/>
    <w:rsid w:val="00053112"/>
    <w:rsid w:val="00054F21"/>
    <w:rsid w:val="00071406"/>
    <w:rsid w:val="000844BC"/>
    <w:rsid w:val="000942C1"/>
    <w:rsid w:val="0009740C"/>
    <w:rsid w:val="000B3CD4"/>
    <w:rsid w:val="000B5D5C"/>
    <w:rsid w:val="000B6C86"/>
    <w:rsid w:val="000B77CE"/>
    <w:rsid w:val="000C3130"/>
    <w:rsid w:val="000C7943"/>
    <w:rsid w:val="000D75CA"/>
    <w:rsid w:val="000E3761"/>
    <w:rsid w:val="000F37AC"/>
    <w:rsid w:val="001067F2"/>
    <w:rsid w:val="0011521D"/>
    <w:rsid w:val="001168A6"/>
    <w:rsid w:val="001225BF"/>
    <w:rsid w:val="001236F2"/>
    <w:rsid w:val="0012694C"/>
    <w:rsid w:val="0013043D"/>
    <w:rsid w:val="00161544"/>
    <w:rsid w:val="00163432"/>
    <w:rsid w:val="0017266F"/>
    <w:rsid w:val="00172AA0"/>
    <w:rsid w:val="00173E78"/>
    <w:rsid w:val="00175B58"/>
    <w:rsid w:val="00176A5F"/>
    <w:rsid w:val="0018198C"/>
    <w:rsid w:val="00184B05"/>
    <w:rsid w:val="00195372"/>
    <w:rsid w:val="00197DDE"/>
    <w:rsid w:val="001B010D"/>
    <w:rsid w:val="001B3A1F"/>
    <w:rsid w:val="001B5984"/>
    <w:rsid w:val="001C0269"/>
    <w:rsid w:val="001C1EED"/>
    <w:rsid w:val="001C4E31"/>
    <w:rsid w:val="001D3E4D"/>
    <w:rsid w:val="001D7123"/>
    <w:rsid w:val="001E19D3"/>
    <w:rsid w:val="001E24A2"/>
    <w:rsid w:val="001E4735"/>
    <w:rsid w:val="001E6E4A"/>
    <w:rsid w:val="001F66E6"/>
    <w:rsid w:val="001F7569"/>
    <w:rsid w:val="00201241"/>
    <w:rsid w:val="00202738"/>
    <w:rsid w:val="00203028"/>
    <w:rsid w:val="0020444F"/>
    <w:rsid w:val="0020581A"/>
    <w:rsid w:val="00206583"/>
    <w:rsid w:val="00210B9C"/>
    <w:rsid w:val="00210DA3"/>
    <w:rsid w:val="00210DF1"/>
    <w:rsid w:val="00222289"/>
    <w:rsid w:val="00222E08"/>
    <w:rsid w:val="00225439"/>
    <w:rsid w:val="002379ED"/>
    <w:rsid w:val="002478EA"/>
    <w:rsid w:val="00270B31"/>
    <w:rsid w:val="0027704F"/>
    <w:rsid w:val="0028387F"/>
    <w:rsid w:val="002866E3"/>
    <w:rsid w:val="002971AF"/>
    <w:rsid w:val="00297620"/>
    <w:rsid w:val="002B1411"/>
    <w:rsid w:val="002B34C3"/>
    <w:rsid w:val="002B5A0F"/>
    <w:rsid w:val="002B6488"/>
    <w:rsid w:val="002B7D5E"/>
    <w:rsid w:val="002C1AFE"/>
    <w:rsid w:val="002E0627"/>
    <w:rsid w:val="002E3753"/>
    <w:rsid w:val="002E54F0"/>
    <w:rsid w:val="002E7768"/>
    <w:rsid w:val="002F3765"/>
    <w:rsid w:val="002F56EE"/>
    <w:rsid w:val="003027B8"/>
    <w:rsid w:val="0030334D"/>
    <w:rsid w:val="00303759"/>
    <w:rsid w:val="00307877"/>
    <w:rsid w:val="003144FC"/>
    <w:rsid w:val="00322409"/>
    <w:rsid w:val="00332962"/>
    <w:rsid w:val="00337863"/>
    <w:rsid w:val="00337BD5"/>
    <w:rsid w:val="00340633"/>
    <w:rsid w:val="0034506B"/>
    <w:rsid w:val="00351C72"/>
    <w:rsid w:val="00352801"/>
    <w:rsid w:val="00357409"/>
    <w:rsid w:val="00357D61"/>
    <w:rsid w:val="00361A81"/>
    <w:rsid w:val="00363494"/>
    <w:rsid w:val="003668C1"/>
    <w:rsid w:val="00366956"/>
    <w:rsid w:val="00380715"/>
    <w:rsid w:val="00380A7F"/>
    <w:rsid w:val="00385993"/>
    <w:rsid w:val="003928BC"/>
    <w:rsid w:val="00393D48"/>
    <w:rsid w:val="00393F89"/>
    <w:rsid w:val="00394E9F"/>
    <w:rsid w:val="003962CC"/>
    <w:rsid w:val="00397631"/>
    <w:rsid w:val="003A4E7C"/>
    <w:rsid w:val="003A62EC"/>
    <w:rsid w:val="003A690A"/>
    <w:rsid w:val="003A7B89"/>
    <w:rsid w:val="003B02AC"/>
    <w:rsid w:val="003B4AB7"/>
    <w:rsid w:val="003B55AF"/>
    <w:rsid w:val="003C2D4C"/>
    <w:rsid w:val="003C6CC4"/>
    <w:rsid w:val="003D5F7C"/>
    <w:rsid w:val="003E4F07"/>
    <w:rsid w:val="003E53EC"/>
    <w:rsid w:val="003E6127"/>
    <w:rsid w:val="004044A2"/>
    <w:rsid w:val="00404F13"/>
    <w:rsid w:val="004237F7"/>
    <w:rsid w:val="00427849"/>
    <w:rsid w:val="00432265"/>
    <w:rsid w:val="004350F0"/>
    <w:rsid w:val="00437BC0"/>
    <w:rsid w:val="00440A6F"/>
    <w:rsid w:val="00451A71"/>
    <w:rsid w:val="004571BD"/>
    <w:rsid w:val="00457887"/>
    <w:rsid w:val="0046635F"/>
    <w:rsid w:val="00473922"/>
    <w:rsid w:val="0048486B"/>
    <w:rsid w:val="0048728C"/>
    <w:rsid w:val="0049103B"/>
    <w:rsid w:val="00492077"/>
    <w:rsid w:val="004924EA"/>
    <w:rsid w:val="0049330A"/>
    <w:rsid w:val="004B7D52"/>
    <w:rsid w:val="004C3895"/>
    <w:rsid w:val="004C6112"/>
    <w:rsid w:val="004C7F33"/>
    <w:rsid w:val="004D0FE6"/>
    <w:rsid w:val="004D5DC3"/>
    <w:rsid w:val="004D6FB6"/>
    <w:rsid w:val="004F03B4"/>
    <w:rsid w:val="004F517D"/>
    <w:rsid w:val="00502813"/>
    <w:rsid w:val="00510691"/>
    <w:rsid w:val="00513F47"/>
    <w:rsid w:val="0052134B"/>
    <w:rsid w:val="00523F86"/>
    <w:rsid w:val="005261FC"/>
    <w:rsid w:val="00533A07"/>
    <w:rsid w:val="00546BE3"/>
    <w:rsid w:val="00552D5E"/>
    <w:rsid w:val="00553BE0"/>
    <w:rsid w:val="005631D6"/>
    <w:rsid w:val="00567484"/>
    <w:rsid w:val="005733FA"/>
    <w:rsid w:val="00584806"/>
    <w:rsid w:val="0058660F"/>
    <w:rsid w:val="00592648"/>
    <w:rsid w:val="005928D1"/>
    <w:rsid w:val="0059640F"/>
    <w:rsid w:val="005A564E"/>
    <w:rsid w:val="005B2276"/>
    <w:rsid w:val="005B7EFF"/>
    <w:rsid w:val="005C49D5"/>
    <w:rsid w:val="005C7005"/>
    <w:rsid w:val="005C7962"/>
    <w:rsid w:val="005D33A7"/>
    <w:rsid w:val="005F1BF1"/>
    <w:rsid w:val="005F36BE"/>
    <w:rsid w:val="0060081E"/>
    <w:rsid w:val="00605587"/>
    <w:rsid w:val="006114AA"/>
    <w:rsid w:val="0061214A"/>
    <w:rsid w:val="00613D8B"/>
    <w:rsid w:val="00614803"/>
    <w:rsid w:val="006162FD"/>
    <w:rsid w:val="00634EE6"/>
    <w:rsid w:val="00635362"/>
    <w:rsid w:val="0064163F"/>
    <w:rsid w:val="00651D7B"/>
    <w:rsid w:val="00654660"/>
    <w:rsid w:val="0066010D"/>
    <w:rsid w:val="006634F3"/>
    <w:rsid w:val="00670A3B"/>
    <w:rsid w:val="00677BF7"/>
    <w:rsid w:val="00684059"/>
    <w:rsid w:val="00684136"/>
    <w:rsid w:val="0068610D"/>
    <w:rsid w:val="00692360"/>
    <w:rsid w:val="00693CF1"/>
    <w:rsid w:val="006A01FF"/>
    <w:rsid w:val="006B3753"/>
    <w:rsid w:val="006B564F"/>
    <w:rsid w:val="006B6170"/>
    <w:rsid w:val="006C3628"/>
    <w:rsid w:val="006C4B85"/>
    <w:rsid w:val="006C6176"/>
    <w:rsid w:val="006C752E"/>
    <w:rsid w:val="006C7CB2"/>
    <w:rsid w:val="006E67CA"/>
    <w:rsid w:val="006F38E5"/>
    <w:rsid w:val="00700203"/>
    <w:rsid w:val="007116D1"/>
    <w:rsid w:val="00715960"/>
    <w:rsid w:val="00716593"/>
    <w:rsid w:val="00733912"/>
    <w:rsid w:val="007367B4"/>
    <w:rsid w:val="00741D47"/>
    <w:rsid w:val="00742D03"/>
    <w:rsid w:val="00743782"/>
    <w:rsid w:val="00745F7F"/>
    <w:rsid w:val="00751CB8"/>
    <w:rsid w:val="00753C36"/>
    <w:rsid w:val="007765C4"/>
    <w:rsid w:val="0078177B"/>
    <w:rsid w:val="00781D1F"/>
    <w:rsid w:val="0079080C"/>
    <w:rsid w:val="0079598A"/>
    <w:rsid w:val="007963E8"/>
    <w:rsid w:val="007A042D"/>
    <w:rsid w:val="007A0766"/>
    <w:rsid w:val="007A0F0B"/>
    <w:rsid w:val="007B53F0"/>
    <w:rsid w:val="007B793E"/>
    <w:rsid w:val="007D14F4"/>
    <w:rsid w:val="007D19CF"/>
    <w:rsid w:val="007D6575"/>
    <w:rsid w:val="007E3490"/>
    <w:rsid w:val="007F6FBF"/>
    <w:rsid w:val="00800CD1"/>
    <w:rsid w:val="00801DD2"/>
    <w:rsid w:val="0080579B"/>
    <w:rsid w:val="008076F3"/>
    <w:rsid w:val="00810396"/>
    <w:rsid w:val="00811B7C"/>
    <w:rsid w:val="00812C5E"/>
    <w:rsid w:val="0082636F"/>
    <w:rsid w:val="008306FF"/>
    <w:rsid w:val="0084027B"/>
    <w:rsid w:val="0084568F"/>
    <w:rsid w:val="008630EE"/>
    <w:rsid w:val="00867B93"/>
    <w:rsid w:val="008731A0"/>
    <w:rsid w:val="00874DDC"/>
    <w:rsid w:val="00876FA8"/>
    <w:rsid w:val="00882AD1"/>
    <w:rsid w:val="00883B6A"/>
    <w:rsid w:val="008878AA"/>
    <w:rsid w:val="008933DA"/>
    <w:rsid w:val="0089521B"/>
    <w:rsid w:val="00895C60"/>
    <w:rsid w:val="008A46FD"/>
    <w:rsid w:val="008B0E09"/>
    <w:rsid w:val="008B233E"/>
    <w:rsid w:val="008B6547"/>
    <w:rsid w:val="008B7328"/>
    <w:rsid w:val="008C00B6"/>
    <w:rsid w:val="008C2310"/>
    <w:rsid w:val="008C2405"/>
    <w:rsid w:val="008C3708"/>
    <w:rsid w:val="008C5B25"/>
    <w:rsid w:val="008C5E6D"/>
    <w:rsid w:val="008D11A4"/>
    <w:rsid w:val="008D18CD"/>
    <w:rsid w:val="008D23F2"/>
    <w:rsid w:val="008D28DF"/>
    <w:rsid w:val="008D426B"/>
    <w:rsid w:val="008D53D5"/>
    <w:rsid w:val="008F047B"/>
    <w:rsid w:val="008F3843"/>
    <w:rsid w:val="008F6475"/>
    <w:rsid w:val="009038A6"/>
    <w:rsid w:val="00914687"/>
    <w:rsid w:val="00924CB3"/>
    <w:rsid w:val="00925856"/>
    <w:rsid w:val="00926479"/>
    <w:rsid w:val="009313BD"/>
    <w:rsid w:val="009345B4"/>
    <w:rsid w:val="0093686F"/>
    <w:rsid w:val="00943CC5"/>
    <w:rsid w:val="0094402A"/>
    <w:rsid w:val="009442D2"/>
    <w:rsid w:val="00945D66"/>
    <w:rsid w:val="009511AF"/>
    <w:rsid w:val="00951DB3"/>
    <w:rsid w:val="00961CA4"/>
    <w:rsid w:val="009703F2"/>
    <w:rsid w:val="009A242C"/>
    <w:rsid w:val="009A61BD"/>
    <w:rsid w:val="009A65F3"/>
    <w:rsid w:val="009A7DCD"/>
    <w:rsid w:val="009B0AF4"/>
    <w:rsid w:val="009B26E4"/>
    <w:rsid w:val="009B2909"/>
    <w:rsid w:val="009C5AEA"/>
    <w:rsid w:val="009C65B2"/>
    <w:rsid w:val="009C6890"/>
    <w:rsid w:val="009C70CB"/>
    <w:rsid w:val="009D4921"/>
    <w:rsid w:val="009D6852"/>
    <w:rsid w:val="009D6DB0"/>
    <w:rsid w:val="009E184D"/>
    <w:rsid w:val="009E4D2C"/>
    <w:rsid w:val="009E5402"/>
    <w:rsid w:val="009F59A9"/>
    <w:rsid w:val="00A17F95"/>
    <w:rsid w:val="00A2063D"/>
    <w:rsid w:val="00A23A23"/>
    <w:rsid w:val="00A23B74"/>
    <w:rsid w:val="00A2604E"/>
    <w:rsid w:val="00A31956"/>
    <w:rsid w:val="00A33DDC"/>
    <w:rsid w:val="00A3704B"/>
    <w:rsid w:val="00A378A1"/>
    <w:rsid w:val="00A4251C"/>
    <w:rsid w:val="00A42E6A"/>
    <w:rsid w:val="00A437BF"/>
    <w:rsid w:val="00A55D2A"/>
    <w:rsid w:val="00A63FE7"/>
    <w:rsid w:val="00A64CB5"/>
    <w:rsid w:val="00A65120"/>
    <w:rsid w:val="00A66B5E"/>
    <w:rsid w:val="00A6709A"/>
    <w:rsid w:val="00A8526A"/>
    <w:rsid w:val="00A8592C"/>
    <w:rsid w:val="00AA0608"/>
    <w:rsid w:val="00AA704C"/>
    <w:rsid w:val="00AB0F4A"/>
    <w:rsid w:val="00AB24CA"/>
    <w:rsid w:val="00AC1CA0"/>
    <w:rsid w:val="00AC3209"/>
    <w:rsid w:val="00AD496E"/>
    <w:rsid w:val="00AE11DC"/>
    <w:rsid w:val="00AE4074"/>
    <w:rsid w:val="00AE5C18"/>
    <w:rsid w:val="00AE7174"/>
    <w:rsid w:val="00B01DE4"/>
    <w:rsid w:val="00B04D7A"/>
    <w:rsid w:val="00B127FC"/>
    <w:rsid w:val="00B24F69"/>
    <w:rsid w:val="00B272EA"/>
    <w:rsid w:val="00B44A25"/>
    <w:rsid w:val="00B4713B"/>
    <w:rsid w:val="00B5248C"/>
    <w:rsid w:val="00B53793"/>
    <w:rsid w:val="00B53B79"/>
    <w:rsid w:val="00B649BC"/>
    <w:rsid w:val="00B705AE"/>
    <w:rsid w:val="00B71213"/>
    <w:rsid w:val="00B75489"/>
    <w:rsid w:val="00B84E72"/>
    <w:rsid w:val="00B864CF"/>
    <w:rsid w:val="00B978B1"/>
    <w:rsid w:val="00BA3906"/>
    <w:rsid w:val="00BB5773"/>
    <w:rsid w:val="00BB69F1"/>
    <w:rsid w:val="00BB6AC4"/>
    <w:rsid w:val="00BB738B"/>
    <w:rsid w:val="00BC1888"/>
    <w:rsid w:val="00BC3230"/>
    <w:rsid w:val="00BC4ADB"/>
    <w:rsid w:val="00BC5686"/>
    <w:rsid w:val="00BD6553"/>
    <w:rsid w:val="00BD71AA"/>
    <w:rsid w:val="00BF5868"/>
    <w:rsid w:val="00C0108D"/>
    <w:rsid w:val="00C153A0"/>
    <w:rsid w:val="00C22331"/>
    <w:rsid w:val="00C24CC5"/>
    <w:rsid w:val="00C335DD"/>
    <w:rsid w:val="00C33BAF"/>
    <w:rsid w:val="00C40FDD"/>
    <w:rsid w:val="00C426A3"/>
    <w:rsid w:val="00C46CAE"/>
    <w:rsid w:val="00C52993"/>
    <w:rsid w:val="00C653E1"/>
    <w:rsid w:val="00C7042A"/>
    <w:rsid w:val="00C73175"/>
    <w:rsid w:val="00C74433"/>
    <w:rsid w:val="00C87CDA"/>
    <w:rsid w:val="00C91C6C"/>
    <w:rsid w:val="00C92141"/>
    <w:rsid w:val="00CA530E"/>
    <w:rsid w:val="00CA68F9"/>
    <w:rsid w:val="00CC7895"/>
    <w:rsid w:val="00CD5F1A"/>
    <w:rsid w:val="00CE088A"/>
    <w:rsid w:val="00CE6C8B"/>
    <w:rsid w:val="00CF5987"/>
    <w:rsid w:val="00D02EA2"/>
    <w:rsid w:val="00D05358"/>
    <w:rsid w:val="00D10141"/>
    <w:rsid w:val="00D220E7"/>
    <w:rsid w:val="00D30287"/>
    <w:rsid w:val="00D31B01"/>
    <w:rsid w:val="00D327C3"/>
    <w:rsid w:val="00D36924"/>
    <w:rsid w:val="00D42190"/>
    <w:rsid w:val="00D5420F"/>
    <w:rsid w:val="00D70031"/>
    <w:rsid w:val="00D84DB9"/>
    <w:rsid w:val="00D930D7"/>
    <w:rsid w:val="00DB26FA"/>
    <w:rsid w:val="00DB2AFB"/>
    <w:rsid w:val="00DB4890"/>
    <w:rsid w:val="00DB516D"/>
    <w:rsid w:val="00DC2CCF"/>
    <w:rsid w:val="00DC749A"/>
    <w:rsid w:val="00DD0067"/>
    <w:rsid w:val="00DD0C70"/>
    <w:rsid w:val="00DF0DE8"/>
    <w:rsid w:val="00DF10B4"/>
    <w:rsid w:val="00DF3FB7"/>
    <w:rsid w:val="00DF6401"/>
    <w:rsid w:val="00DF69A7"/>
    <w:rsid w:val="00DF7081"/>
    <w:rsid w:val="00E022BB"/>
    <w:rsid w:val="00E02CAE"/>
    <w:rsid w:val="00E10A94"/>
    <w:rsid w:val="00E13076"/>
    <w:rsid w:val="00E14939"/>
    <w:rsid w:val="00E20DB7"/>
    <w:rsid w:val="00E304D0"/>
    <w:rsid w:val="00E334EF"/>
    <w:rsid w:val="00E37E2F"/>
    <w:rsid w:val="00E40690"/>
    <w:rsid w:val="00E42736"/>
    <w:rsid w:val="00E46CD5"/>
    <w:rsid w:val="00E5322D"/>
    <w:rsid w:val="00E66D61"/>
    <w:rsid w:val="00E67662"/>
    <w:rsid w:val="00E72789"/>
    <w:rsid w:val="00E83583"/>
    <w:rsid w:val="00E91D80"/>
    <w:rsid w:val="00E95E84"/>
    <w:rsid w:val="00EA16E6"/>
    <w:rsid w:val="00EA3FEC"/>
    <w:rsid w:val="00EA72E2"/>
    <w:rsid w:val="00EB0B01"/>
    <w:rsid w:val="00EC1500"/>
    <w:rsid w:val="00EC27BF"/>
    <w:rsid w:val="00EC3549"/>
    <w:rsid w:val="00EC4AFB"/>
    <w:rsid w:val="00ED0F7C"/>
    <w:rsid w:val="00ED3DAA"/>
    <w:rsid w:val="00EE0EB7"/>
    <w:rsid w:val="00F040B9"/>
    <w:rsid w:val="00F04CD8"/>
    <w:rsid w:val="00F056A3"/>
    <w:rsid w:val="00F11973"/>
    <w:rsid w:val="00F143C5"/>
    <w:rsid w:val="00F15C30"/>
    <w:rsid w:val="00F1706F"/>
    <w:rsid w:val="00F21703"/>
    <w:rsid w:val="00F27FD0"/>
    <w:rsid w:val="00F33FDF"/>
    <w:rsid w:val="00F42ACA"/>
    <w:rsid w:val="00F51C17"/>
    <w:rsid w:val="00F51D81"/>
    <w:rsid w:val="00F530E7"/>
    <w:rsid w:val="00F572DA"/>
    <w:rsid w:val="00F646C8"/>
    <w:rsid w:val="00F70A3A"/>
    <w:rsid w:val="00F752DA"/>
    <w:rsid w:val="00F80F4A"/>
    <w:rsid w:val="00F95675"/>
    <w:rsid w:val="00F95B79"/>
    <w:rsid w:val="00F964DC"/>
    <w:rsid w:val="00F97296"/>
    <w:rsid w:val="00FA1607"/>
    <w:rsid w:val="00FA2A18"/>
    <w:rsid w:val="00FC069A"/>
    <w:rsid w:val="00FC7F5B"/>
    <w:rsid w:val="00FE7874"/>
    <w:rsid w:val="00FF19DC"/>
    <w:rsid w:val="00FF5F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ABE62-6B9E-4804-AF2D-976D51EB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78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8177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8177B"/>
    <w:rPr>
      <w:rFonts w:ascii="Consolas" w:hAnsi="Consolas"/>
      <w:sz w:val="20"/>
      <w:szCs w:val="20"/>
    </w:rPr>
  </w:style>
  <w:style w:type="character" w:styleId="Hyperlink">
    <w:name w:val="Hyperlink"/>
    <w:basedOn w:val="DefaultParagraphFont"/>
    <w:uiPriority w:val="99"/>
    <w:semiHidden/>
    <w:unhideWhenUsed/>
    <w:rsid w:val="007963E8"/>
    <w:rPr>
      <w:color w:val="0000FF"/>
      <w:u w:val="single"/>
    </w:rPr>
  </w:style>
  <w:style w:type="character" w:styleId="Emphasis">
    <w:name w:val="Emphasis"/>
    <w:basedOn w:val="DefaultParagraphFont"/>
    <w:uiPriority w:val="20"/>
    <w:qFormat/>
    <w:rsid w:val="004924EA"/>
    <w:rPr>
      <w:i/>
      <w:iCs/>
    </w:rPr>
  </w:style>
  <w:style w:type="table" w:styleId="TableGrid">
    <w:name w:val="Table Grid"/>
    <w:basedOn w:val="TableNormal"/>
    <w:uiPriority w:val="59"/>
    <w:rsid w:val="00C9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640F"/>
    <w:rPr>
      <w:color w:val="808080"/>
    </w:rPr>
  </w:style>
  <w:style w:type="paragraph" w:styleId="BalloonText">
    <w:name w:val="Balloon Text"/>
    <w:basedOn w:val="Normal"/>
    <w:link w:val="BalloonTextChar"/>
    <w:uiPriority w:val="99"/>
    <w:semiHidden/>
    <w:unhideWhenUsed/>
    <w:rsid w:val="0004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43"/>
    <w:rPr>
      <w:rFonts w:ascii="Tahoma" w:hAnsi="Tahoma" w:cs="Tahoma"/>
      <w:sz w:val="16"/>
      <w:szCs w:val="16"/>
    </w:rPr>
  </w:style>
  <w:style w:type="character" w:customStyle="1" w:styleId="Heading1Char">
    <w:name w:val="Heading 1 Char"/>
    <w:basedOn w:val="DefaultParagraphFont"/>
    <w:link w:val="Heading1"/>
    <w:uiPriority w:val="9"/>
    <w:rsid w:val="0033786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378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unhideWhenUsed/>
    <w:rsid w:val="0058660F"/>
    <w:pPr>
      <w:spacing w:after="0" w:line="240" w:lineRule="auto"/>
    </w:pPr>
    <w:rPr>
      <w:sz w:val="20"/>
      <w:szCs w:val="20"/>
    </w:rPr>
  </w:style>
  <w:style w:type="character" w:customStyle="1" w:styleId="FootnoteTextChar">
    <w:name w:val="Footnote Text Char"/>
    <w:basedOn w:val="DefaultParagraphFont"/>
    <w:link w:val="FootnoteText"/>
    <w:uiPriority w:val="99"/>
    <w:rsid w:val="0058660F"/>
    <w:rPr>
      <w:sz w:val="20"/>
      <w:szCs w:val="20"/>
    </w:rPr>
  </w:style>
  <w:style w:type="character" w:styleId="FootnoteReference">
    <w:name w:val="footnote reference"/>
    <w:basedOn w:val="DefaultParagraphFont"/>
    <w:uiPriority w:val="99"/>
    <w:unhideWhenUsed/>
    <w:rsid w:val="00586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448">
      <w:bodyDiv w:val="1"/>
      <w:marLeft w:val="0"/>
      <w:marRight w:val="0"/>
      <w:marTop w:val="0"/>
      <w:marBottom w:val="0"/>
      <w:divBdr>
        <w:top w:val="none" w:sz="0" w:space="0" w:color="auto"/>
        <w:left w:val="none" w:sz="0" w:space="0" w:color="auto"/>
        <w:bottom w:val="none" w:sz="0" w:space="0" w:color="auto"/>
        <w:right w:val="none" w:sz="0" w:space="0" w:color="auto"/>
      </w:divBdr>
    </w:div>
    <w:div w:id="90007547">
      <w:bodyDiv w:val="1"/>
      <w:marLeft w:val="0"/>
      <w:marRight w:val="0"/>
      <w:marTop w:val="0"/>
      <w:marBottom w:val="0"/>
      <w:divBdr>
        <w:top w:val="none" w:sz="0" w:space="0" w:color="auto"/>
        <w:left w:val="none" w:sz="0" w:space="0" w:color="auto"/>
        <w:bottom w:val="none" w:sz="0" w:space="0" w:color="auto"/>
        <w:right w:val="none" w:sz="0" w:space="0" w:color="auto"/>
      </w:divBdr>
    </w:div>
    <w:div w:id="156195093">
      <w:bodyDiv w:val="1"/>
      <w:marLeft w:val="0"/>
      <w:marRight w:val="0"/>
      <w:marTop w:val="0"/>
      <w:marBottom w:val="0"/>
      <w:divBdr>
        <w:top w:val="none" w:sz="0" w:space="0" w:color="auto"/>
        <w:left w:val="none" w:sz="0" w:space="0" w:color="auto"/>
        <w:bottom w:val="none" w:sz="0" w:space="0" w:color="auto"/>
        <w:right w:val="none" w:sz="0" w:space="0" w:color="auto"/>
      </w:divBdr>
    </w:div>
    <w:div w:id="172696331">
      <w:bodyDiv w:val="1"/>
      <w:marLeft w:val="0"/>
      <w:marRight w:val="0"/>
      <w:marTop w:val="0"/>
      <w:marBottom w:val="0"/>
      <w:divBdr>
        <w:top w:val="none" w:sz="0" w:space="0" w:color="auto"/>
        <w:left w:val="none" w:sz="0" w:space="0" w:color="auto"/>
        <w:bottom w:val="none" w:sz="0" w:space="0" w:color="auto"/>
        <w:right w:val="none" w:sz="0" w:space="0" w:color="auto"/>
      </w:divBdr>
    </w:div>
    <w:div w:id="182136643">
      <w:bodyDiv w:val="1"/>
      <w:marLeft w:val="0"/>
      <w:marRight w:val="0"/>
      <w:marTop w:val="0"/>
      <w:marBottom w:val="0"/>
      <w:divBdr>
        <w:top w:val="none" w:sz="0" w:space="0" w:color="auto"/>
        <w:left w:val="none" w:sz="0" w:space="0" w:color="auto"/>
        <w:bottom w:val="none" w:sz="0" w:space="0" w:color="auto"/>
        <w:right w:val="none" w:sz="0" w:space="0" w:color="auto"/>
      </w:divBdr>
    </w:div>
    <w:div w:id="214123248">
      <w:bodyDiv w:val="1"/>
      <w:marLeft w:val="0"/>
      <w:marRight w:val="0"/>
      <w:marTop w:val="0"/>
      <w:marBottom w:val="0"/>
      <w:divBdr>
        <w:top w:val="none" w:sz="0" w:space="0" w:color="auto"/>
        <w:left w:val="none" w:sz="0" w:space="0" w:color="auto"/>
        <w:bottom w:val="none" w:sz="0" w:space="0" w:color="auto"/>
        <w:right w:val="none" w:sz="0" w:space="0" w:color="auto"/>
      </w:divBdr>
    </w:div>
    <w:div w:id="217907829">
      <w:bodyDiv w:val="1"/>
      <w:marLeft w:val="0"/>
      <w:marRight w:val="0"/>
      <w:marTop w:val="0"/>
      <w:marBottom w:val="0"/>
      <w:divBdr>
        <w:top w:val="none" w:sz="0" w:space="0" w:color="auto"/>
        <w:left w:val="none" w:sz="0" w:space="0" w:color="auto"/>
        <w:bottom w:val="none" w:sz="0" w:space="0" w:color="auto"/>
        <w:right w:val="none" w:sz="0" w:space="0" w:color="auto"/>
      </w:divBdr>
    </w:div>
    <w:div w:id="340549361">
      <w:bodyDiv w:val="1"/>
      <w:marLeft w:val="0"/>
      <w:marRight w:val="0"/>
      <w:marTop w:val="0"/>
      <w:marBottom w:val="0"/>
      <w:divBdr>
        <w:top w:val="none" w:sz="0" w:space="0" w:color="auto"/>
        <w:left w:val="none" w:sz="0" w:space="0" w:color="auto"/>
        <w:bottom w:val="none" w:sz="0" w:space="0" w:color="auto"/>
        <w:right w:val="none" w:sz="0" w:space="0" w:color="auto"/>
      </w:divBdr>
    </w:div>
    <w:div w:id="400443472">
      <w:bodyDiv w:val="1"/>
      <w:marLeft w:val="0"/>
      <w:marRight w:val="0"/>
      <w:marTop w:val="0"/>
      <w:marBottom w:val="0"/>
      <w:divBdr>
        <w:top w:val="none" w:sz="0" w:space="0" w:color="auto"/>
        <w:left w:val="none" w:sz="0" w:space="0" w:color="auto"/>
        <w:bottom w:val="none" w:sz="0" w:space="0" w:color="auto"/>
        <w:right w:val="none" w:sz="0" w:space="0" w:color="auto"/>
      </w:divBdr>
    </w:div>
    <w:div w:id="420682177">
      <w:bodyDiv w:val="1"/>
      <w:marLeft w:val="0"/>
      <w:marRight w:val="0"/>
      <w:marTop w:val="0"/>
      <w:marBottom w:val="0"/>
      <w:divBdr>
        <w:top w:val="none" w:sz="0" w:space="0" w:color="auto"/>
        <w:left w:val="none" w:sz="0" w:space="0" w:color="auto"/>
        <w:bottom w:val="none" w:sz="0" w:space="0" w:color="auto"/>
        <w:right w:val="none" w:sz="0" w:space="0" w:color="auto"/>
      </w:divBdr>
    </w:div>
    <w:div w:id="499541131">
      <w:bodyDiv w:val="1"/>
      <w:marLeft w:val="0"/>
      <w:marRight w:val="0"/>
      <w:marTop w:val="0"/>
      <w:marBottom w:val="0"/>
      <w:divBdr>
        <w:top w:val="none" w:sz="0" w:space="0" w:color="auto"/>
        <w:left w:val="none" w:sz="0" w:space="0" w:color="auto"/>
        <w:bottom w:val="none" w:sz="0" w:space="0" w:color="auto"/>
        <w:right w:val="none" w:sz="0" w:space="0" w:color="auto"/>
      </w:divBdr>
    </w:div>
    <w:div w:id="748160451">
      <w:bodyDiv w:val="1"/>
      <w:marLeft w:val="0"/>
      <w:marRight w:val="0"/>
      <w:marTop w:val="0"/>
      <w:marBottom w:val="0"/>
      <w:divBdr>
        <w:top w:val="none" w:sz="0" w:space="0" w:color="auto"/>
        <w:left w:val="none" w:sz="0" w:space="0" w:color="auto"/>
        <w:bottom w:val="none" w:sz="0" w:space="0" w:color="auto"/>
        <w:right w:val="none" w:sz="0" w:space="0" w:color="auto"/>
      </w:divBdr>
    </w:div>
    <w:div w:id="756482616">
      <w:bodyDiv w:val="1"/>
      <w:marLeft w:val="0"/>
      <w:marRight w:val="0"/>
      <w:marTop w:val="0"/>
      <w:marBottom w:val="0"/>
      <w:divBdr>
        <w:top w:val="none" w:sz="0" w:space="0" w:color="auto"/>
        <w:left w:val="none" w:sz="0" w:space="0" w:color="auto"/>
        <w:bottom w:val="none" w:sz="0" w:space="0" w:color="auto"/>
        <w:right w:val="none" w:sz="0" w:space="0" w:color="auto"/>
      </w:divBdr>
    </w:div>
    <w:div w:id="784081633">
      <w:bodyDiv w:val="1"/>
      <w:marLeft w:val="0"/>
      <w:marRight w:val="0"/>
      <w:marTop w:val="0"/>
      <w:marBottom w:val="0"/>
      <w:divBdr>
        <w:top w:val="none" w:sz="0" w:space="0" w:color="auto"/>
        <w:left w:val="none" w:sz="0" w:space="0" w:color="auto"/>
        <w:bottom w:val="none" w:sz="0" w:space="0" w:color="auto"/>
        <w:right w:val="none" w:sz="0" w:space="0" w:color="auto"/>
      </w:divBdr>
    </w:div>
    <w:div w:id="787748320">
      <w:bodyDiv w:val="1"/>
      <w:marLeft w:val="0"/>
      <w:marRight w:val="0"/>
      <w:marTop w:val="0"/>
      <w:marBottom w:val="0"/>
      <w:divBdr>
        <w:top w:val="none" w:sz="0" w:space="0" w:color="auto"/>
        <w:left w:val="none" w:sz="0" w:space="0" w:color="auto"/>
        <w:bottom w:val="none" w:sz="0" w:space="0" w:color="auto"/>
        <w:right w:val="none" w:sz="0" w:space="0" w:color="auto"/>
      </w:divBdr>
    </w:div>
    <w:div w:id="857544790">
      <w:bodyDiv w:val="1"/>
      <w:marLeft w:val="0"/>
      <w:marRight w:val="0"/>
      <w:marTop w:val="0"/>
      <w:marBottom w:val="0"/>
      <w:divBdr>
        <w:top w:val="none" w:sz="0" w:space="0" w:color="auto"/>
        <w:left w:val="none" w:sz="0" w:space="0" w:color="auto"/>
        <w:bottom w:val="none" w:sz="0" w:space="0" w:color="auto"/>
        <w:right w:val="none" w:sz="0" w:space="0" w:color="auto"/>
      </w:divBdr>
    </w:div>
    <w:div w:id="861480197">
      <w:bodyDiv w:val="1"/>
      <w:marLeft w:val="0"/>
      <w:marRight w:val="0"/>
      <w:marTop w:val="0"/>
      <w:marBottom w:val="0"/>
      <w:divBdr>
        <w:top w:val="none" w:sz="0" w:space="0" w:color="auto"/>
        <w:left w:val="none" w:sz="0" w:space="0" w:color="auto"/>
        <w:bottom w:val="none" w:sz="0" w:space="0" w:color="auto"/>
        <w:right w:val="none" w:sz="0" w:space="0" w:color="auto"/>
      </w:divBdr>
    </w:div>
    <w:div w:id="871575645">
      <w:bodyDiv w:val="1"/>
      <w:marLeft w:val="0"/>
      <w:marRight w:val="0"/>
      <w:marTop w:val="0"/>
      <w:marBottom w:val="0"/>
      <w:divBdr>
        <w:top w:val="none" w:sz="0" w:space="0" w:color="auto"/>
        <w:left w:val="none" w:sz="0" w:space="0" w:color="auto"/>
        <w:bottom w:val="none" w:sz="0" w:space="0" w:color="auto"/>
        <w:right w:val="none" w:sz="0" w:space="0" w:color="auto"/>
      </w:divBdr>
    </w:div>
    <w:div w:id="895168817">
      <w:bodyDiv w:val="1"/>
      <w:marLeft w:val="0"/>
      <w:marRight w:val="0"/>
      <w:marTop w:val="0"/>
      <w:marBottom w:val="0"/>
      <w:divBdr>
        <w:top w:val="none" w:sz="0" w:space="0" w:color="auto"/>
        <w:left w:val="none" w:sz="0" w:space="0" w:color="auto"/>
        <w:bottom w:val="none" w:sz="0" w:space="0" w:color="auto"/>
        <w:right w:val="none" w:sz="0" w:space="0" w:color="auto"/>
      </w:divBdr>
    </w:div>
    <w:div w:id="999230096">
      <w:bodyDiv w:val="1"/>
      <w:marLeft w:val="0"/>
      <w:marRight w:val="0"/>
      <w:marTop w:val="0"/>
      <w:marBottom w:val="0"/>
      <w:divBdr>
        <w:top w:val="none" w:sz="0" w:space="0" w:color="auto"/>
        <w:left w:val="none" w:sz="0" w:space="0" w:color="auto"/>
        <w:bottom w:val="none" w:sz="0" w:space="0" w:color="auto"/>
        <w:right w:val="none" w:sz="0" w:space="0" w:color="auto"/>
      </w:divBdr>
    </w:div>
    <w:div w:id="1040711728">
      <w:bodyDiv w:val="1"/>
      <w:marLeft w:val="0"/>
      <w:marRight w:val="0"/>
      <w:marTop w:val="0"/>
      <w:marBottom w:val="0"/>
      <w:divBdr>
        <w:top w:val="none" w:sz="0" w:space="0" w:color="auto"/>
        <w:left w:val="none" w:sz="0" w:space="0" w:color="auto"/>
        <w:bottom w:val="none" w:sz="0" w:space="0" w:color="auto"/>
        <w:right w:val="none" w:sz="0" w:space="0" w:color="auto"/>
      </w:divBdr>
    </w:div>
    <w:div w:id="1063411673">
      <w:bodyDiv w:val="1"/>
      <w:marLeft w:val="0"/>
      <w:marRight w:val="0"/>
      <w:marTop w:val="0"/>
      <w:marBottom w:val="0"/>
      <w:divBdr>
        <w:top w:val="none" w:sz="0" w:space="0" w:color="auto"/>
        <w:left w:val="none" w:sz="0" w:space="0" w:color="auto"/>
        <w:bottom w:val="none" w:sz="0" w:space="0" w:color="auto"/>
        <w:right w:val="none" w:sz="0" w:space="0" w:color="auto"/>
      </w:divBdr>
    </w:div>
    <w:div w:id="1073621595">
      <w:bodyDiv w:val="1"/>
      <w:marLeft w:val="0"/>
      <w:marRight w:val="0"/>
      <w:marTop w:val="0"/>
      <w:marBottom w:val="0"/>
      <w:divBdr>
        <w:top w:val="none" w:sz="0" w:space="0" w:color="auto"/>
        <w:left w:val="none" w:sz="0" w:space="0" w:color="auto"/>
        <w:bottom w:val="none" w:sz="0" w:space="0" w:color="auto"/>
        <w:right w:val="none" w:sz="0" w:space="0" w:color="auto"/>
      </w:divBdr>
    </w:div>
    <w:div w:id="1153335039">
      <w:bodyDiv w:val="1"/>
      <w:marLeft w:val="0"/>
      <w:marRight w:val="0"/>
      <w:marTop w:val="0"/>
      <w:marBottom w:val="0"/>
      <w:divBdr>
        <w:top w:val="none" w:sz="0" w:space="0" w:color="auto"/>
        <w:left w:val="none" w:sz="0" w:space="0" w:color="auto"/>
        <w:bottom w:val="none" w:sz="0" w:space="0" w:color="auto"/>
        <w:right w:val="none" w:sz="0" w:space="0" w:color="auto"/>
      </w:divBdr>
    </w:div>
    <w:div w:id="1381325020">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417363735">
      <w:bodyDiv w:val="1"/>
      <w:marLeft w:val="0"/>
      <w:marRight w:val="0"/>
      <w:marTop w:val="0"/>
      <w:marBottom w:val="0"/>
      <w:divBdr>
        <w:top w:val="none" w:sz="0" w:space="0" w:color="auto"/>
        <w:left w:val="none" w:sz="0" w:space="0" w:color="auto"/>
        <w:bottom w:val="none" w:sz="0" w:space="0" w:color="auto"/>
        <w:right w:val="none" w:sz="0" w:space="0" w:color="auto"/>
      </w:divBdr>
    </w:div>
    <w:div w:id="1467041104">
      <w:bodyDiv w:val="1"/>
      <w:marLeft w:val="0"/>
      <w:marRight w:val="0"/>
      <w:marTop w:val="0"/>
      <w:marBottom w:val="0"/>
      <w:divBdr>
        <w:top w:val="none" w:sz="0" w:space="0" w:color="auto"/>
        <w:left w:val="none" w:sz="0" w:space="0" w:color="auto"/>
        <w:bottom w:val="none" w:sz="0" w:space="0" w:color="auto"/>
        <w:right w:val="none" w:sz="0" w:space="0" w:color="auto"/>
      </w:divBdr>
    </w:div>
    <w:div w:id="1502089120">
      <w:bodyDiv w:val="1"/>
      <w:marLeft w:val="0"/>
      <w:marRight w:val="0"/>
      <w:marTop w:val="0"/>
      <w:marBottom w:val="0"/>
      <w:divBdr>
        <w:top w:val="none" w:sz="0" w:space="0" w:color="auto"/>
        <w:left w:val="none" w:sz="0" w:space="0" w:color="auto"/>
        <w:bottom w:val="none" w:sz="0" w:space="0" w:color="auto"/>
        <w:right w:val="none" w:sz="0" w:space="0" w:color="auto"/>
      </w:divBdr>
    </w:div>
    <w:div w:id="1573737540">
      <w:bodyDiv w:val="1"/>
      <w:marLeft w:val="0"/>
      <w:marRight w:val="0"/>
      <w:marTop w:val="0"/>
      <w:marBottom w:val="0"/>
      <w:divBdr>
        <w:top w:val="none" w:sz="0" w:space="0" w:color="auto"/>
        <w:left w:val="none" w:sz="0" w:space="0" w:color="auto"/>
        <w:bottom w:val="none" w:sz="0" w:space="0" w:color="auto"/>
        <w:right w:val="none" w:sz="0" w:space="0" w:color="auto"/>
      </w:divBdr>
      <w:divsChild>
        <w:div w:id="1302729827">
          <w:marLeft w:val="0"/>
          <w:marRight w:val="0"/>
          <w:marTop w:val="0"/>
          <w:marBottom w:val="0"/>
          <w:divBdr>
            <w:top w:val="none" w:sz="0" w:space="0" w:color="auto"/>
            <w:left w:val="none" w:sz="0" w:space="0" w:color="auto"/>
            <w:bottom w:val="none" w:sz="0" w:space="0" w:color="auto"/>
            <w:right w:val="none" w:sz="0" w:space="0" w:color="auto"/>
          </w:divBdr>
        </w:div>
        <w:div w:id="258802283">
          <w:marLeft w:val="-240"/>
          <w:marRight w:val="-240"/>
          <w:marTop w:val="0"/>
          <w:marBottom w:val="0"/>
          <w:divBdr>
            <w:top w:val="none" w:sz="0" w:space="0" w:color="auto"/>
            <w:left w:val="none" w:sz="0" w:space="0" w:color="auto"/>
            <w:bottom w:val="none" w:sz="0" w:space="0" w:color="auto"/>
            <w:right w:val="none" w:sz="0" w:space="0" w:color="auto"/>
          </w:divBdr>
          <w:divsChild>
            <w:div w:id="1316302731">
              <w:marLeft w:val="0"/>
              <w:marRight w:val="0"/>
              <w:marTop w:val="0"/>
              <w:marBottom w:val="0"/>
              <w:divBdr>
                <w:top w:val="none" w:sz="0" w:space="0" w:color="auto"/>
                <w:left w:val="none" w:sz="0" w:space="0" w:color="auto"/>
                <w:bottom w:val="none" w:sz="0" w:space="0" w:color="auto"/>
                <w:right w:val="none" w:sz="0" w:space="0" w:color="auto"/>
              </w:divBdr>
              <w:divsChild>
                <w:div w:id="4911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0706">
      <w:bodyDiv w:val="1"/>
      <w:marLeft w:val="0"/>
      <w:marRight w:val="0"/>
      <w:marTop w:val="0"/>
      <w:marBottom w:val="0"/>
      <w:divBdr>
        <w:top w:val="none" w:sz="0" w:space="0" w:color="auto"/>
        <w:left w:val="none" w:sz="0" w:space="0" w:color="auto"/>
        <w:bottom w:val="none" w:sz="0" w:space="0" w:color="auto"/>
        <w:right w:val="none" w:sz="0" w:space="0" w:color="auto"/>
      </w:divBdr>
    </w:div>
    <w:div w:id="1643775243">
      <w:bodyDiv w:val="1"/>
      <w:marLeft w:val="0"/>
      <w:marRight w:val="0"/>
      <w:marTop w:val="0"/>
      <w:marBottom w:val="0"/>
      <w:divBdr>
        <w:top w:val="none" w:sz="0" w:space="0" w:color="auto"/>
        <w:left w:val="none" w:sz="0" w:space="0" w:color="auto"/>
        <w:bottom w:val="none" w:sz="0" w:space="0" w:color="auto"/>
        <w:right w:val="none" w:sz="0" w:space="0" w:color="auto"/>
      </w:divBdr>
    </w:div>
    <w:div w:id="1682662331">
      <w:bodyDiv w:val="1"/>
      <w:marLeft w:val="0"/>
      <w:marRight w:val="0"/>
      <w:marTop w:val="0"/>
      <w:marBottom w:val="0"/>
      <w:divBdr>
        <w:top w:val="none" w:sz="0" w:space="0" w:color="auto"/>
        <w:left w:val="none" w:sz="0" w:space="0" w:color="auto"/>
        <w:bottom w:val="none" w:sz="0" w:space="0" w:color="auto"/>
        <w:right w:val="none" w:sz="0" w:space="0" w:color="auto"/>
      </w:divBdr>
    </w:div>
    <w:div w:id="1702591019">
      <w:bodyDiv w:val="1"/>
      <w:marLeft w:val="0"/>
      <w:marRight w:val="0"/>
      <w:marTop w:val="0"/>
      <w:marBottom w:val="0"/>
      <w:divBdr>
        <w:top w:val="none" w:sz="0" w:space="0" w:color="auto"/>
        <w:left w:val="none" w:sz="0" w:space="0" w:color="auto"/>
        <w:bottom w:val="none" w:sz="0" w:space="0" w:color="auto"/>
        <w:right w:val="none" w:sz="0" w:space="0" w:color="auto"/>
      </w:divBdr>
    </w:div>
    <w:div w:id="1727147624">
      <w:bodyDiv w:val="1"/>
      <w:marLeft w:val="0"/>
      <w:marRight w:val="0"/>
      <w:marTop w:val="0"/>
      <w:marBottom w:val="0"/>
      <w:divBdr>
        <w:top w:val="none" w:sz="0" w:space="0" w:color="auto"/>
        <w:left w:val="none" w:sz="0" w:space="0" w:color="auto"/>
        <w:bottom w:val="none" w:sz="0" w:space="0" w:color="auto"/>
        <w:right w:val="none" w:sz="0" w:space="0" w:color="auto"/>
      </w:divBdr>
    </w:div>
    <w:div w:id="1821116893">
      <w:bodyDiv w:val="1"/>
      <w:marLeft w:val="0"/>
      <w:marRight w:val="0"/>
      <w:marTop w:val="0"/>
      <w:marBottom w:val="0"/>
      <w:divBdr>
        <w:top w:val="none" w:sz="0" w:space="0" w:color="auto"/>
        <w:left w:val="none" w:sz="0" w:space="0" w:color="auto"/>
        <w:bottom w:val="none" w:sz="0" w:space="0" w:color="auto"/>
        <w:right w:val="none" w:sz="0" w:space="0" w:color="auto"/>
      </w:divBdr>
    </w:div>
    <w:div w:id="1879195396">
      <w:bodyDiv w:val="1"/>
      <w:marLeft w:val="0"/>
      <w:marRight w:val="0"/>
      <w:marTop w:val="0"/>
      <w:marBottom w:val="0"/>
      <w:divBdr>
        <w:top w:val="none" w:sz="0" w:space="0" w:color="auto"/>
        <w:left w:val="none" w:sz="0" w:space="0" w:color="auto"/>
        <w:bottom w:val="none" w:sz="0" w:space="0" w:color="auto"/>
        <w:right w:val="none" w:sz="0" w:space="0" w:color="auto"/>
      </w:divBdr>
    </w:div>
    <w:div w:id="1888298454">
      <w:bodyDiv w:val="1"/>
      <w:marLeft w:val="0"/>
      <w:marRight w:val="0"/>
      <w:marTop w:val="0"/>
      <w:marBottom w:val="0"/>
      <w:divBdr>
        <w:top w:val="none" w:sz="0" w:space="0" w:color="auto"/>
        <w:left w:val="none" w:sz="0" w:space="0" w:color="auto"/>
        <w:bottom w:val="none" w:sz="0" w:space="0" w:color="auto"/>
        <w:right w:val="none" w:sz="0" w:space="0" w:color="auto"/>
      </w:divBdr>
    </w:div>
    <w:div w:id="21083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hyperlink" Target="https://ideas.repec.org/p/ecb/ecbwps/20212513.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hyperlink" Target="https://ideas.repec.org/p/tcb/wpaper/0705.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hyperlink" Target="https://ideas.repec.org/s/ecb/ecbwps.html"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20" Type="http://schemas.openxmlformats.org/officeDocument/2006/relationships/image" Target="media/image7.emf"/><Relationship Id="rId41" Type="http://schemas.openxmlformats.org/officeDocument/2006/relationships/hyperlink" Target="https://ideas.repec.org/s/tcb/wpap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topics/economics-econometrics-and-finance/measure-of-dispersi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AD1E-21F2-4F10-9841-CBDAD6CE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4647</Words>
  <Characters>26493</Characters>
  <Application>Microsoft Office Word</Application>
  <DocSecurity>0</DocSecurity>
  <Lines>220</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Hoda Azmi</cp:lastModifiedBy>
  <cp:revision>2</cp:revision>
  <dcterms:created xsi:type="dcterms:W3CDTF">2021-12-25T18:05:00Z</dcterms:created>
  <dcterms:modified xsi:type="dcterms:W3CDTF">2021-12-25T18:05:00Z</dcterms:modified>
</cp:coreProperties>
</file>