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926B" w14:textId="56B54267" w:rsidR="0082036D" w:rsidRPr="00B57AB7" w:rsidRDefault="00566E0A" w:rsidP="00F9332A">
      <w:pPr>
        <w:spacing w:before="120" w:after="120" w:line="276" w:lineRule="auto"/>
        <w:jc w:val="center"/>
        <w:rPr>
          <w:rFonts w:ascii="Garamond" w:hAnsi="Garamond"/>
          <w:b/>
          <w:bCs/>
          <w:sz w:val="34"/>
          <w:szCs w:val="34"/>
          <w:lang w:val="en-US"/>
        </w:rPr>
      </w:pPr>
      <w:r w:rsidRPr="00B57AB7">
        <w:rPr>
          <w:rFonts w:ascii="Garamond" w:hAnsi="Garamond"/>
          <w:b/>
          <w:bCs/>
          <w:sz w:val="34"/>
          <w:szCs w:val="34"/>
          <w:lang w:val="en-US"/>
        </w:rPr>
        <w:t>Is there any</w:t>
      </w:r>
      <w:r w:rsidR="0082036D" w:rsidRPr="00B57AB7">
        <w:rPr>
          <w:rFonts w:ascii="Garamond" w:hAnsi="Garamond"/>
          <w:b/>
          <w:bCs/>
          <w:sz w:val="34"/>
          <w:szCs w:val="34"/>
          <w:lang w:val="en-US"/>
        </w:rPr>
        <w:t xml:space="preserve"> impact of public spending on bank performance</w:t>
      </w:r>
      <w:r w:rsidRPr="00B57AB7">
        <w:rPr>
          <w:rFonts w:ascii="Garamond" w:hAnsi="Garamond"/>
          <w:b/>
          <w:bCs/>
          <w:sz w:val="34"/>
          <w:szCs w:val="34"/>
          <w:lang w:val="en-US"/>
        </w:rPr>
        <w:t>?</w:t>
      </w:r>
      <w:r w:rsidR="0082036D" w:rsidRPr="00B57AB7">
        <w:rPr>
          <w:rFonts w:ascii="Garamond" w:hAnsi="Garamond"/>
          <w:b/>
          <w:bCs/>
          <w:sz w:val="34"/>
          <w:szCs w:val="34"/>
          <w:lang w:val="en-US"/>
        </w:rPr>
        <w:t xml:space="preserve"> </w:t>
      </w:r>
      <w:r w:rsidRPr="00B57AB7">
        <w:rPr>
          <w:rFonts w:ascii="Garamond" w:hAnsi="Garamond"/>
          <w:b/>
          <w:bCs/>
          <w:sz w:val="34"/>
          <w:szCs w:val="34"/>
          <w:lang w:val="en-US"/>
        </w:rPr>
        <w:t xml:space="preserve">Empirical evidence from </w:t>
      </w:r>
      <w:r w:rsidR="0082036D" w:rsidRPr="00B57AB7">
        <w:rPr>
          <w:rFonts w:ascii="Garamond" w:hAnsi="Garamond"/>
          <w:b/>
          <w:bCs/>
          <w:sz w:val="34"/>
          <w:szCs w:val="34"/>
          <w:lang w:val="en-US"/>
        </w:rPr>
        <w:t>the MENA region</w:t>
      </w:r>
    </w:p>
    <w:p w14:paraId="0AABD03E" w14:textId="77777777" w:rsidR="0082036D" w:rsidRPr="00B57AB7" w:rsidRDefault="0082036D" w:rsidP="00A74E5B">
      <w:pPr>
        <w:spacing w:before="120" w:after="120" w:line="276" w:lineRule="auto"/>
        <w:jc w:val="center"/>
        <w:rPr>
          <w:rFonts w:ascii="Garamond" w:hAnsi="Garamond"/>
          <w:b/>
          <w:bCs/>
          <w:lang w:val="en-US"/>
        </w:rPr>
      </w:pPr>
      <w:r w:rsidRPr="00B57AB7">
        <w:rPr>
          <w:rFonts w:ascii="Garamond" w:hAnsi="Garamond"/>
          <w:b/>
          <w:bCs/>
          <w:lang w:val="en-US"/>
        </w:rPr>
        <w:t xml:space="preserve">By </w:t>
      </w:r>
    </w:p>
    <w:p w14:paraId="7C6084EE" w14:textId="771866EB" w:rsidR="0082036D" w:rsidRPr="00B57AB7" w:rsidRDefault="0082036D" w:rsidP="00A74E5B">
      <w:pPr>
        <w:spacing w:before="120" w:after="120" w:line="276" w:lineRule="auto"/>
        <w:jc w:val="center"/>
        <w:rPr>
          <w:rFonts w:ascii="Garamond" w:hAnsi="Garamond"/>
          <w:b/>
          <w:bCs/>
          <w:lang w:val="en-US"/>
        </w:rPr>
      </w:pPr>
      <w:r w:rsidRPr="00B57AB7">
        <w:rPr>
          <w:rFonts w:ascii="Garamond" w:hAnsi="Garamond"/>
          <w:b/>
          <w:bCs/>
          <w:lang w:val="en-US"/>
        </w:rPr>
        <w:t>Ahmed Kchikeche</w:t>
      </w:r>
      <w:r w:rsidR="00FE6FBA">
        <w:rPr>
          <w:rStyle w:val="FootnoteReference"/>
          <w:rFonts w:ascii="Garamond" w:hAnsi="Garamond"/>
          <w:b/>
          <w:bCs/>
          <w:lang w:val="en-US"/>
        </w:rPr>
        <w:footnoteReference w:id="1"/>
      </w:r>
      <w:r w:rsidRPr="00B57AB7">
        <w:rPr>
          <w:rFonts w:ascii="Garamond" w:hAnsi="Garamond"/>
          <w:b/>
          <w:bCs/>
          <w:lang w:val="en-US"/>
        </w:rPr>
        <w:t xml:space="preserve"> and </w:t>
      </w:r>
      <w:proofErr w:type="spellStart"/>
      <w:r w:rsidRPr="00B57AB7">
        <w:rPr>
          <w:rFonts w:ascii="Garamond" w:hAnsi="Garamond"/>
          <w:b/>
          <w:bCs/>
          <w:lang w:val="en-US"/>
        </w:rPr>
        <w:t>Assil</w:t>
      </w:r>
      <w:proofErr w:type="spellEnd"/>
      <w:r w:rsidRPr="00B57AB7">
        <w:rPr>
          <w:rFonts w:ascii="Garamond" w:hAnsi="Garamond"/>
          <w:b/>
          <w:bCs/>
          <w:lang w:val="en-US"/>
        </w:rPr>
        <w:t xml:space="preserve"> El </w:t>
      </w:r>
      <w:proofErr w:type="spellStart"/>
      <w:r w:rsidRPr="00B57AB7">
        <w:rPr>
          <w:rFonts w:ascii="Garamond" w:hAnsi="Garamond"/>
          <w:b/>
          <w:bCs/>
          <w:lang w:val="en-US"/>
        </w:rPr>
        <w:t>Mahmah</w:t>
      </w:r>
      <w:proofErr w:type="spellEnd"/>
      <w:r w:rsidR="00FE6FBA">
        <w:rPr>
          <w:rStyle w:val="FootnoteReference"/>
          <w:rFonts w:ascii="Garamond" w:hAnsi="Garamond"/>
          <w:b/>
          <w:bCs/>
          <w:lang w:val="en-US"/>
        </w:rPr>
        <w:footnoteReference w:id="2"/>
      </w:r>
      <w:r w:rsidRPr="00B57AB7">
        <w:rPr>
          <w:rFonts w:ascii="Garamond" w:hAnsi="Garamond"/>
          <w:b/>
          <w:bCs/>
          <w:lang w:val="en-US"/>
        </w:rPr>
        <w:t xml:space="preserve"> </w:t>
      </w:r>
    </w:p>
    <w:p w14:paraId="1931FE2E" w14:textId="64A4C12E" w:rsidR="0082036D" w:rsidRDefault="00C52103" w:rsidP="00A74E5B">
      <w:pPr>
        <w:spacing w:before="120" w:after="120" w:line="276" w:lineRule="auto"/>
        <w:jc w:val="center"/>
        <w:rPr>
          <w:rFonts w:ascii="Garamond" w:hAnsi="Garamond"/>
          <w:b/>
          <w:bCs/>
          <w:lang w:val="en-US"/>
        </w:rPr>
      </w:pPr>
      <w:r>
        <w:rPr>
          <w:rFonts w:ascii="Garamond" w:hAnsi="Garamond"/>
          <w:b/>
          <w:bCs/>
          <w:lang w:val="en-US"/>
        </w:rPr>
        <w:t>December</w:t>
      </w:r>
      <w:r w:rsidR="0082036D" w:rsidRPr="00B57AB7">
        <w:rPr>
          <w:rFonts w:ascii="Garamond" w:hAnsi="Garamond"/>
          <w:b/>
          <w:bCs/>
          <w:lang w:val="en-US"/>
        </w:rPr>
        <w:t xml:space="preserve"> 2021</w:t>
      </w:r>
    </w:p>
    <w:p w14:paraId="10D82B2E" w14:textId="578246D3" w:rsidR="00F9332A" w:rsidRPr="00B57AB7" w:rsidRDefault="00F9332A" w:rsidP="00F9332A">
      <w:pPr>
        <w:pStyle w:val="Heading1"/>
        <w:spacing w:before="120" w:after="120" w:line="276" w:lineRule="auto"/>
        <w:contextualSpacing w:val="0"/>
        <w:jc w:val="both"/>
        <w:rPr>
          <w:szCs w:val="24"/>
          <w:lang w:val="en-US"/>
        </w:rPr>
      </w:pPr>
      <w:r>
        <w:rPr>
          <w:szCs w:val="24"/>
          <w:lang w:val="en-US"/>
        </w:rPr>
        <w:t>Abstract</w:t>
      </w:r>
    </w:p>
    <w:p w14:paraId="414580A4" w14:textId="77777777" w:rsidR="00722F27" w:rsidRDefault="009723A8" w:rsidP="00722F27">
      <w:pPr>
        <w:spacing w:before="120" w:after="120" w:line="276" w:lineRule="auto"/>
        <w:jc w:val="both"/>
        <w:rPr>
          <w:rFonts w:ascii="Garamond" w:hAnsi="Garamond"/>
          <w:lang w:val="en-US"/>
        </w:rPr>
      </w:pPr>
      <w:r w:rsidRPr="009723A8">
        <w:rPr>
          <w:rFonts w:ascii="Garamond" w:hAnsi="Garamond"/>
          <w:lang w:val="en-US"/>
        </w:rPr>
        <w:t xml:space="preserve">This paper investigates the role of </w:t>
      </w:r>
      <w:r>
        <w:rPr>
          <w:rFonts w:ascii="Garamond" w:hAnsi="Garamond"/>
          <w:lang w:val="en-US"/>
        </w:rPr>
        <w:t xml:space="preserve">the level and composition of </w:t>
      </w:r>
      <w:r w:rsidRPr="009723A8">
        <w:rPr>
          <w:rFonts w:ascii="Garamond" w:hAnsi="Garamond"/>
          <w:lang w:val="en-US"/>
        </w:rPr>
        <w:t>government spending as a determinant of three</w:t>
      </w:r>
      <w:r w:rsidR="00BD2132">
        <w:rPr>
          <w:rFonts w:ascii="Garamond" w:hAnsi="Garamond"/>
          <w:lang w:val="en-US"/>
        </w:rPr>
        <w:t xml:space="preserve"> different</w:t>
      </w:r>
      <w:r w:rsidRPr="009723A8">
        <w:rPr>
          <w:rFonts w:ascii="Garamond" w:hAnsi="Garamond"/>
          <w:lang w:val="en-US"/>
        </w:rPr>
        <w:t xml:space="preserve"> aspects of banks performance in 179 banks from the MENA region between 2001 and 2019</w:t>
      </w:r>
      <w:r>
        <w:rPr>
          <w:rFonts w:ascii="Garamond" w:hAnsi="Garamond"/>
          <w:lang w:val="en-US"/>
        </w:rPr>
        <w:t xml:space="preserve"> using the </w:t>
      </w:r>
      <w:r w:rsidRPr="009723A8">
        <w:rPr>
          <w:rFonts w:ascii="Garamond" w:hAnsi="Garamond"/>
          <w:lang w:val="en-US"/>
        </w:rPr>
        <w:t xml:space="preserve">first-difference GMM estimation method. </w:t>
      </w:r>
      <w:r w:rsidR="000B5022" w:rsidRPr="000B5022">
        <w:rPr>
          <w:rFonts w:ascii="Garamond" w:hAnsi="Garamond"/>
          <w:lang w:val="en-US"/>
        </w:rPr>
        <w:t>To control for the impact of the oil sector on the banking system for some countries in the region,</w:t>
      </w:r>
      <w:r w:rsidR="000B5022">
        <w:rPr>
          <w:rFonts w:ascii="Garamond" w:hAnsi="Garamond"/>
          <w:lang w:val="en-US"/>
        </w:rPr>
        <w:t xml:space="preserve"> </w:t>
      </w:r>
      <w:r w:rsidR="000B5022" w:rsidRPr="000B5022">
        <w:rPr>
          <w:rFonts w:ascii="Garamond" w:hAnsi="Garamond"/>
          <w:lang w:val="en-US"/>
        </w:rPr>
        <w:t xml:space="preserve">we divide our sample into two groups of </w:t>
      </w:r>
      <w:r w:rsidR="000B5022">
        <w:rPr>
          <w:rFonts w:ascii="Garamond" w:hAnsi="Garamond"/>
          <w:lang w:val="en-US"/>
        </w:rPr>
        <w:t>banks</w:t>
      </w:r>
      <w:r w:rsidR="000B5022" w:rsidRPr="000B5022">
        <w:rPr>
          <w:rFonts w:ascii="Garamond" w:hAnsi="Garamond"/>
          <w:lang w:val="en-US"/>
        </w:rPr>
        <w:t>, depending on whether they are</w:t>
      </w:r>
      <w:r w:rsidR="000B5022">
        <w:rPr>
          <w:rFonts w:ascii="Garamond" w:hAnsi="Garamond"/>
          <w:lang w:val="en-US"/>
        </w:rPr>
        <w:t xml:space="preserve"> from </w:t>
      </w:r>
      <w:r w:rsidR="000B5022" w:rsidRPr="000B5022">
        <w:rPr>
          <w:rFonts w:ascii="Garamond" w:hAnsi="Garamond"/>
          <w:lang w:val="en-US"/>
        </w:rPr>
        <w:t>net oil importers or net oil exporters</w:t>
      </w:r>
      <w:r w:rsidRPr="000B5022">
        <w:rPr>
          <w:rFonts w:ascii="Garamond" w:hAnsi="Garamond"/>
          <w:lang w:val="en-US"/>
        </w:rPr>
        <w:t>.</w:t>
      </w:r>
    </w:p>
    <w:p w14:paraId="0BC8391F" w14:textId="5E79FAE7" w:rsidR="00F9332A" w:rsidRDefault="00BD2132" w:rsidP="00722F27">
      <w:pPr>
        <w:spacing w:before="120" w:after="120" w:line="276" w:lineRule="auto"/>
        <w:jc w:val="both"/>
        <w:rPr>
          <w:rFonts w:ascii="Garamond" w:hAnsi="Garamond"/>
          <w:lang w:val="en-US"/>
        </w:rPr>
      </w:pPr>
      <w:r>
        <w:rPr>
          <w:rFonts w:ascii="Garamond" w:hAnsi="Garamond"/>
          <w:lang w:val="en-US"/>
        </w:rPr>
        <w:t xml:space="preserve">Our results show that there is a negative effect of government spending on bank performance in the MENA region. Furthermore, the results from sample separation reveal the importance of government spending </w:t>
      </w:r>
      <w:r w:rsidRPr="00BD2132">
        <w:rPr>
          <w:rFonts w:ascii="Garamond" w:hAnsi="Garamond"/>
          <w:lang w:val="en-US"/>
        </w:rPr>
        <w:t xml:space="preserve">composition </w:t>
      </w:r>
      <w:r>
        <w:rPr>
          <w:rFonts w:ascii="Garamond" w:hAnsi="Garamond"/>
          <w:lang w:val="en-US"/>
        </w:rPr>
        <w:t xml:space="preserve">and oil dependency on the studied relation. </w:t>
      </w:r>
      <w:r w:rsidR="00722F27">
        <w:rPr>
          <w:rFonts w:ascii="Garamond" w:hAnsi="Garamond"/>
          <w:lang w:val="en-US"/>
        </w:rPr>
        <w:t>In fact, our findings</w:t>
      </w:r>
      <w:r>
        <w:rPr>
          <w:rFonts w:ascii="Garamond" w:hAnsi="Garamond"/>
          <w:lang w:val="en-US"/>
        </w:rPr>
        <w:t xml:space="preserve"> </w:t>
      </w:r>
      <w:r w:rsidR="00722F27">
        <w:rPr>
          <w:rFonts w:ascii="Garamond" w:hAnsi="Garamond"/>
          <w:lang w:val="en-US"/>
        </w:rPr>
        <w:t>indicate</w:t>
      </w:r>
      <w:r>
        <w:rPr>
          <w:rFonts w:ascii="Garamond" w:hAnsi="Garamond"/>
          <w:lang w:val="en-US"/>
        </w:rPr>
        <w:t xml:space="preserve"> that while current spending has a positive impact on bank performance, capital spending harms bank profitability. Finally, while government spending constitutes a net benefit for oil exporters, the results show an overall negative effect of government spending on bank performance in oil-importing countries. </w:t>
      </w:r>
    </w:p>
    <w:p w14:paraId="7B4F7CFF" w14:textId="5E97B720" w:rsidR="009723A8" w:rsidRDefault="009723A8" w:rsidP="009723A8">
      <w:pPr>
        <w:spacing w:before="120" w:after="120" w:line="276" w:lineRule="auto"/>
        <w:jc w:val="both"/>
        <w:rPr>
          <w:rFonts w:ascii="Garamond" w:hAnsi="Garamond"/>
          <w:lang w:val="en-US"/>
        </w:rPr>
      </w:pPr>
      <w:r>
        <w:rPr>
          <w:rFonts w:ascii="Garamond" w:hAnsi="Garamond"/>
          <w:lang w:val="en-US"/>
        </w:rPr>
        <w:t>Keywords: Bank performance; Government spending, Oil prices, GMM, MENA.</w:t>
      </w:r>
    </w:p>
    <w:p w14:paraId="7BB9F859" w14:textId="3CB57993" w:rsidR="009723A8" w:rsidRPr="004A3A66" w:rsidRDefault="009723A8" w:rsidP="004A3A66">
      <w:pPr>
        <w:tabs>
          <w:tab w:val="left" w:pos="3703"/>
        </w:tabs>
        <w:spacing w:before="120" w:after="120" w:line="276" w:lineRule="auto"/>
        <w:jc w:val="both"/>
        <w:rPr>
          <w:rFonts w:ascii="Garamond" w:hAnsi="Garamond"/>
        </w:rPr>
      </w:pPr>
      <w:r w:rsidRPr="004A3A66">
        <w:rPr>
          <w:rFonts w:ascii="Garamond" w:hAnsi="Garamond"/>
        </w:rPr>
        <w:t>JEL classification:</w:t>
      </w:r>
      <w:r w:rsidR="00FE6FBA" w:rsidRPr="004A3A66">
        <w:rPr>
          <w:rFonts w:ascii="Garamond" w:hAnsi="Garamond"/>
        </w:rPr>
        <w:t xml:space="preserve"> E44; E62; G21</w:t>
      </w:r>
      <w:r w:rsidR="00FE6FBA">
        <w:rPr>
          <w:rFonts w:ascii="Garamond" w:hAnsi="Garamond"/>
        </w:rPr>
        <w:t xml:space="preserve"> ; </w:t>
      </w:r>
      <w:r w:rsidR="00FE6FBA" w:rsidRPr="00FE6FBA">
        <w:rPr>
          <w:rFonts w:ascii="Garamond" w:hAnsi="Garamond"/>
        </w:rPr>
        <w:t>H50</w:t>
      </w:r>
    </w:p>
    <w:p w14:paraId="1B5FEDE3" w14:textId="4A35ED43" w:rsidR="00F9332A" w:rsidRPr="004A3A66" w:rsidRDefault="00F9332A" w:rsidP="00A74E5B">
      <w:pPr>
        <w:spacing w:before="120" w:after="120" w:line="276" w:lineRule="auto"/>
        <w:jc w:val="center"/>
        <w:rPr>
          <w:rFonts w:ascii="Garamond" w:hAnsi="Garamond"/>
          <w:b/>
          <w:bCs/>
        </w:rPr>
      </w:pPr>
    </w:p>
    <w:p w14:paraId="11DC0E57" w14:textId="421EE1C4" w:rsidR="00F9332A" w:rsidRPr="004A3A66" w:rsidRDefault="00F9332A" w:rsidP="00A74E5B">
      <w:pPr>
        <w:spacing w:before="120" w:after="120" w:line="276" w:lineRule="auto"/>
        <w:jc w:val="center"/>
        <w:rPr>
          <w:rFonts w:ascii="Garamond" w:hAnsi="Garamond"/>
          <w:b/>
          <w:bCs/>
        </w:rPr>
      </w:pPr>
    </w:p>
    <w:p w14:paraId="35C804F4" w14:textId="5572DBEE" w:rsidR="00F9332A" w:rsidRPr="004A3A66" w:rsidRDefault="00F9332A" w:rsidP="00A74E5B">
      <w:pPr>
        <w:spacing w:before="120" w:after="120" w:line="276" w:lineRule="auto"/>
        <w:jc w:val="center"/>
        <w:rPr>
          <w:rFonts w:ascii="Garamond" w:hAnsi="Garamond"/>
          <w:b/>
          <w:bCs/>
        </w:rPr>
      </w:pPr>
    </w:p>
    <w:p w14:paraId="326C2AC1" w14:textId="7AB0FA2A" w:rsidR="00F9332A" w:rsidRPr="004A3A66" w:rsidRDefault="00F9332A" w:rsidP="00A74E5B">
      <w:pPr>
        <w:spacing w:before="120" w:after="120" w:line="276" w:lineRule="auto"/>
        <w:jc w:val="center"/>
        <w:rPr>
          <w:rFonts w:ascii="Garamond" w:hAnsi="Garamond"/>
          <w:b/>
          <w:bCs/>
        </w:rPr>
      </w:pPr>
    </w:p>
    <w:p w14:paraId="727A051B" w14:textId="4E22D3B8" w:rsidR="00F9332A" w:rsidRPr="004A3A66" w:rsidRDefault="00F9332A" w:rsidP="00A74E5B">
      <w:pPr>
        <w:spacing w:before="120" w:after="120" w:line="276" w:lineRule="auto"/>
        <w:jc w:val="center"/>
        <w:rPr>
          <w:rFonts w:ascii="Garamond" w:hAnsi="Garamond"/>
          <w:b/>
          <w:bCs/>
        </w:rPr>
      </w:pPr>
    </w:p>
    <w:p w14:paraId="29211DE0" w14:textId="7683E0A8" w:rsidR="00F9332A" w:rsidRPr="004A3A66" w:rsidRDefault="00F9332A" w:rsidP="00A74E5B">
      <w:pPr>
        <w:spacing w:before="120" w:after="120" w:line="276" w:lineRule="auto"/>
        <w:jc w:val="center"/>
        <w:rPr>
          <w:rFonts w:ascii="Garamond" w:hAnsi="Garamond"/>
          <w:b/>
          <w:bCs/>
        </w:rPr>
      </w:pPr>
    </w:p>
    <w:p w14:paraId="3C4E7568" w14:textId="28FAF1AC" w:rsidR="00F9332A" w:rsidRPr="004A3A66" w:rsidRDefault="00F9332A" w:rsidP="00A74E5B">
      <w:pPr>
        <w:spacing w:before="120" w:after="120" w:line="276" w:lineRule="auto"/>
        <w:jc w:val="center"/>
        <w:rPr>
          <w:rFonts w:ascii="Garamond" w:hAnsi="Garamond"/>
          <w:b/>
          <w:bCs/>
        </w:rPr>
      </w:pPr>
    </w:p>
    <w:p w14:paraId="3E1613A0" w14:textId="6FFBA72E" w:rsidR="00F9332A" w:rsidRPr="004A3A66" w:rsidRDefault="00F9332A" w:rsidP="00A74E5B">
      <w:pPr>
        <w:spacing w:before="120" w:after="120" w:line="276" w:lineRule="auto"/>
        <w:jc w:val="center"/>
        <w:rPr>
          <w:rFonts w:ascii="Garamond" w:hAnsi="Garamond"/>
          <w:b/>
          <w:bCs/>
        </w:rPr>
      </w:pPr>
    </w:p>
    <w:p w14:paraId="2449898C" w14:textId="342E80D3" w:rsidR="00F9332A" w:rsidRPr="004A3A66" w:rsidRDefault="00F9332A" w:rsidP="00A74E5B">
      <w:pPr>
        <w:spacing w:before="120" w:after="120" w:line="276" w:lineRule="auto"/>
        <w:jc w:val="center"/>
        <w:rPr>
          <w:rFonts w:ascii="Garamond" w:hAnsi="Garamond"/>
          <w:b/>
          <w:bCs/>
        </w:rPr>
      </w:pPr>
    </w:p>
    <w:p w14:paraId="7710E4A2" w14:textId="5E200DB7" w:rsidR="00F9332A" w:rsidRPr="004A3A66" w:rsidRDefault="00F9332A" w:rsidP="00A74E5B">
      <w:pPr>
        <w:spacing w:before="120" w:after="120" w:line="276" w:lineRule="auto"/>
        <w:jc w:val="center"/>
        <w:rPr>
          <w:rFonts w:ascii="Garamond" w:hAnsi="Garamond"/>
          <w:b/>
          <w:bCs/>
        </w:rPr>
      </w:pPr>
    </w:p>
    <w:p w14:paraId="0EBB10DB" w14:textId="39826033" w:rsidR="00F9332A" w:rsidRPr="004A3A66" w:rsidRDefault="00F9332A" w:rsidP="00A74E5B">
      <w:pPr>
        <w:spacing w:before="120" w:after="120" w:line="276" w:lineRule="auto"/>
        <w:jc w:val="center"/>
        <w:rPr>
          <w:rFonts w:ascii="Garamond" w:hAnsi="Garamond"/>
          <w:b/>
          <w:bCs/>
        </w:rPr>
      </w:pPr>
    </w:p>
    <w:p w14:paraId="0A1A3B66" w14:textId="2B657D24" w:rsidR="00F9332A" w:rsidRPr="004A3A66" w:rsidRDefault="00F9332A" w:rsidP="00491595">
      <w:pPr>
        <w:spacing w:before="120" w:after="120" w:line="276" w:lineRule="auto"/>
        <w:rPr>
          <w:rFonts w:ascii="Garamond" w:hAnsi="Garamond"/>
          <w:b/>
          <w:bCs/>
        </w:rPr>
      </w:pPr>
    </w:p>
    <w:p w14:paraId="2DF0F8F0" w14:textId="3BB537C5" w:rsidR="005B4EF7" w:rsidRPr="00B57AB7" w:rsidRDefault="00E62A64" w:rsidP="00C81351">
      <w:pPr>
        <w:pStyle w:val="Heading1"/>
        <w:numPr>
          <w:ilvl w:val="0"/>
          <w:numId w:val="12"/>
        </w:numPr>
        <w:spacing w:before="120" w:after="120" w:line="276" w:lineRule="auto"/>
        <w:ind w:left="360" w:hanging="180"/>
        <w:contextualSpacing w:val="0"/>
        <w:jc w:val="both"/>
        <w:rPr>
          <w:szCs w:val="24"/>
          <w:lang w:val="en-US"/>
        </w:rPr>
      </w:pPr>
      <w:r w:rsidRPr="00B57AB7">
        <w:rPr>
          <w:szCs w:val="24"/>
          <w:lang w:val="en-US"/>
        </w:rPr>
        <w:lastRenderedPageBreak/>
        <w:t>Introduction</w:t>
      </w:r>
    </w:p>
    <w:p w14:paraId="20236781" w14:textId="7B12A298" w:rsidR="00CD3854" w:rsidRPr="00B57AB7" w:rsidRDefault="005B4EF7">
      <w:pPr>
        <w:spacing w:before="120" w:after="120" w:line="276" w:lineRule="auto"/>
        <w:jc w:val="both"/>
        <w:rPr>
          <w:rFonts w:ascii="Garamond" w:hAnsi="Garamond"/>
          <w:lang w:val="en-US"/>
        </w:rPr>
      </w:pPr>
      <w:r w:rsidRPr="00B57AB7">
        <w:rPr>
          <w:rFonts w:ascii="Garamond" w:hAnsi="Garamond"/>
          <w:lang w:val="en-US"/>
        </w:rPr>
        <w:t>The impact of government spending on the economy has always been a central question in economic theory. However, it seems that there is little interest in studying how government</w:t>
      </w:r>
      <w:r w:rsidR="00EF33ED" w:rsidRPr="00B57AB7">
        <w:rPr>
          <w:rFonts w:ascii="Garamond" w:hAnsi="Garamond"/>
          <w:lang w:val="en-US"/>
        </w:rPr>
        <w:t xml:space="preserve"> spending</w:t>
      </w:r>
      <w:r w:rsidRPr="00B57AB7">
        <w:rPr>
          <w:rFonts w:ascii="Garamond" w:hAnsi="Garamond"/>
          <w:lang w:val="en-US"/>
        </w:rPr>
        <w:t xml:space="preserve"> affects banking performance</w:t>
      </w:r>
      <w:r w:rsidR="00566E0A" w:rsidRPr="00B57AB7">
        <w:rPr>
          <w:rFonts w:ascii="Garamond" w:hAnsi="Garamond"/>
          <w:lang w:val="en-US"/>
        </w:rPr>
        <w:t>, especially in the Middle East North Africa region (MENA)</w:t>
      </w:r>
      <w:r w:rsidR="003D3D82">
        <w:rPr>
          <w:rStyle w:val="FootnoteReference"/>
          <w:rFonts w:ascii="Garamond" w:hAnsi="Garamond"/>
          <w:lang w:val="en-US"/>
        </w:rPr>
        <w:footnoteReference w:id="3"/>
      </w:r>
      <w:r w:rsidRPr="00B57AB7">
        <w:rPr>
          <w:rFonts w:ascii="Garamond" w:hAnsi="Garamond"/>
          <w:lang w:val="en-US"/>
        </w:rPr>
        <w:t>.</w:t>
      </w:r>
      <w:r w:rsidR="00CD3854" w:rsidRPr="00B57AB7">
        <w:rPr>
          <w:rFonts w:ascii="Garamond" w:hAnsi="Garamond"/>
          <w:lang w:val="en-US"/>
        </w:rPr>
        <w:t xml:space="preserve"> In fact, this region has its particularities. On one hand, about </w:t>
      </w:r>
      <w:r w:rsidR="00CD3854" w:rsidRPr="00B57AB7">
        <w:rPr>
          <w:rFonts w:ascii="Garamond" w:hAnsi="Garamond"/>
          <w:cs/>
          <w:lang w:val="en-US"/>
        </w:rPr>
        <w:t>‎</w:t>
      </w:r>
      <w:r w:rsidR="00CD3854" w:rsidRPr="00B57AB7">
        <w:rPr>
          <w:rFonts w:ascii="Garamond" w:hAnsi="Garamond"/>
          <w:lang w:val="en-US"/>
        </w:rPr>
        <w:t xml:space="preserve"> half of the countries (Algeria and the GCC countries) are depending mainly on oil revenues where hydrocarbon accounts for roughly 50% of the region’s GDP, benefitting from significant liquidity during periods of high oil prices. On the other hand, the rest of the region are net oil-importing countries, where any hike in oil price affects negatively government fiscal balances and economic growth, causing a squeeze in liquidity and credit. Hence, the net impact of government intervention on banking performance is still ambiguous.</w:t>
      </w:r>
      <w:r w:rsidR="00CD3854" w:rsidRPr="00B57AB7">
        <w:rPr>
          <w:rFonts w:ascii="Garamond" w:hAnsi="Garamond"/>
          <w:cs/>
          <w:lang w:val="en-US"/>
        </w:rPr>
        <w:t>‎</w:t>
      </w:r>
    </w:p>
    <w:p w14:paraId="39FE1B87" w14:textId="020FA272" w:rsidR="00171E34" w:rsidRPr="00B57AB7" w:rsidRDefault="00CD3854">
      <w:pPr>
        <w:spacing w:before="120" w:after="120" w:line="276" w:lineRule="auto"/>
        <w:jc w:val="both"/>
        <w:rPr>
          <w:rFonts w:ascii="Garamond" w:hAnsi="Garamond"/>
          <w:lang w:val="en-US"/>
        </w:rPr>
      </w:pPr>
      <w:r w:rsidRPr="00B57AB7">
        <w:rPr>
          <w:rFonts w:ascii="Garamond" w:hAnsi="Garamond"/>
          <w:lang w:val="en-US"/>
        </w:rPr>
        <w:t xml:space="preserve">To the best of our knowledge, there is no theoretical framework that directly ties government spending to bank performance. </w:t>
      </w:r>
      <w:r w:rsidR="005B4EF7" w:rsidRPr="00B57AB7">
        <w:rPr>
          <w:rFonts w:ascii="Garamond" w:hAnsi="Garamond"/>
          <w:lang w:val="en-US"/>
        </w:rPr>
        <w:t xml:space="preserve">This gap in the literature is rarely addressed as the studies </w:t>
      </w:r>
      <w:r w:rsidR="005F2253" w:rsidRPr="00B57AB7">
        <w:rPr>
          <w:rFonts w:ascii="Garamond" w:hAnsi="Garamond"/>
          <w:lang w:val="en-US"/>
        </w:rPr>
        <w:t>related to</w:t>
      </w:r>
      <w:r w:rsidR="005B4EF7" w:rsidRPr="00B57AB7">
        <w:rPr>
          <w:rFonts w:ascii="Garamond" w:hAnsi="Garamond"/>
          <w:lang w:val="en-US"/>
        </w:rPr>
        <w:t xml:space="preserve"> bank performance don’t consider the importance of the role played by government intervention </w:t>
      </w:r>
      <w:r w:rsidR="005B4EF7" w:rsidRPr="00B57AB7">
        <w:rPr>
          <w:rFonts w:ascii="Garamond" w:hAnsi="Garamond"/>
          <w:lang w:val="en-US"/>
        </w:rPr>
        <w:fldChar w:fldCharType="begin" w:fldLock="1"/>
      </w:r>
      <w:r w:rsidR="00F9779B" w:rsidRPr="00B57AB7">
        <w:rPr>
          <w:rFonts w:ascii="Garamond" w:hAnsi="Garamond"/>
          <w:lang w:val="en-US"/>
        </w:rPr>
        <w:instrText>ADDIN CSL_CITATION {"citationItems":[{"id":"ITEM-1","itemData":{"DOI":"10.34120/0430-027-001-004","ISBN":"0430027001","author":[{"dropping-particle":"","family":"Alshammari","given":"Nayef","non-dropping-particle":"","parse-names":false,"suffix":""}],"container-title":"Arab Journal of Administrative Science","id":"ITEM-1","issue":"1","issued":{"date-parts":[["2020"]]},"page":"85","title":"The Spillover Effect Of Government Spending On Banking Performance In Kuwait","type":"article-journal","volume":"27"},"uris":["http://www.mendeley.com/documents/?uuid=d2faa9f0-cfa8-4199-8b03-7d5ce9596d03"]},{"id":"ITEM-2","itemData":{"DOI":"10.1016/j.ribaf.2016.03.015","ISSN":"02755319","abstract":"The aim of this paper is to investigate the determinants of bank profitability in the early transition countries of Central and Eastern Europe (CEE), and in the late transition countries of the former USSR. We apply a GMM technique for the period covering 2000–2013. The results show that profitability persists and the determinants of bank profitability vary across transition countries. Particularly, the banking sector of early transition countries is more competitive. However, the impact of credit risk on bank profitability is positive in early transition countries, but negative in late transition countries. Government spending and monetary freedom negatively influence bank profitability only in late transition countries. Moreover, better capitalised banks are more profitable in early transition countries implying that these banking sectors are more robust. A range of possible approaches that governments can take to further develop banking sectors are discussed.","author":[{"dropping-particle":"","family":"Djalilov","given":"Khurshid","non-dropping-particle":"","parse-names":false,"suffix":""},{"dropping-particle":"","family":"Piesse","given":"Jenifer","non-dropping-particle":"","parse-names":false,"suffix":""}],"container-title":"Research in International Business and Finance","id":"ITEM-2","issued":{"date-parts":[["2016"]]},"page":"69-82","publisher":"Elsevier B.V.","title":"Determinants of bank profitability in transition countries: What matters most?","type":"article-journal","volume":"38"},"uris":["http://www.mendeley.com/documents/?uuid=4686f32c-619a-4f92-acb8-6b6a46eeb71c"]}],"mendeley":{"formattedCitation":"(Alshammari, 2020; Djalilov &amp; Piesse, 2016)","plainTextFormattedCitation":"(Alshammari, 2020; Djalilov &amp; Piesse, 2016)","previouslyFormattedCitation":"(Alshammari, 2020; Djalilov &amp; Piesse, 2016)"},"properties":{"noteIndex":0},"schema":"https://github.com/citation-style-language/schema/raw/master/csl-citation.json"}</w:instrText>
      </w:r>
      <w:r w:rsidR="005B4EF7" w:rsidRPr="00B57AB7">
        <w:rPr>
          <w:rFonts w:ascii="Garamond" w:hAnsi="Garamond"/>
          <w:lang w:val="en-US"/>
        </w:rPr>
        <w:fldChar w:fldCharType="separate"/>
      </w:r>
      <w:r w:rsidR="00F9779B" w:rsidRPr="00B57AB7">
        <w:rPr>
          <w:rFonts w:ascii="Garamond" w:hAnsi="Garamond"/>
          <w:noProof/>
          <w:lang w:val="en-US"/>
        </w:rPr>
        <w:t>(Alshammari, 2020; Djalilov &amp; Piesse, 2016)</w:t>
      </w:r>
      <w:r w:rsidR="005B4EF7" w:rsidRPr="00B57AB7">
        <w:rPr>
          <w:rFonts w:ascii="Garamond" w:hAnsi="Garamond"/>
          <w:lang w:val="en-US"/>
        </w:rPr>
        <w:fldChar w:fldCharType="end"/>
      </w:r>
      <w:r w:rsidR="005B4EF7" w:rsidRPr="00B57AB7">
        <w:rPr>
          <w:rFonts w:ascii="Garamond" w:hAnsi="Garamond"/>
          <w:lang w:val="en-US"/>
        </w:rPr>
        <w:t xml:space="preserve">. </w:t>
      </w:r>
      <w:r w:rsidRPr="00B57AB7">
        <w:rPr>
          <w:rFonts w:ascii="Garamond" w:hAnsi="Garamond"/>
          <w:lang w:val="en-US"/>
        </w:rPr>
        <w:t>Thus, o</w:t>
      </w:r>
      <w:r w:rsidR="005B4EF7" w:rsidRPr="00B57AB7">
        <w:rPr>
          <w:rFonts w:ascii="Garamond" w:hAnsi="Garamond"/>
          <w:lang w:val="en-US"/>
        </w:rPr>
        <w:t>ur paper aims to empirically investigate the role of government spending as a determinant of bank performance in the MENA region.</w:t>
      </w:r>
      <w:r w:rsidR="00171E34" w:rsidRPr="00B57AB7">
        <w:rPr>
          <w:rFonts w:ascii="Garamond" w:hAnsi="Garamond"/>
          <w:lang w:val="en-US"/>
        </w:rPr>
        <w:t xml:space="preserve"> </w:t>
      </w:r>
    </w:p>
    <w:p w14:paraId="6472EAEC" w14:textId="0EC68F2A" w:rsidR="005B4EF7" w:rsidRPr="00B57AB7" w:rsidRDefault="005B4EF7">
      <w:pPr>
        <w:spacing w:before="120" w:after="120" w:line="276" w:lineRule="auto"/>
        <w:jc w:val="both"/>
        <w:rPr>
          <w:rFonts w:ascii="Garamond" w:hAnsi="Garamond"/>
          <w:lang w:val="en-US"/>
        </w:rPr>
      </w:pPr>
      <w:r w:rsidRPr="00B57AB7">
        <w:rPr>
          <w:rFonts w:ascii="Garamond" w:hAnsi="Garamond"/>
          <w:lang w:val="en-US"/>
        </w:rPr>
        <w:t xml:space="preserve">Taking this into consideration, the first part of our paper is a two-phase literature review on </w:t>
      </w:r>
      <w:r w:rsidR="00FE7E9D" w:rsidRPr="00B57AB7">
        <w:rPr>
          <w:rFonts w:ascii="Garamond" w:hAnsi="Garamond"/>
          <w:lang w:val="en-US"/>
        </w:rPr>
        <w:t>this</w:t>
      </w:r>
      <w:r w:rsidRPr="00B57AB7">
        <w:rPr>
          <w:rFonts w:ascii="Garamond" w:hAnsi="Garamond"/>
          <w:lang w:val="en-US"/>
        </w:rPr>
        <w:t xml:space="preserve"> subject. In the first</w:t>
      </w:r>
      <w:r w:rsidR="008C5039" w:rsidRPr="00B57AB7">
        <w:rPr>
          <w:rFonts w:ascii="Garamond" w:hAnsi="Garamond"/>
          <w:lang w:val="en-US"/>
        </w:rPr>
        <w:t xml:space="preserve"> part</w:t>
      </w:r>
      <w:r w:rsidRPr="00B57AB7">
        <w:rPr>
          <w:rFonts w:ascii="Garamond" w:hAnsi="Garamond"/>
          <w:lang w:val="en-US"/>
        </w:rPr>
        <w:t xml:space="preserve">, we </w:t>
      </w:r>
      <w:r w:rsidR="002A1D1D" w:rsidRPr="00B57AB7">
        <w:rPr>
          <w:rFonts w:ascii="Garamond" w:hAnsi="Garamond"/>
          <w:lang w:val="en-US"/>
        </w:rPr>
        <w:t>examined</w:t>
      </w:r>
      <w:r w:rsidRPr="00B57AB7">
        <w:rPr>
          <w:rFonts w:ascii="Garamond" w:hAnsi="Garamond"/>
          <w:lang w:val="en-US"/>
        </w:rPr>
        <w:t xml:space="preserve"> the impact of government spending on economic growth</w:t>
      </w:r>
      <w:r w:rsidR="002A1D1D" w:rsidRPr="00B57AB7">
        <w:rPr>
          <w:rFonts w:ascii="Garamond" w:hAnsi="Garamond"/>
          <w:lang w:val="en-US"/>
        </w:rPr>
        <w:t>,</w:t>
      </w:r>
      <w:r w:rsidRPr="00B57AB7">
        <w:rPr>
          <w:rFonts w:ascii="Garamond" w:hAnsi="Garamond"/>
          <w:lang w:val="en-US"/>
        </w:rPr>
        <w:t xml:space="preserve"> to have some insights on how government spending </w:t>
      </w:r>
      <w:r w:rsidR="002A1D1D" w:rsidRPr="00B57AB7">
        <w:rPr>
          <w:rFonts w:ascii="Garamond" w:hAnsi="Garamond"/>
          <w:lang w:val="en-US"/>
        </w:rPr>
        <w:t xml:space="preserve">can </w:t>
      </w:r>
      <w:r w:rsidRPr="00B57AB7">
        <w:rPr>
          <w:rFonts w:ascii="Garamond" w:hAnsi="Garamond"/>
          <w:lang w:val="en-US"/>
        </w:rPr>
        <w:t>affect macroeconomic conditions</w:t>
      </w:r>
      <w:r w:rsidR="00FE7E9D" w:rsidRPr="00B57AB7">
        <w:rPr>
          <w:rFonts w:ascii="Garamond" w:hAnsi="Garamond"/>
          <w:lang w:val="en-US"/>
        </w:rPr>
        <w:t xml:space="preserve"> (mainly economic growth)</w:t>
      </w:r>
      <w:r w:rsidRPr="00B57AB7">
        <w:rPr>
          <w:rFonts w:ascii="Garamond" w:hAnsi="Garamond"/>
          <w:lang w:val="en-US"/>
        </w:rPr>
        <w:t>.</w:t>
      </w:r>
      <w:r w:rsidR="00EF33ED" w:rsidRPr="00B57AB7">
        <w:rPr>
          <w:rFonts w:ascii="Garamond" w:hAnsi="Garamond"/>
          <w:lang w:val="en-US"/>
        </w:rPr>
        <w:t xml:space="preserve"> In</w:t>
      </w:r>
      <w:r w:rsidRPr="00B57AB7">
        <w:rPr>
          <w:rFonts w:ascii="Garamond" w:hAnsi="Garamond"/>
          <w:lang w:val="en-US"/>
        </w:rPr>
        <w:t xml:space="preserve"> </w:t>
      </w:r>
      <w:r w:rsidR="00EF33ED" w:rsidRPr="00B57AB7">
        <w:rPr>
          <w:rFonts w:ascii="Garamond" w:hAnsi="Garamond"/>
          <w:lang w:val="en-US"/>
        </w:rPr>
        <w:t>t</w:t>
      </w:r>
      <w:r w:rsidRPr="00B57AB7">
        <w:rPr>
          <w:rFonts w:ascii="Garamond" w:hAnsi="Garamond"/>
          <w:lang w:val="en-US"/>
        </w:rPr>
        <w:t>he second phase</w:t>
      </w:r>
      <w:r w:rsidR="00EF33ED" w:rsidRPr="00B57AB7">
        <w:rPr>
          <w:rFonts w:ascii="Garamond" w:hAnsi="Garamond"/>
          <w:lang w:val="en-US"/>
        </w:rPr>
        <w:t xml:space="preserve">, we </w:t>
      </w:r>
      <w:r w:rsidRPr="00B57AB7">
        <w:rPr>
          <w:rFonts w:ascii="Garamond" w:hAnsi="Garamond"/>
          <w:lang w:val="en-US"/>
        </w:rPr>
        <w:t>analyz</w:t>
      </w:r>
      <w:r w:rsidR="00EF33ED" w:rsidRPr="00B57AB7">
        <w:rPr>
          <w:rFonts w:ascii="Garamond" w:hAnsi="Garamond"/>
          <w:lang w:val="en-US"/>
        </w:rPr>
        <w:t>e</w:t>
      </w:r>
      <w:r w:rsidR="002A1D1D" w:rsidRPr="00B57AB7">
        <w:rPr>
          <w:rFonts w:ascii="Garamond" w:hAnsi="Garamond"/>
          <w:lang w:val="en-US"/>
        </w:rPr>
        <w:t>d</w:t>
      </w:r>
      <w:r w:rsidRPr="00B57AB7">
        <w:rPr>
          <w:rFonts w:ascii="Garamond" w:hAnsi="Garamond"/>
          <w:lang w:val="en-US"/>
        </w:rPr>
        <w:t xml:space="preserve"> bank performance determinants and </w:t>
      </w:r>
      <w:r w:rsidR="008C5039" w:rsidRPr="00B57AB7">
        <w:rPr>
          <w:rFonts w:ascii="Garamond" w:hAnsi="Garamond"/>
          <w:lang w:val="en-US"/>
        </w:rPr>
        <w:t>essentially</w:t>
      </w:r>
      <w:r w:rsidRPr="00B57AB7">
        <w:rPr>
          <w:rFonts w:ascii="Garamond" w:hAnsi="Garamond"/>
          <w:lang w:val="en-US"/>
        </w:rPr>
        <w:t xml:space="preserve"> how macroeconomic conditions affect bank performance. </w:t>
      </w:r>
      <w:r w:rsidR="002A1D1D" w:rsidRPr="00B57AB7">
        <w:rPr>
          <w:rFonts w:ascii="Garamond" w:hAnsi="Garamond"/>
          <w:lang w:val="en-US"/>
        </w:rPr>
        <w:t>This allo</w:t>
      </w:r>
      <w:r w:rsidR="00BD2132">
        <w:rPr>
          <w:rFonts w:ascii="Garamond" w:hAnsi="Garamond"/>
          <w:lang w:val="en-US"/>
        </w:rPr>
        <w:t>ws</w:t>
      </w:r>
      <w:r w:rsidR="002A1D1D" w:rsidRPr="00B57AB7">
        <w:rPr>
          <w:rFonts w:ascii="Garamond" w:hAnsi="Garamond"/>
          <w:lang w:val="en-US"/>
        </w:rPr>
        <w:t xml:space="preserve"> us to understand</w:t>
      </w:r>
      <w:r w:rsidRPr="00B57AB7">
        <w:rPr>
          <w:rFonts w:ascii="Garamond" w:hAnsi="Garamond"/>
          <w:lang w:val="en-US"/>
        </w:rPr>
        <w:t xml:space="preserve"> the relationship between government spending and bank performance by analyzing both their interactions with economic growth.</w:t>
      </w:r>
      <w:r w:rsidR="008C5039" w:rsidRPr="00B57AB7">
        <w:rPr>
          <w:rFonts w:ascii="Garamond" w:hAnsi="Garamond"/>
          <w:lang w:val="en-US"/>
        </w:rPr>
        <w:t xml:space="preserve"> The data and methodology section present our panel dataset and describe the econometric methodology used in our paper. The </w:t>
      </w:r>
      <w:r w:rsidR="00FE7E9D" w:rsidRPr="00B57AB7">
        <w:rPr>
          <w:rFonts w:ascii="Garamond" w:hAnsi="Garamond"/>
          <w:lang w:val="en-US"/>
        </w:rPr>
        <w:t xml:space="preserve">third </w:t>
      </w:r>
      <w:r w:rsidR="008C5039" w:rsidRPr="00B57AB7">
        <w:rPr>
          <w:rFonts w:ascii="Garamond" w:hAnsi="Garamond"/>
          <w:lang w:val="en-US"/>
        </w:rPr>
        <w:t>section present</w:t>
      </w:r>
      <w:r w:rsidR="00EF33ED" w:rsidRPr="00B57AB7">
        <w:rPr>
          <w:rFonts w:ascii="Garamond" w:hAnsi="Garamond"/>
          <w:lang w:val="en-US"/>
        </w:rPr>
        <w:t>s</w:t>
      </w:r>
      <w:r w:rsidR="008C5039" w:rsidRPr="00B57AB7">
        <w:rPr>
          <w:rFonts w:ascii="Garamond" w:hAnsi="Garamond"/>
          <w:lang w:val="en-US"/>
        </w:rPr>
        <w:t xml:space="preserve"> the </w:t>
      </w:r>
      <w:r w:rsidR="00FE7E9D" w:rsidRPr="00B57AB7">
        <w:rPr>
          <w:rFonts w:ascii="Garamond" w:hAnsi="Garamond"/>
          <w:lang w:val="en-US"/>
        </w:rPr>
        <w:t>analysis of the results</w:t>
      </w:r>
      <w:r w:rsidR="00F9779B" w:rsidRPr="00B57AB7">
        <w:rPr>
          <w:rFonts w:ascii="Garamond" w:hAnsi="Garamond"/>
          <w:lang w:val="en-US"/>
        </w:rPr>
        <w:t>. W</w:t>
      </w:r>
      <w:r w:rsidR="002A1D1D" w:rsidRPr="00B57AB7">
        <w:rPr>
          <w:rFonts w:ascii="Garamond" w:hAnsi="Garamond"/>
          <w:lang w:val="en-US"/>
        </w:rPr>
        <w:t xml:space="preserve">e </w:t>
      </w:r>
      <w:r w:rsidR="008C5039" w:rsidRPr="00B57AB7">
        <w:rPr>
          <w:rFonts w:ascii="Garamond" w:hAnsi="Garamond"/>
          <w:lang w:val="en-US"/>
        </w:rPr>
        <w:t>conclude</w:t>
      </w:r>
      <w:r w:rsidR="002A1D1D" w:rsidRPr="00B57AB7">
        <w:rPr>
          <w:rFonts w:ascii="Garamond" w:hAnsi="Garamond"/>
          <w:lang w:val="en-US"/>
        </w:rPr>
        <w:t>d</w:t>
      </w:r>
      <w:r w:rsidR="008C5039" w:rsidRPr="00B57AB7">
        <w:rPr>
          <w:rFonts w:ascii="Garamond" w:hAnsi="Garamond"/>
          <w:lang w:val="en-US"/>
        </w:rPr>
        <w:t xml:space="preserve"> our paper with a discussion of the results and their policy implications for the MENA region.</w:t>
      </w:r>
    </w:p>
    <w:p w14:paraId="17D28A42" w14:textId="4342D7A8" w:rsidR="00F640BA" w:rsidRPr="00595B3E" w:rsidRDefault="00F640BA" w:rsidP="00C81351">
      <w:pPr>
        <w:pStyle w:val="Heading1"/>
        <w:numPr>
          <w:ilvl w:val="0"/>
          <w:numId w:val="12"/>
        </w:numPr>
        <w:tabs>
          <w:tab w:val="left" w:pos="450"/>
        </w:tabs>
        <w:spacing w:before="240" w:after="120" w:line="276" w:lineRule="auto"/>
        <w:ind w:left="360" w:right="562" w:hanging="86"/>
        <w:contextualSpacing w:val="0"/>
        <w:jc w:val="both"/>
        <w:rPr>
          <w:szCs w:val="24"/>
          <w:lang w:val="en-US"/>
        </w:rPr>
      </w:pPr>
      <w:r w:rsidRPr="00595B3E">
        <w:rPr>
          <w:szCs w:val="24"/>
          <w:lang w:val="en-US"/>
        </w:rPr>
        <w:t>Literature review</w:t>
      </w:r>
    </w:p>
    <w:p w14:paraId="21220791" w14:textId="762EC7A9" w:rsidR="00F640BA"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t>The impact of government intervention on the economy has always been a central question in economic theory. However, it seems that there is little interest in studying how government affects banking performance. This gap in the literature is rarely addressed as the studies working on bank performance do</w:t>
      </w:r>
      <w:r w:rsidR="00EB63C0">
        <w:rPr>
          <w:rFonts w:ascii="Garamond" w:hAnsi="Garamond"/>
          <w:lang w:val="en-US"/>
        </w:rPr>
        <w:t xml:space="preserve"> </w:t>
      </w:r>
      <w:r w:rsidRPr="00B57AB7">
        <w:rPr>
          <w:rFonts w:ascii="Garamond" w:hAnsi="Garamond"/>
          <w:lang w:val="en-US"/>
        </w:rPr>
        <w:t>n</w:t>
      </w:r>
      <w:r w:rsidR="00EB63C0">
        <w:rPr>
          <w:rFonts w:ascii="Garamond" w:hAnsi="Garamond"/>
          <w:lang w:val="en-US"/>
        </w:rPr>
        <w:t>o</w:t>
      </w:r>
      <w:r w:rsidRPr="00B57AB7">
        <w:rPr>
          <w:rFonts w:ascii="Garamond" w:hAnsi="Garamond"/>
          <w:lang w:val="en-US"/>
        </w:rPr>
        <w:t xml:space="preserve">t consider the importance of the role played by government intervention </w:t>
      </w:r>
      <w:r w:rsidRPr="00B57AB7">
        <w:rPr>
          <w:rFonts w:ascii="Garamond" w:hAnsi="Garamond"/>
          <w:lang w:val="en-US"/>
        </w:rPr>
        <w:fldChar w:fldCharType="begin" w:fldLock="1"/>
      </w:r>
      <w:r w:rsidR="00CC117C" w:rsidRPr="00B57AB7">
        <w:rPr>
          <w:rFonts w:ascii="Garamond" w:hAnsi="Garamond"/>
          <w:lang w:val="en-US"/>
        </w:rPr>
        <w:instrText>ADDIN CSL_CITATION {"citationItems":[{"id":"ITEM-1","itemData":{"DOI":"10.34120/0430-027-001-004","ISBN":"0430027001","author":[{"dropping-particle":"","family":"Alshammari","given":"Nayef","non-dropping-particle":"","parse-names":false,"suffix":""}],"container-title":"Arab Journal of Administrative Science","id":"ITEM-1","issue":"1","issued":{"date-parts":[["2020"]]},"page":"85","title":"The Spillover Effect Of Government Spending On Banking Performance In Kuwait","type":"article-journal","volume":"27"},"uris":["http://www.mendeley.com/documents/?uuid=d2faa9f0-cfa8-4199-8b03-7d5ce9596d03"]},{"id":"ITEM-2","itemData":{"DOI":"10.1016/j.ribaf.2016.03.015","ISSN":"02755319","abstract":"The aim of this paper is to investigate the determinants of bank profitability in the early transition countries of Central and Eastern Europe (CEE), and in the late transition countries of the former USSR. We apply a GMM technique for the period covering 2000–2013. The results show that profitability persists and the determinants of bank profitability vary across transition countries. Particularly, the banking sector of early transition countries is more competitive. However, the impact of credit risk on bank profitability is positive in early transition countries, but negative in late transition countries. Government spending and monetary freedom negatively influence bank profitability only in late transition countries. Moreover, better capitalised banks are more profitable in early transition countries implying that these banking sectors are more robust. A range of possible approaches that governments can take to further develop banking sectors are discussed.","author":[{"dropping-particle":"","family":"Djalilov","given":"Khurshid","non-dropping-particle":"","parse-names":false,"suffix":""},{"dropping-particle":"","family":"Piesse","given":"Jenifer","non-dropping-particle":"","parse-names":false,"suffix":""}],"container-title":"Research in International Business and Finance","id":"ITEM-2","issued":{"date-parts":[["2016"]]},"page":"69-82","publisher":"Elsevier B.V.","title":"Determinants of bank profitability in transition countries: What matters most?","type":"article-journal","volume":"38"},"uris":["http://www.mendeley.com/documents/?uuid=4686f32c-619a-4f92-acb8-6b6a46eeb71c"]}],"mendeley":{"formattedCitation":"(Alshammari, 2020; Djalilov &amp; Piesse, 2016)","plainTextFormattedCitation":"(Alshammari, 2020; Djalilov &amp; Piesse, 2016)","previouslyFormattedCitation":"(Alshammari, 2020; Djalilov &amp; Piesse, 2016)"},"properties":{"noteIndex":0},"schema":"https://github.com/citation-style-language/schema/raw/master/csl-citation.json"}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lang w:val="en-US"/>
        </w:rPr>
        <w:t>(Alshammari, 2020; Djalilov &amp; Piesse, 2016)</w:t>
      </w:r>
      <w:r w:rsidRPr="00B57AB7">
        <w:rPr>
          <w:rFonts w:ascii="Garamond" w:hAnsi="Garamond"/>
          <w:lang w:val="en-US"/>
        </w:rPr>
        <w:fldChar w:fldCharType="end"/>
      </w:r>
      <w:r w:rsidRPr="00B57AB7">
        <w:rPr>
          <w:rFonts w:ascii="Garamond" w:hAnsi="Garamond"/>
          <w:lang w:val="en-US"/>
        </w:rPr>
        <w:t>.</w:t>
      </w:r>
    </w:p>
    <w:p w14:paraId="373BE378" w14:textId="3073C089" w:rsidR="00EB63C0" w:rsidRDefault="00F640BA" w:rsidP="004A3A66">
      <w:pPr>
        <w:tabs>
          <w:tab w:val="left" w:pos="7470"/>
        </w:tabs>
        <w:spacing w:before="120" w:after="120" w:line="276" w:lineRule="auto"/>
        <w:jc w:val="both"/>
        <w:rPr>
          <w:rFonts w:ascii="Garamond" w:hAnsi="Garamond"/>
          <w:lang w:val="en-US"/>
        </w:rPr>
      </w:pPr>
      <w:r w:rsidRPr="00B57AB7">
        <w:rPr>
          <w:rFonts w:ascii="Garamond" w:hAnsi="Garamond"/>
          <w:lang w:val="en-US"/>
        </w:rPr>
        <w:t xml:space="preserve">To our knowledge, the only study that considers the relationship between government spending and bank performance as the main research objective was done by </w:t>
      </w:r>
      <w:r w:rsidRPr="00B57AB7">
        <w:rPr>
          <w:rFonts w:ascii="Garamond" w:hAnsi="Garamond"/>
          <w:lang w:val="en-US"/>
        </w:rPr>
        <w:fldChar w:fldCharType="begin" w:fldLock="1"/>
      </w:r>
      <w:r w:rsidR="00CA49AC">
        <w:rPr>
          <w:rFonts w:ascii="Garamond" w:hAnsi="Garamond"/>
          <w:lang w:val="en-US"/>
        </w:rPr>
        <w:instrText>ADDIN CSL_CITATION {"citationItems":[{"id":"ITEM-1","itemData":{"DOI":"10.34120/0430-027-001-004","ISBN":"0430027001","author":[{"dropping-particle":"","family":"Alshammari","given":"Nayef","non-dropping-particle":"","parse-names":false,"suffix":""}],"container-title":"Arab Journal of Administrative Science","id":"ITEM-1","issue":"1","issued":{"date-parts":[["2020"]]},"page":"85","title":"The Spillover Effect Of Government Spending On Banking Performance In Kuwait","type":"article-journal","volume":"27"},"uris":["http://www.mendeley.com/documents/?uuid=d2faa9f0-cfa8-4199-8b03-7d5ce9596d03"]}],"mendeley":{"formattedCitation":"(Alshammari, 2020)","manualFormatting":"Alshammari (2020)","plainTextFormattedCitation":"(Alshammari, 2020)","previouslyFormattedCitation":"(Alshammari, 2020)"},"properties":{"noteIndex":0},"schema":"https://github.com/citation-style-language/schema/raw/master/csl-citation.json"}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 xml:space="preserve">Alshammari </w:t>
      </w:r>
      <w:r w:rsidR="00CA49AC">
        <w:rPr>
          <w:rFonts w:ascii="Garamond" w:hAnsi="Garamond"/>
          <w:noProof/>
          <w:lang w:val="en-US"/>
        </w:rPr>
        <w:t>(</w:t>
      </w:r>
      <w:r w:rsidRPr="00B57AB7">
        <w:rPr>
          <w:rFonts w:ascii="Garamond" w:hAnsi="Garamond"/>
          <w:noProof/>
          <w:lang w:val="en-US"/>
        </w:rPr>
        <w:t>2020)</w:t>
      </w:r>
      <w:r w:rsidRPr="00B57AB7">
        <w:rPr>
          <w:rFonts w:ascii="Garamond" w:hAnsi="Garamond"/>
          <w:lang w:val="en-US"/>
        </w:rPr>
        <w:fldChar w:fldCharType="end"/>
      </w:r>
      <w:r w:rsidRPr="00B57AB7">
        <w:rPr>
          <w:rFonts w:ascii="Garamond" w:hAnsi="Garamond"/>
          <w:lang w:val="en-US"/>
        </w:rPr>
        <w:t xml:space="preserve"> who investigated the spillover effect of government spending on bank performance in Kuwait. The author used standard panel techniques (pooled OLS, fixed effect, and random effect) to investigate the indirect effect of government spending on seven </w:t>
      </w:r>
      <w:r w:rsidR="000F18E0" w:rsidRPr="00B57AB7">
        <w:rPr>
          <w:rFonts w:ascii="Garamond" w:hAnsi="Garamond"/>
          <w:lang w:val="en-US"/>
        </w:rPr>
        <w:t>K</w:t>
      </w:r>
      <w:r w:rsidR="000F18E0">
        <w:rPr>
          <w:rFonts w:ascii="Garamond" w:hAnsi="Garamond"/>
          <w:lang w:val="en-US"/>
        </w:rPr>
        <w:t>uwaiti</w:t>
      </w:r>
      <w:r w:rsidR="000F18E0" w:rsidRPr="00B57AB7">
        <w:rPr>
          <w:rFonts w:ascii="Garamond" w:hAnsi="Garamond"/>
          <w:lang w:val="en-US"/>
        </w:rPr>
        <w:t xml:space="preserve"> </w:t>
      </w:r>
      <w:r w:rsidRPr="00B57AB7">
        <w:rPr>
          <w:rFonts w:ascii="Garamond" w:hAnsi="Garamond"/>
          <w:lang w:val="en-US"/>
        </w:rPr>
        <w:t>commercial banks</w:t>
      </w:r>
      <w:r w:rsidR="00EB63C0">
        <w:rPr>
          <w:rFonts w:ascii="Garamond" w:hAnsi="Garamond"/>
          <w:lang w:val="en-US"/>
        </w:rPr>
        <w:t>.</w:t>
      </w:r>
      <w:r w:rsidRPr="00B57AB7">
        <w:rPr>
          <w:rFonts w:ascii="Garamond" w:hAnsi="Garamond"/>
          <w:lang w:val="en-US"/>
        </w:rPr>
        <w:t xml:space="preserve"> </w:t>
      </w:r>
      <w:r w:rsidR="00EB63C0">
        <w:rPr>
          <w:rFonts w:ascii="Garamond" w:hAnsi="Garamond"/>
          <w:lang w:val="en-US"/>
        </w:rPr>
        <w:t>He</w:t>
      </w:r>
      <w:r w:rsidR="00EB63C0" w:rsidRPr="00B57AB7">
        <w:rPr>
          <w:rFonts w:ascii="Garamond" w:hAnsi="Garamond"/>
          <w:lang w:val="en-US"/>
        </w:rPr>
        <w:t xml:space="preserve"> </w:t>
      </w:r>
      <w:r w:rsidRPr="00B57AB7">
        <w:rPr>
          <w:rFonts w:ascii="Garamond" w:hAnsi="Garamond"/>
          <w:lang w:val="en-US"/>
        </w:rPr>
        <w:t xml:space="preserve">found that </w:t>
      </w:r>
      <w:r w:rsidR="002C2D79">
        <w:rPr>
          <w:rFonts w:ascii="Garamond" w:hAnsi="Garamond"/>
          <w:lang w:val="en-US"/>
        </w:rPr>
        <w:lastRenderedPageBreak/>
        <w:t>massive government spending tends to crowd out</w:t>
      </w:r>
      <w:r w:rsidR="00EB63C0">
        <w:rPr>
          <w:rFonts w:ascii="Garamond" w:hAnsi="Garamond"/>
          <w:lang w:val="en-US"/>
        </w:rPr>
        <w:t xml:space="preserve"> the role of the private sector, affecting negatively</w:t>
      </w:r>
      <w:r w:rsidR="00EB63C0" w:rsidRPr="00B57AB7">
        <w:rPr>
          <w:rFonts w:ascii="Garamond" w:hAnsi="Garamond"/>
          <w:lang w:val="en-US"/>
        </w:rPr>
        <w:t xml:space="preserve"> bank</w:t>
      </w:r>
      <w:r w:rsidR="00EB63C0">
        <w:rPr>
          <w:rFonts w:ascii="Garamond" w:hAnsi="Garamond"/>
          <w:lang w:val="en-US"/>
        </w:rPr>
        <w:t>s</w:t>
      </w:r>
      <w:r w:rsidR="00EB63C0" w:rsidRPr="00B57AB7">
        <w:rPr>
          <w:rFonts w:ascii="Garamond" w:hAnsi="Garamond"/>
          <w:lang w:val="en-US"/>
        </w:rPr>
        <w:t xml:space="preserve"> performance</w:t>
      </w:r>
      <w:r w:rsidR="00EB63C0">
        <w:rPr>
          <w:rFonts w:ascii="Garamond" w:hAnsi="Garamond"/>
          <w:lang w:val="en-US"/>
        </w:rPr>
        <w:t>.</w:t>
      </w:r>
    </w:p>
    <w:p w14:paraId="71746030" w14:textId="732873C2" w:rsidR="00F640BA" w:rsidRPr="00B57AB7"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t xml:space="preserve">Few other studies considered government intervention as a determinant of bank performance. For instance, </w:t>
      </w:r>
      <w:r w:rsidRPr="00B57AB7">
        <w:rPr>
          <w:rFonts w:ascii="Garamond" w:hAnsi="Garamond"/>
          <w:lang w:val="en-US"/>
        </w:rPr>
        <w:fldChar w:fldCharType="begin" w:fldLock="1"/>
      </w:r>
      <w:r w:rsidR="00CA49AC">
        <w:rPr>
          <w:rFonts w:ascii="Garamond" w:hAnsi="Garamond"/>
          <w:lang w:val="en-US"/>
        </w:rPr>
        <w:instrText>ADDIN CSL_CITATION {"citationItems":[{"id":"ITEM-1","itemData":{"DOI":"10.1016/j.ribaf.2016.03.015","ISSN":"02755319","abstract":"The aim of this paper is to investigate the determinants of bank profitability in the early transition countries of Central and Eastern Europe (CEE), and in the late transition countries of the former USSR. We apply a GMM technique for the period covering 2000–2013. The results show that profitability persists and the determinants of bank profitability vary across transition countries. Particularly, the banking sector of early transition countries is more competitive. However, the impact of credit risk on bank profitability is positive in early transition countries, but negative in late transition countries. Government spending and monetary freedom negatively influence bank profitability only in late transition countries. Moreover, better capitalised banks are more profitable in early transition countries implying that these banking sectors are more robust. A range of possible approaches that governments can take to further develop banking sectors are discussed.","author":[{"dropping-particle":"","family":"Djalilov","given":"Khurshid","non-dropping-particle":"","parse-names":false,"suffix":""},{"dropping-particle":"","family":"Piesse","given":"Jenifer","non-dropping-particle":"","parse-names":false,"suffix":""}],"container-title":"Research in International Business and Finance","id":"ITEM-1","issued":{"date-parts":[["2016"]]},"page":"69-82","publisher":"Elsevier B.V.","title":"Determinants of bank profitability in transition countries: What matters most?","type":"article-journal","volume":"38"},"uris":["http://www.mendeley.com/documents/?uuid=4686f32c-619a-4f92-acb8-6b6a46eeb71c"]}],"mendeley":{"formattedCitation":"(Djalilov &amp; Piesse, 2016)","manualFormatting":"Djalilov &amp; Piesse (2016)","plainTextFormattedCitation":"(Djalilov &amp; Piesse, 2016)","previouslyFormattedCitation":"(Djalilov &amp; Piesse, 2016)"},"properties":{"noteIndex":0},"schema":"https://github.com/citation-style-language/schema/raw/master/csl-citation.json"}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lang w:val="en-US"/>
        </w:rPr>
        <w:t xml:space="preserve">Djalilov &amp; Piesse </w:t>
      </w:r>
      <w:r w:rsidR="00CA49AC">
        <w:rPr>
          <w:rFonts w:ascii="Garamond" w:hAnsi="Garamond"/>
          <w:noProof/>
          <w:lang w:val="en-US"/>
        </w:rPr>
        <w:t>(</w:t>
      </w:r>
      <w:r w:rsidR="00CC117C" w:rsidRPr="00B57AB7">
        <w:rPr>
          <w:rFonts w:ascii="Garamond" w:hAnsi="Garamond"/>
          <w:noProof/>
          <w:lang w:val="en-US"/>
        </w:rPr>
        <w:t>2016)</w:t>
      </w:r>
      <w:r w:rsidRPr="00B57AB7">
        <w:rPr>
          <w:rFonts w:ascii="Garamond" w:hAnsi="Garamond"/>
          <w:lang w:val="en-US"/>
        </w:rPr>
        <w:fldChar w:fldCharType="end"/>
      </w:r>
      <w:r w:rsidRPr="00B57AB7">
        <w:rPr>
          <w:rFonts w:ascii="Garamond" w:hAnsi="Garamond"/>
          <w:lang w:val="en-US"/>
        </w:rPr>
        <w:t xml:space="preserve"> studied the determinants of bank profitability in 16 transition countries using a GMM panel model. The study’s results suggest that government spending harms bank performance for late transition countries but does not affect early transition countries. In addition</w:t>
      </w:r>
      <w:r w:rsidR="00706702" w:rsidRPr="00B57AB7">
        <w:rPr>
          <w:rFonts w:ascii="Garamond" w:hAnsi="Garamond"/>
          <w:lang w:val="en-US"/>
        </w:rPr>
        <w:t>,</w:t>
      </w:r>
      <w:r w:rsidRPr="00B57AB7">
        <w:rPr>
          <w:rFonts w:ascii="Garamond" w:hAnsi="Garamond"/>
          <w:lang w:val="en-US"/>
        </w:rPr>
        <w:t xml:space="preserve"> </w:t>
      </w:r>
      <w:r w:rsidRPr="00B57AB7">
        <w:rPr>
          <w:rFonts w:ascii="Garamond" w:hAnsi="Garamond"/>
          <w:lang w:val="en-US"/>
        </w:rPr>
        <w:fldChar w:fldCharType="begin" w:fldLock="1"/>
      </w:r>
      <w:r w:rsidR="00CA49AC">
        <w:rPr>
          <w:rFonts w:ascii="Garamond" w:hAnsi="Garamond"/>
          <w:lang w:val="en-US"/>
        </w:rPr>
        <w:instrText>ADDIN CSL_CITATION {"citationItems":[{"id":"ITEM-1","itemData":{"DOI":"10.1007/s13132-015-0261-8","ISBN":"1313201502","ISSN":"18687873","abstract":"In this study, Data Envelopment Analysis (DEA) is used to examine the determinants of banking performance in Bahrain between 2005 and 2009. This performance is analyzed through a comparative study of 12 banks (six conventional and six Islamic banks). A diversity of internal and external banking characteristics were used to forecast this performance. The main of them are the return on assets (ROA), return on equity (ROE), and efficiency (EFF). Our determinant study of bank performance confirms previous investigations. The increase in size of Islamic banks and the rapid growth in the customers’ deposits are the important factors of performance. Moreover, our results indicate that the variables related to the government intervention have a negative impact on the banking performance in the conventional funding model.","author":[{"dropping-particle":"","family":"Daly","given":"Saida","non-dropping-particle":"","parse-names":false,"suffix":""},{"dropping-particle":"","family":"Frikha","given":"Mohamed","non-dropping-particle":"","parse-names":false,"suffix":""}],"container-title":"Journal of the Knowledge Economy","id":"ITEM-1","issue":"2","issued":{"date-parts":[["2017"]]},"page":"471-488","publisher":"Journal of the Knowledge Economy","title":"Determinants of bank Performance: Comparative Study Between Conventional and Islamic Banking in Bahrain","type":"article-journal","volume":"8"},"uris":["http://www.mendeley.com/documents/?uuid=c7295f4c-bcf2-4836-b853-a85098b58338"]}],"mendeley":{"formattedCitation":"(Daly &amp; Frikha, 2017)","manualFormatting":"Daly &amp; Frikha (2017)","plainTextFormattedCitation":"(Daly &amp; Frikha, 2017)","previouslyFormattedCitation":"(Daly &amp; Frikha, 2017)"},"properties":{"noteIndex":0},"schema":"https://github.com/citation-style-language/schema/raw/master/csl-citation.json"}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lang w:val="en-US"/>
        </w:rPr>
        <w:t xml:space="preserve">Daly &amp; Frikha </w:t>
      </w:r>
      <w:r w:rsidR="00CA49AC">
        <w:rPr>
          <w:rFonts w:ascii="Garamond" w:hAnsi="Garamond"/>
          <w:noProof/>
          <w:lang w:val="en-US"/>
        </w:rPr>
        <w:t>(</w:t>
      </w:r>
      <w:r w:rsidR="00CC117C" w:rsidRPr="00B57AB7">
        <w:rPr>
          <w:rFonts w:ascii="Garamond" w:hAnsi="Garamond"/>
          <w:noProof/>
          <w:lang w:val="en-US"/>
        </w:rPr>
        <w:t>2017)</w:t>
      </w:r>
      <w:r w:rsidRPr="00B57AB7">
        <w:rPr>
          <w:rFonts w:ascii="Garamond" w:hAnsi="Garamond"/>
          <w:lang w:val="en-US"/>
        </w:rPr>
        <w:fldChar w:fldCharType="end"/>
      </w:r>
      <w:r w:rsidRPr="00B57AB7">
        <w:rPr>
          <w:rFonts w:ascii="Garamond" w:hAnsi="Garamond"/>
          <w:lang w:val="en-US"/>
        </w:rPr>
        <w:t xml:space="preserve"> explored the performance of 12 Bahraini banks using Data Envelopment Analysis. The study uses two variables associated with government intervention (government effectiveness and regulatory quality) and shows that they both harm conventional banks' performance. </w:t>
      </w:r>
    </w:p>
    <w:p w14:paraId="0D4BD192" w14:textId="639F2493" w:rsidR="00F640BA" w:rsidRPr="00B57AB7"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t xml:space="preserve">The observed lack of interest in the relationship between government spending and bank performance may be explained by the fact that is only a spillover effect. </w:t>
      </w:r>
      <w:r w:rsidR="00706702" w:rsidRPr="00B57AB7">
        <w:rPr>
          <w:rFonts w:ascii="Garamond" w:hAnsi="Garamond"/>
          <w:lang w:val="en-US"/>
        </w:rPr>
        <w:t>In this sense, t</w:t>
      </w:r>
      <w:r w:rsidRPr="00B57AB7">
        <w:rPr>
          <w:rFonts w:ascii="Garamond" w:hAnsi="Garamond"/>
          <w:lang w:val="en-US"/>
        </w:rPr>
        <w:t xml:space="preserve">he relationship between </w:t>
      </w:r>
      <w:r w:rsidR="00706702" w:rsidRPr="00B57AB7">
        <w:rPr>
          <w:rFonts w:ascii="Garamond" w:hAnsi="Garamond"/>
          <w:lang w:val="en-US"/>
        </w:rPr>
        <w:t>government spending</w:t>
      </w:r>
      <w:r w:rsidRPr="00B57AB7">
        <w:rPr>
          <w:rFonts w:ascii="Garamond" w:hAnsi="Garamond"/>
          <w:lang w:val="en-US"/>
        </w:rPr>
        <w:t xml:space="preserve"> and bank performance is quite intuitive</w:t>
      </w:r>
      <w:r w:rsidR="00706702" w:rsidRPr="00B57AB7">
        <w:rPr>
          <w:rFonts w:ascii="Garamond" w:hAnsi="Garamond"/>
          <w:lang w:val="en-US"/>
        </w:rPr>
        <w:t xml:space="preserve">. Succinctly, Government spending is argued to have a significant (positive or negative) effect on economic growth. This effect can extend to affect bank performance through a growth effect channel </w:t>
      </w:r>
      <w:r w:rsidRPr="00B57AB7">
        <w:rPr>
          <w:rFonts w:ascii="Garamond" w:hAnsi="Garamond"/>
          <w:lang w:val="en-US"/>
        </w:rPr>
        <w:t>as growth represents an increase in aggregate demand</w:t>
      </w:r>
      <w:r w:rsidR="00706702" w:rsidRPr="00B57AB7">
        <w:rPr>
          <w:rFonts w:ascii="Garamond" w:hAnsi="Garamond"/>
          <w:lang w:val="en-US"/>
        </w:rPr>
        <w:t xml:space="preserve"> including </w:t>
      </w:r>
      <w:r w:rsidRPr="00B57AB7">
        <w:rPr>
          <w:rFonts w:ascii="Garamond" w:hAnsi="Garamond"/>
          <w:lang w:val="en-US"/>
        </w:rPr>
        <w:t xml:space="preserve">the demand for financing and other banking services, which, in turn, have a direct effect on banking performance. To illustrate this relationship, our review of the literature will be conducted in two phases. The first is a review of the literature on the impact of government spending on economic growth and the second is an analysis of bank performance determinants in the empirical literature. </w:t>
      </w:r>
    </w:p>
    <w:p w14:paraId="30B38ABB" w14:textId="2E0CD482" w:rsidR="00F640BA" w:rsidRPr="00C81351" w:rsidRDefault="006E31F7" w:rsidP="00A74E5B">
      <w:pPr>
        <w:pStyle w:val="Heading2"/>
        <w:tabs>
          <w:tab w:val="left" w:pos="7470"/>
        </w:tabs>
        <w:spacing w:line="276" w:lineRule="auto"/>
        <w:jc w:val="both"/>
        <w:rPr>
          <w:i w:val="0"/>
          <w:iCs w:val="0"/>
          <w:szCs w:val="24"/>
          <w:lang w:val="en-US"/>
        </w:rPr>
      </w:pPr>
      <w:r w:rsidRPr="00C81351">
        <w:rPr>
          <w:i w:val="0"/>
          <w:iCs w:val="0"/>
          <w:szCs w:val="24"/>
          <w:lang w:val="en-US"/>
        </w:rPr>
        <w:t xml:space="preserve">II.1. </w:t>
      </w:r>
      <w:r w:rsidR="00F640BA" w:rsidRPr="00C81351">
        <w:rPr>
          <w:i w:val="0"/>
          <w:iCs w:val="0"/>
          <w:szCs w:val="24"/>
          <w:lang w:val="en-US"/>
        </w:rPr>
        <w:t>The growth effect of government spending</w:t>
      </w:r>
    </w:p>
    <w:p w14:paraId="16B2824A" w14:textId="511FB5AC" w:rsidR="00706702" w:rsidRPr="00B57AB7"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t xml:space="preserve">According to Keynesian theory, government spending boosts economic growth via two main channels. The first channel affects economic growth directly by increasing production and aggregate demand using expansionary fiscal policy </w:t>
      </w:r>
      <w:r w:rsidRPr="00B57AB7">
        <w:rPr>
          <w:rFonts w:ascii="Garamond" w:hAnsi="Garamond"/>
          <w:lang w:val="en-US"/>
        </w:rPr>
        <w:fldChar w:fldCharType="begin" w:fldLock="1"/>
      </w:r>
      <w:r w:rsidR="00CC117C" w:rsidRPr="00B57AB7">
        <w:rPr>
          <w:rFonts w:ascii="Garamond" w:hAnsi="Garamond"/>
          <w:lang w:val="en-US"/>
        </w:rPr>
        <w:instrText>ADDIN CSL_CITATION {"citationItems":[{"id":"ITEM-1","itemData":{"DOI":"10.2478/foli-2019-0015","ISBN":"0000000329","ISSN":"1898-0198","abstract":"Research background: Although a number of studies have been conducted on the relationship between public expenditure and economic growth, it is difficult to tell with certainty whether or not an increase in public expenditure is good for economic growth. This lack of consensus on the results of the previous empirical findings makes this study of paramount importance as we take stock of the available empirical evidence from the 1980s to date. Purpose: In this paper, theoretical and empirical literature on the relationship between government expenditure and economic growth has been reviewed in detail. Focus was placed on the review of literature that assessed the impact of government spending on economic growth. Research Methodology: This study grouped studies on the impact of public expenditure on economic growth based on their results. Three groups emerged – positive impact, negative impact and no impact. This was followed by a review of each relevant study and an evaluation of which outcome was more prevalent among the existing studies on the subject. Results: The literature reviewed has shown that the impact of government spending on economic growth is not clear cut. It varies from positive to negative; with some studies even finding no impact. Although the impact of government spending on economic growth was found to be inconclusive, the scale tilts towards a positive impact. Novelty: The study provides an insight into the relationship between public expenditure and economic growth based on a comprehensive review of previous empirical evidence across various countries since the 1980s.","author":[{"dropping-particle":"","family":"Nyasha","given":"Sheilla","non-dropping-particle":"","parse-names":false,"suffix":""},{"dropping-particle":"","family":"Odhiambo","given":"Nicholas M.","non-dropping-particle":"","parse-names":false,"suffix":""}],"container-title":"Folia Oeconomica Stetinensia","id":"ITEM-1","issue":"2","issued":{"date-parts":[["2019"]]},"page":"81-101","title":"The Impact of Public Expenditure on Economic Growth: A Review of International Literature","type":"article-journal","volume":"19"},"uris":["http://www.mendeley.com/documents/?uuid=8f12b05a-a32e-4580-a3e8-63372b2334ba"]}],"mendeley":{"formattedCitation":"(Nyasha &amp; Odhiambo, 2019)","plainTextFormattedCitation":"(Nyasha &amp; Odhiambo, 2019)","previouslyFormattedCitation":"(Nyasha &amp; Odhiambo, 2019)"},"properties":{"noteIndex":0},"schema":"https://github.com/citation-style-language/schema/raw/master/csl-citation.json"}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lang w:val="en-US"/>
        </w:rPr>
        <w:t>(Nyasha &amp; Odhiambo, 2019)</w:t>
      </w:r>
      <w:r w:rsidRPr="00B57AB7">
        <w:rPr>
          <w:rFonts w:ascii="Garamond" w:hAnsi="Garamond"/>
          <w:lang w:val="en-US"/>
        </w:rPr>
        <w:fldChar w:fldCharType="end"/>
      </w:r>
      <w:r w:rsidRPr="00B57AB7">
        <w:rPr>
          <w:rFonts w:ascii="Garamond" w:hAnsi="Garamond"/>
          <w:lang w:val="en-US"/>
        </w:rPr>
        <w:t xml:space="preserve">. According to </w:t>
      </w:r>
      <w:r w:rsidRPr="00B57AB7">
        <w:rPr>
          <w:rFonts w:ascii="Garamond" w:hAnsi="Garamond"/>
          <w:lang w:val="en-US"/>
        </w:rPr>
        <w:fldChar w:fldCharType="begin" w:fldLock="1"/>
      </w:r>
      <w:r w:rsidR="00CA49AC">
        <w:rPr>
          <w:rFonts w:ascii="Garamond" w:hAnsi="Garamond"/>
          <w:lang w:val="en-US"/>
        </w:rPr>
        <w:instrText>ADDIN CSL_CITATION {"citationItems":[{"id":"ITEM-1","itemData":{"author":[{"dropping-particle":"","family":"Romer","given":"Paul M","non-dropping-particle":"","parse-names":false,"suffix":""}],"id":"ITEM-1","issue":"5","issued":{"date-parts":[["1986"]]},"title":"Increasing Returns and Long-Run Growth","type":"article-journal","volume":"94"},"uris":["http://www.mendeley.com/documents/?uuid=ff3e0931-3ff4-47cd-9723-7b4cdc0939bc"]}],"mendeley":{"formattedCitation":"(Romer, 1986)","manualFormatting":"Romer (1986)","plainTextFormattedCitation":"(Romer, 1986)","previouslyFormattedCitation":"(Romer, 1986)"},"properties":{"noteIndex":0},"schema":"https://github.com/citation-style-language/schema/raw/master/csl-citation.json"}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 xml:space="preserve">Romer </w:t>
      </w:r>
      <w:r w:rsidR="00CA49AC">
        <w:rPr>
          <w:rFonts w:ascii="Garamond" w:hAnsi="Garamond"/>
          <w:noProof/>
          <w:lang w:val="en-US"/>
        </w:rPr>
        <w:t>(</w:t>
      </w:r>
      <w:r w:rsidRPr="00B57AB7">
        <w:rPr>
          <w:rFonts w:ascii="Garamond" w:hAnsi="Garamond"/>
          <w:noProof/>
          <w:lang w:val="en-US"/>
        </w:rPr>
        <w:t>1986)</w:t>
      </w:r>
      <w:r w:rsidRPr="00B57AB7">
        <w:rPr>
          <w:rFonts w:ascii="Garamond" w:hAnsi="Garamond"/>
          <w:lang w:val="en-US"/>
        </w:rPr>
        <w:fldChar w:fldCharType="end"/>
      </w:r>
      <w:r w:rsidRPr="00B57AB7">
        <w:rPr>
          <w:rFonts w:ascii="Garamond" w:hAnsi="Garamond"/>
          <w:lang w:val="en-US"/>
        </w:rPr>
        <w:t>, by having access to tax revenues, the government can support the economy’s social optimum by subsidizing the holdings and the accumulation of capital or by subsidizing it and taxing the other factors of production.</w:t>
      </w:r>
      <w:r w:rsidR="00706702" w:rsidRPr="00B57AB7">
        <w:rPr>
          <w:rFonts w:ascii="Garamond" w:hAnsi="Garamond"/>
          <w:lang w:val="en-US"/>
        </w:rPr>
        <w:t xml:space="preserve"> The second channel affects growth indirectly by laying the groundwork for private investment. This is mainly done by reducing and managing conflicts between private and social interests, increasing productive investment, and directing economic growth toward the social optimum </w:t>
      </w:r>
      <w:r w:rsidR="00CA49AC">
        <w:rPr>
          <w:rFonts w:ascii="Garamond" w:hAnsi="Garamond"/>
          <w:lang w:val="en-US"/>
        </w:rPr>
        <w:fldChar w:fldCharType="begin" w:fldLock="1"/>
      </w:r>
      <w:r w:rsidR="00CA49AC">
        <w:rPr>
          <w:rFonts w:ascii="Garamond" w:hAnsi="Garamond"/>
          <w:lang w:val="en-US"/>
        </w:rPr>
        <w:instrText>ADDIN CSL_CITATION {"citationItems":[{"id":"ITEM-1","itemData":{"ISBN":"00028282","ISSN":"00028282","abstract":"The article discusses the impact of government size on economic performance and growth. Theoretically, one point of view suggests that a larger government size is likely to be detrimental to efficiency and economic growth because, for example, government operations are often conducted inefficiently, the regulatory process imposes excessive burdens and costs on the economic system and many of government's fiscal and monetary policies tend to distort economic incentives and lower the productivity of the system. The article claims that the overall impact of government size on growth is positive in almost all cases, the marginal externality effect of government size is generally positive, compared with the rest of the economy, factor productivity in the government sector appears to be higher, at least during the 1960s and the number of time-series observations for each country is relatively small. There is a broad harmony between the estimates obtained from cross-section and time-series data.","author":[{"dropping-particle":"","family":"Ram","given":"R.","non-dropping-particle":"","parse-names":false,"suffix":""}],"container-title":"American Economic Review","id":"ITEM-1","issue":"1","issued":{"date-parts":[["1986"]]},"page":"191-203","title":"Government size and economic growth: A new framework and some evidence from cross-section and time-series data","type":"article-journal","volume":"76"},"uris":["http://www.mendeley.com/documents/?uuid=a363e69e-9962-4cc9-9170-a5b65cc44e41"]}],"mendeley":{"formattedCitation":"(Ram, 1986)","plainTextFormattedCitation":"(Ram, 1986)","previouslyFormattedCitation":"(Ram, 1986)"},"properties":{"noteIndex":0},"schema":"https://github.com/citation-style-language/schema/raw/master/csl-citation.json"}</w:instrText>
      </w:r>
      <w:r w:rsidR="00CA49AC">
        <w:rPr>
          <w:rFonts w:ascii="Garamond" w:hAnsi="Garamond"/>
          <w:lang w:val="en-US"/>
        </w:rPr>
        <w:fldChar w:fldCharType="separate"/>
      </w:r>
      <w:r w:rsidR="00CA49AC" w:rsidRPr="00CA49AC">
        <w:rPr>
          <w:rFonts w:ascii="Garamond" w:hAnsi="Garamond"/>
          <w:noProof/>
          <w:lang w:val="en-US"/>
        </w:rPr>
        <w:t>(Ram, 1986)</w:t>
      </w:r>
      <w:r w:rsidR="00CA49AC">
        <w:rPr>
          <w:rFonts w:ascii="Garamond" w:hAnsi="Garamond"/>
          <w:lang w:val="en-US"/>
        </w:rPr>
        <w:fldChar w:fldCharType="end"/>
      </w:r>
      <w:r w:rsidR="00706702" w:rsidRPr="00B57AB7">
        <w:rPr>
          <w:rFonts w:ascii="Garamond" w:hAnsi="Garamond"/>
          <w:lang w:val="en-US"/>
        </w:rPr>
        <w:t xml:space="preserve">. Government capital spending can also facilitate private investment in countries with less developed markets by building the necessary infrastructure that allows private capital to be more productive </w:t>
      </w:r>
      <w:r w:rsidR="00CA49AC">
        <w:rPr>
          <w:rFonts w:ascii="Garamond" w:hAnsi="Garamond"/>
          <w:lang w:val="en-US"/>
        </w:rPr>
        <w:fldChar w:fldCharType="begin" w:fldLock="1"/>
      </w:r>
      <w:r w:rsidR="00CA49AC">
        <w:rPr>
          <w:rFonts w:ascii="Garamond" w:hAnsi="Garamond"/>
          <w:lang w:val="en-US"/>
        </w:rPr>
        <w:instrText>ADDIN CSL_CITATION {"citationItems":[{"id":"ITEM-1","itemData":{"DOI":"10.1080/000368499323698","ISSN":"00036846","abstract":"This study uses multivariate cointegration techniques and attempts to model the dynamic interactions between government size and economic growth in a five-variable system consisting of the growth rates of GDP, total government spending, investment, exports, and imports. Using data on ten OECD countries the analysis shows: (i) Government size Granger-causes growth in all the countries with some disparities concerning the proportion by which government size contributes to explaining future changes in the growth rates. An innovation shock at the growth rate of government size generates a permanent effect on the growth rate of GDP that, for some countries, reaches from 26% to 60% of the total change in growth: (ii) Government size also Granger-causes investment and international trade and, for some countries government size Granger-causes growth indirectly either through investment or the trade variables; and (iii) In almost all countries, international trade and investment generate permanent effects on growth. In particular we found that exports and imports do not have the same effects on growth as is the case in cross-country growth models.","author":[{"dropping-particle":"","family":"Ghali","given":"Khalifa H.","non-dropping-particle":"","parse-names":false,"suffix":""}],"container-title":"Applied Economics","id":"ITEM-1","issue":"8","issued":{"date-parts":[["1999"]]},"page":"975-987","title":"Government size and economic growth: Evidence from a multivariate cointegration analysis","type":"article-journal","volume":"31"},"uris":["http://www.mendeley.com/documents/?uuid=00cfb34f-45d9-44a4-a35f-79d4aaf01ba3"]}],"mendeley":{"formattedCitation":"(Ghali, 1999)","plainTextFormattedCitation":"(Ghali, 1999)","previouslyFormattedCitation":"(Ghali, 1999)"},"properties":{"noteIndex":0},"schema":"https://github.com/citation-style-language/schema/raw/master/csl-citation.json"}</w:instrText>
      </w:r>
      <w:r w:rsidR="00CA49AC">
        <w:rPr>
          <w:rFonts w:ascii="Garamond" w:hAnsi="Garamond"/>
          <w:lang w:val="en-US"/>
        </w:rPr>
        <w:fldChar w:fldCharType="separate"/>
      </w:r>
      <w:r w:rsidR="00CA49AC" w:rsidRPr="00CA49AC">
        <w:rPr>
          <w:rFonts w:ascii="Garamond" w:hAnsi="Garamond"/>
          <w:noProof/>
          <w:lang w:val="en-US"/>
        </w:rPr>
        <w:t>(Ghali, 1999)</w:t>
      </w:r>
      <w:r w:rsidR="00CA49AC">
        <w:rPr>
          <w:rFonts w:ascii="Garamond" w:hAnsi="Garamond"/>
          <w:lang w:val="en-US"/>
        </w:rPr>
        <w:fldChar w:fldCharType="end"/>
      </w:r>
      <w:r w:rsidR="00706702" w:rsidRPr="00B57AB7">
        <w:rPr>
          <w:rFonts w:ascii="Garamond" w:hAnsi="Garamond"/>
          <w:lang w:val="en-US"/>
        </w:rPr>
        <w:t>.</w:t>
      </w:r>
    </w:p>
    <w:p w14:paraId="4AB49211" w14:textId="24CC02BE" w:rsidR="00F640BA" w:rsidRPr="00B57AB7"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t xml:space="preserve">On the other end of the argument, classical, neoclassical and public choice theorists argue that government intervention is detrimental to economic growth </w:t>
      </w:r>
      <w:r w:rsidRPr="00B57AB7">
        <w:rPr>
          <w:rFonts w:ascii="Garamond" w:hAnsi="Garamond"/>
          <w:lang w:val="en-US"/>
        </w:rPr>
        <w:fldChar w:fldCharType="begin" w:fldLock="1"/>
      </w:r>
      <w:r w:rsidR="00CC117C" w:rsidRPr="00B57AB7">
        <w:rPr>
          <w:rFonts w:ascii="Garamond" w:hAnsi="Garamond"/>
          <w:lang w:val="en-US"/>
        </w:rPr>
        <w:instrText>ADDIN CSL_CITATION {"citationItems":[{"id":"ITEM-1","itemData":{"DOI":"10.2478/foli-2019-0015","ISBN":"0000000329","ISSN":"1898-0198","abstract":"Research background: Although a number of studies have been conducted on the relationship between public expenditure and economic growth, it is difficult to tell with certainty whether or not an increase in public expenditure is good for economic growth. This lack of consensus on the results of the previous empirical findings makes this study of paramount importance as we take stock of the available empirical evidence from the 1980s to date. Purpose: In this paper, theoretical and empirical literature on the relationship between government expenditure and economic growth has been reviewed in detail. Focus was placed on the review of literature that assessed the impact of government spending on economic growth. Research Methodology: This study grouped studies on the impact of public expenditure on economic growth based on their results. Three groups emerged – positive impact, negative impact and no impact. This was followed by a review of each relevant study and an evaluation of which outcome was more prevalent among the existing studies on the subject. Results: The literature reviewed has shown that the impact of government spending on economic growth is not clear cut. It varies from positive to negative; with some studies even finding no impact. Although the impact of government spending on economic growth was found to be inconclusive, the scale tilts towards a positive impact. Novelty: The study provides an insight into the relationship between public expenditure and economic growth based on a comprehensive review of previous empirical evidence across various countries since the 1980s.","author":[{"dropping-particle":"","family":"Nyasha","given":"Sheilla","non-dropping-particle":"","parse-names":false,"suffix":""},{"dropping-particle":"","family":"Odhiambo","given":"Nicholas M.","non-dropping-particle":"","parse-names":false,"suffix":""}],"container-title":"Folia Oeconomica Stetinensia","id":"ITEM-1","issue":"2","issued":{"date-parts":[["2019"]]},"page":"81-101","title":"The Impact of Public Expenditure on Economic Growth: A Review of International Literature","type":"article-journal","volume":"19"},"uris":["http://www.mendeley.com/documents/?uuid=8f12b05a-a32e-4580-a3e8-63372b2334ba"]}],"mendeley":{"formattedCitation":"(Nyasha &amp; Odhiambo, 2019)","plainTextFormattedCitation":"(Nyasha &amp; Odhiambo, 2019)","previouslyFormattedCitation":"(Nyasha &amp; Odhiambo, 2019)"},"properties":{"noteIndex":0},"schema":"https://github.com/citation-style-language/schema/raw/master/csl-citation.json"}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lang w:val="en-US"/>
        </w:rPr>
        <w:t>(Nyasha &amp; Odhiambo, 2019)</w:t>
      </w:r>
      <w:r w:rsidRPr="00B57AB7">
        <w:rPr>
          <w:rFonts w:ascii="Garamond" w:hAnsi="Garamond"/>
          <w:lang w:val="en-US"/>
        </w:rPr>
        <w:fldChar w:fldCharType="end"/>
      </w:r>
      <w:r w:rsidRPr="00B57AB7">
        <w:rPr>
          <w:rFonts w:ascii="Garamond" w:hAnsi="Garamond"/>
          <w:lang w:val="en-US"/>
        </w:rPr>
        <w:t xml:space="preserve">. This is mainly due to the well-known crowding-out effect </w:t>
      </w:r>
      <w:r w:rsidRPr="00B57AB7">
        <w:rPr>
          <w:rFonts w:ascii="Garamond" w:hAnsi="Garamond"/>
          <w:lang w:val="en-US"/>
        </w:rPr>
        <w:fldChar w:fldCharType="begin" w:fldLock="1"/>
      </w:r>
      <w:r w:rsidRPr="00B57AB7">
        <w:rPr>
          <w:rFonts w:ascii="Garamond" w:hAnsi="Garamond"/>
          <w:lang w:val="en-US"/>
        </w:rPr>
        <w:instrText>ADDIN CSL_CITATION {"citationItems":[{"id":"ITEM-1","itemData":{"ISBN":"00028282","ISSN":"00028282","abstract":"The article discusses the impact of government size on economic performance and growth. Theoretically, one point of view suggests that a larger government size is likely to be detrimental to efficiency and economic growth because, for example, government operations are often conducted inefficiently, the regulatory process imposes excessive burdens and costs on the economic system and many of government's fiscal and monetary policies tend to distort economic incentives and lower the productivity of the system. The article claims that the overall impact of government size on growth is positive in almost all cases, the marginal externality effect of government size is generally positive, compared with the rest of the economy, factor productivity in the government sector appears to be higher, at least during the 1960s and the number of time-series observations for each country is relatively small. There is a broad harmony between the estimates obtained from cross-section and time-series data.","author":[{"dropping-particle":"","family":"Ram","given":"R.","non-dropping-particle":"","parse-names":false,"suffix":""}],"container-title":"American Economic Review","id":"ITEM-1","issue":"1","issued":{"date-parts":[["1986"]]},"page":"191-203","title":"Government size and economic growth: A new framework and some evidence from cross-section and time-series data","type":"article-journal","volume":"76"},"uris":["http://www.mendeley.com/documents/?uuid=a363e69e-9962-4cc9-9170-a5b65cc44e41"]},{"id":"ITEM-2","itemData":{"DOI":"10.1080/000368499323698","ISSN":"00036846","abstract":"This study uses multivariate cointegration techniques and attempts to model the dynamic interactions between government size and economic growth in a five-variable system consisting of the growth rates of GDP, total government spending, investment, exports, and imports. Using data on ten OECD countries the analysis shows: (i) Government size Granger-causes growth in all the countries with some disparities concerning the proportion by which government size contributes to explaining future changes in the growth rates. An innovation shock at the growth rate of government size generates a permanent effect on the growth rate of GDP that, for some countries, reaches from 26% to 60% of the total change in growth: (ii) Government size also Granger-causes investment and international trade and, for some countries government size Granger-causes growth indirectly either through investment or the trade variables; and (iii) In almost all countries, international trade and investment generate permanent effects on growth. In particular we found that exports and imports do not have the same effects on growth as is the case in cross-country growth models.","author":[{"dropping-particle":"","family":"Ghali","given":"Khalifa H.","non-dropping-particle":"","parse-names":false,"suffix":""}],"container-title":"Applied Economics","id":"ITEM-2","issue":"8","issued":{"date-parts":[["1999"]]},"page":"975-987","title":"Government size and economic growth: Evidence from a multivariate cointegration analysis","type":"article-journal","volume":"31"},"uris":["http://www.mendeley.com/documents/?uuid=00cfb34f-45d9-44a4-a35f-79d4aaf01ba3"]}],"mendeley":{"formattedCitation":"(Ghali, 1999; Ram, 1986)","plainTextFormattedCitation":"(Ghali, 1999; Ram, 1986)","previouslyFormattedCitation":"(Ghali, 1999; Ram, 1986)"},"properties":{"noteIndex":0},"schema":"https://github.com/citation-style-language/schema/raw/master/csl-citation.json"}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(Ghali, 1999; Ram, 1986)</w:t>
      </w:r>
      <w:r w:rsidRPr="00B57AB7">
        <w:rPr>
          <w:rFonts w:ascii="Garamond" w:hAnsi="Garamond"/>
          <w:lang w:val="en-US"/>
        </w:rPr>
        <w:fldChar w:fldCharType="end"/>
      </w:r>
      <w:r w:rsidRPr="00B57AB7">
        <w:rPr>
          <w:rFonts w:ascii="Garamond" w:hAnsi="Garamond"/>
          <w:lang w:val="en-US"/>
        </w:rPr>
        <w:t xml:space="preserve">; as  Public participation in the economy reduces the available opportunities for private enterprises. Furthermore, laissez-faire economists view the government as an inefficient economic actor </w:t>
      </w:r>
      <w:r w:rsidRPr="00B57AB7">
        <w:rPr>
          <w:rFonts w:ascii="Garamond" w:hAnsi="Garamond"/>
          <w:lang w:val="en-US"/>
        </w:rPr>
        <w:fldChar w:fldCharType="begin" w:fldLock="1"/>
      </w:r>
      <w:r w:rsidRPr="00B57AB7">
        <w:rPr>
          <w:rFonts w:ascii="Garamond" w:hAnsi="Garamond"/>
          <w:lang w:val="en-US"/>
        </w:rPr>
        <w:instrText>ADDIN CSL_CITATION {"citationItems":[{"id":"ITEM-1","itemData":{"DOI":"10.1080/000368499323698","ISSN":"00036846","abstract":"This study uses multivariate cointegration techniques and attempts to model the dynamic interactions between government size and economic growth in a five-variable system consisting of the growth rates of GDP, total government spending, investment, exports, and imports. Using data on ten OECD countries the analysis shows: (i) Government size Granger-causes growth in all the countries with some disparities concerning the proportion by which government size contributes to explaining future changes in the growth rates. An innovation shock at the growth rate of government size generates a permanent effect on the growth rate of GDP that, for some countries, reaches from 26% to 60% of the total change in growth: (ii) Government size also Granger-causes investment and international trade and, for some countries government size Granger-causes growth indirectly either through investment or the trade variables; and (iii) In almost all countries, international trade and investment generate permanent effects on growth. In particular we found that exports and imports do not have the same effects on growth as is the case in cross-country growth models.","author":[{"dropping-particle":"","family":"Ghali","given":"Khalifa H.","non-dropping-particle":"","parse-names":false,"suffix":""}],"container-title":"Applied Economics","id":"ITEM-1","issue":"8","issued":{"date-parts":[["1999"]]},"page":"975-987","title":"Government size and economic growth: Evidence from a multivariate cointegration analysis","type":"article-journal","volume":"31"},"uris":["http://www.mendeley.com/documents/?uuid=00cfb34f-45d9-44a4-a35f-79d4aaf01ba3"]},{"id":"ITEM-2","itemData":{"author":[{"dropping-particle":"","family":"Landau","given":"Daniel","non-dropping-particle":"","parse-names":false,"suffix":""}],"container-title":"Southern Economic Journal","id":"ITEM-2","issue":"3","issued":{"date-parts":[["1983"]]},"page":"783-792","title":"Government Expenditure and Economic Growth : Government Expenditure A Cross-Country Study","type":"article-journal","volume":"49"},"uris":["http://www.mendeley.com/documents/?uuid=1eba4d93-5f2e-4b1a-a1c2-57a78f2dbe5c"]}],"mendeley":{"formattedCitation":"(Ghali, 1999; Landau, 1983)","plainTextFormattedCitation":"(Ghali, 1999; Landau, 1983)","previouslyFormattedCitation":"(Ghali, 1999; Landau, 1983)"},"properties":{"noteIndex":0},"schema":"https://github.com/citation-style-language/schema/raw/master/csl-citation.json"}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(Ghali, 1999; Landau, 1983)</w:t>
      </w:r>
      <w:r w:rsidRPr="00B57AB7">
        <w:rPr>
          <w:rFonts w:ascii="Garamond" w:hAnsi="Garamond"/>
          <w:lang w:val="en-US"/>
        </w:rPr>
        <w:fldChar w:fldCharType="end"/>
      </w:r>
      <w:r w:rsidRPr="00B57AB7">
        <w:rPr>
          <w:rFonts w:ascii="Garamond" w:hAnsi="Garamond"/>
          <w:lang w:val="en-US"/>
        </w:rPr>
        <w:t xml:space="preserve">. According to this point of view, government interventions like subsidies programs and public investments are inefficient, have a high opportunity cost and distort economic incentives, and lower the productivity of the economic system </w:t>
      </w:r>
      <w:r w:rsidRPr="00B57AB7">
        <w:rPr>
          <w:rFonts w:ascii="Garamond" w:hAnsi="Garamond"/>
          <w:lang w:val="en-US"/>
        </w:rPr>
        <w:fldChar w:fldCharType="begin" w:fldLock="1"/>
      </w:r>
      <w:r w:rsidRPr="00B57AB7">
        <w:rPr>
          <w:rFonts w:ascii="Garamond" w:hAnsi="Garamond"/>
          <w:lang w:val="en-US"/>
        </w:rPr>
        <w:instrText>ADDIN CSL_CITATION {"citationItems":[{"id":"ITEM-1","itemData":{"ISBN":"00028282","ISSN":"00028282","abstract":"The article discusses the impact of government size on economic performance and growth. Theoretically, one point of view suggests that a larger government size is likely to be detrimental to efficiency and economic growth because, for example, government operations are often conducted inefficiently, the regulatory process imposes excessive burdens and costs on the economic system and many of government's fiscal and monetary policies tend to distort economic incentives and lower the productivity of the system. The article claims that the overall impact of government size on growth is positive in almost all cases, the marginal externality effect of government size is generally positive, compared with the rest of the economy, factor productivity in the government sector appears to be higher, at least during the 1960s and the number of time-series observations for each country is relatively small. There is a broad harmony between the estimates obtained from cross-section and time-series data.","author":[{"dropping-particle":"","family":"Ram","given":"R.","non-dropping-particle":"","parse-names":false,"suffix":""}],"container-title":"American Economic Review","id":"ITEM-1","issue":"1","issued":{"date-parts":[["1986"]]},"page":"191-203","title":"Government size and economic growth: A new framework and some evidence from cross-section and time-series data","type":"article-journal","volume":"76"},"uris":["http://www.mendeley.com/documents/?uuid=a363e69e-9962-4cc9-9170-a5b65cc44e41"]}],"mendeley":{"formattedCitation":"(Ram, 1986)","plainTextFormattedCitation":"(Ram, 1986)","previouslyFormattedCitation":"(Ram, 1986)"},"properties":{"noteIndex":0},"schema":"https://github.com/citation-style-language/schema/raw/master/csl-citation.json"}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(Ram, 1986)</w:t>
      </w:r>
      <w:r w:rsidRPr="00B57AB7">
        <w:rPr>
          <w:rFonts w:ascii="Garamond" w:hAnsi="Garamond"/>
          <w:lang w:val="en-US"/>
        </w:rPr>
        <w:fldChar w:fldCharType="end"/>
      </w:r>
      <w:r w:rsidRPr="00B57AB7">
        <w:rPr>
          <w:rFonts w:ascii="Garamond" w:hAnsi="Garamond"/>
          <w:lang w:val="en-US"/>
        </w:rPr>
        <w:t>.</w:t>
      </w:r>
    </w:p>
    <w:p w14:paraId="1DC4A1DA" w14:textId="14B1C38A" w:rsidR="00F640BA" w:rsidRPr="00B57AB7" w:rsidRDefault="00F640BA" w:rsidP="00BD2132">
      <w:pPr>
        <w:tabs>
          <w:tab w:val="left" w:pos="7470"/>
        </w:tabs>
        <w:spacing w:before="120" w:after="120" w:line="276" w:lineRule="auto"/>
        <w:jc w:val="both"/>
        <w:rPr>
          <w:rFonts w:ascii="Garamond" w:hAnsi="Garamond"/>
          <w:lang w:val="en-US"/>
        </w:rPr>
      </w:pPr>
      <w:r w:rsidRPr="00B57AB7">
        <w:rPr>
          <w:rFonts w:ascii="Garamond" w:hAnsi="Garamond"/>
          <w:lang w:val="en-US"/>
        </w:rPr>
        <w:t>A more elaborate explanation</w:t>
      </w:r>
      <w:r w:rsidR="00706702" w:rsidRPr="00B57AB7">
        <w:rPr>
          <w:rFonts w:ascii="Garamond" w:hAnsi="Garamond"/>
          <w:lang w:val="en-US"/>
        </w:rPr>
        <w:t xml:space="preserve"> of the spending-growth nexus</w:t>
      </w:r>
      <w:r w:rsidRPr="00B57AB7">
        <w:rPr>
          <w:rFonts w:ascii="Garamond" w:hAnsi="Garamond"/>
          <w:lang w:val="en-US"/>
        </w:rPr>
        <w:t xml:space="preserve"> is that the relationship change</w:t>
      </w:r>
      <w:r w:rsidR="00706702" w:rsidRPr="00B57AB7">
        <w:rPr>
          <w:rFonts w:ascii="Garamond" w:hAnsi="Garamond"/>
          <w:lang w:val="en-US"/>
        </w:rPr>
        <w:t>s</w:t>
      </w:r>
      <w:r w:rsidRPr="00B57AB7">
        <w:rPr>
          <w:rFonts w:ascii="Garamond" w:hAnsi="Garamond"/>
          <w:lang w:val="en-US"/>
        </w:rPr>
        <w:t xml:space="preserve"> according to the degree of government intervention and the composition of its spending </w:t>
      </w:r>
      <w:r w:rsidRPr="00B57AB7">
        <w:rPr>
          <w:rFonts w:ascii="Garamond" w:hAnsi="Garamond"/>
          <w:lang w:val="en-US"/>
        </w:rPr>
        <w:fldChar w:fldCharType="begin" w:fldLock="1"/>
      </w:r>
      <w:r w:rsidR="00CC117C" w:rsidRPr="00B57AB7">
        <w:rPr>
          <w:rFonts w:ascii="Garamond" w:hAnsi="Garamond"/>
          <w:lang w:val="en-US"/>
        </w:rPr>
        <w:instrText>ADDIN CSL_CITATION {"citationItems":[{"id":"ITEM-1","itemData":{"DOI":"10.2478/foli-2019-0015","ISBN":"0000000329","ISSN":"1898-0198","abstract":"Research background: Although a number of studies have been conducted on the relationship between public expenditure and economic growth, it is difficult to tell with certainty whether or not an increase in public expenditure is good for economic growth. This lack of consensus on the results of the previous empirical findings makes this study of paramount importance as we take stock of the available empirical evidence from the 1980s to date. Purpose: In this paper, theoretical and empirical literature on the relationship between government expenditure and economic growth has been reviewed in detail. Focus was placed on the review of literature that assessed the impact of government spending on economic growth. Research Methodology: This study grouped studies on the impact of public expenditure on economic growth based on their results. Three groups emerged – positive impact, negative impact and no impact. This was followed by a review of each relevant study and an evaluation of which outcome was more prevalent among the existing studies on the subject. Results: The literature reviewed has shown that the impact of government spending on economic growth is not clear cut. It varies from positive to negative; with some studies even finding no impact. Although the impact of government spending on economic growth was found to be inconclusive, the scale tilts towards a positive impact. Novelty: The study provides an insight into the relationship between public expenditure and economic growth based on a comprehensive review of previous empirical evidence across various countries since the 1980s.","author":[{"dropping-particle":"","family":"Nyasha","given":"Sheilla","non-dropping-particle":"","parse-names":false,"suffix":""},{"dropping-particle":"","family":"Odhiambo","given":"Nicholas M.","non-dropping-particle":"","parse-names":false,"suffix":""}],"container-title":"Folia Oeconomica Stetinensia","id":"ITEM-1","issue":"2","issued":{"date-parts":[["2019"]]},"page":"81-101","title":"The Impact of Public Expenditure on Economic Growth: A Review of International Literature","type":"article-journal","volume":"19"},"uris":["http://www.mendeley.com/documents/?uuid=8f12b05a-a32e-4580-a3e8-63372b2334ba"]}],"mendeley":{"formattedCitation":"(Nyasha &amp; Odhiambo, 2019)","plainTextFormattedCitation":"(Nyasha &amp; Odhiambo, 2019)","previouslyFormattedCitation":"(Nyasha &amp; Odhiambo, 2019)"},"properties":{"noteIndex":0},"schema":"https://github.com/citation-style-language/schema/raw/master/csl-citation.json"}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lang w:val="en-US"/>
        </w:rPr>
        <w:t xml:space="preserve">(Nyasha </w:t>
      </w:r>
      <w:r w:rsidR="00CC117C" w:rsidRPr="00B57AB7">
        <w:rPr>
          <w:rFonts w:ascii="Garamond" w:hAnsi="Garamond"/>
          <w:noProof/>
          <w:lang w:val="en-US"/>
        </w:rPr>
        <w:lastRenderedPageBreak/>
        <w:t>&amp; Odhiambo, 2019)</w:t>
      </w:r>
      <w:r w:rsidRPr="00B57AB7">
        <w:rPr>
          <w:rFonts w:ascii="Garamond" w:hAnsi="Garamond"/>
          <w:lang w:val="en-US"/>
        </w:rPr>
        <w:fldChar w:fldCharType="end"/>
      </w:r>
      <w:r w:rsidRPr="00B57AB7">
        <w:rPr>
          <w:rFonts w:ascii="Garamond" w:hAnsi="Garamond"/>
          <w:lang w:val="en-US"/>
        </w:rPr>
        <w:t xml:space="preserve">. </w:t>
      </w:r>
      <w:r w:rsidR="00BD2132">
        <w:rPr>
          <w:rFonts w:ascii="Garamond" w:hAnsi="Garamond"/>
          <w:lang w:val="en-US"/>
        </w:rPr>
        <w:t xml:space="preserve"> </w:t>
      </w:r>
      <w:r w:rsidRPr="00B57AB7">
        <w:rPr>
          <w:rFonts w:ascii="Garamond" w:hAnsi="Garamond"/>
          <w:lang w:val="en-US"/>
        </w:rPr>
        <w:t>According to</w:t>
      </w:r>
      <w:r w:rsidR="00CA49AC">
        <w:rPr>
          <w:rFonts w:ascii="Garamond" w:hAnsi="Garamond"/>
          <w:lang w:val="en-US"/>
        </w:rPr>
        <w:t xml:space="preserve"> </w:t>
      </w:r>
      <w:r w:rsidR="00CA49AC">
        <w:rPr>
          <w:rFonts w:ascii="Garamond" w:hAnsi="Garamond"/>
          <w:lang w:val="en-US"/>
        </w:rPr>
        <w:fldChar w:fldCharType="begin" w:fldLock="1"/>
      </w:r>
      <w:r w:rsidR="00CA49AC">
        <w:rPr>
          <w:rFonts w:ascii="Garamond" w:hAnsi="Garamond"/>
          <w:lang w:val="en-US"/>
        </w:rPr>
        <w:instrText>ADDIN CSL_CITATION {"citationItems":[{"id":"ITEM-1","itemData":{"DOI":"10.1086/261726","ISSN":"0022-3808","abstract":"This paper examines the extent of interindustry wage differences for nonunion workers and finds that even after controlling for a wide range of individual characteristics and geographic location a substantial amount of individual wage variation can be accounted for by industry differences. In the aggregate industry effects explain at least 6.7% of inter-personal wage variation. At most they explain 30%. While the importance of industry differences is clear, the reasons for the differences are more difficult to establish. Independent of the problems of interpreting the correlates of industry differences, even the sign of the relation of many variables with wages is difficult to establish when other variables are included as controls. This conclusion is suggested by a literature review and confirmed by an analysis of a large number of alternative specifications of an industry wage equation using individual wage data from the CPS and industry characteristics from a number of recent sources. Only industry average education and industry profitability have the same (positive) sign in every specification and in all the studies reviewed. Of these two only average education was nearly always significantly related to wages. Average establishment size had a nearly consistent positive relation. What does emerge from the analysis is a pattern of correlations. There appears to be one major dimension (and perhaps other less important dimensions) along which industries differ. A principal components analysis of an industry characteristics data set is used to demonstrate this. High wage industries have lower quit rates, higher labor productivity, fewer women, more educated workers, longer work weeks, a higher ratio of nonwage to wage compensation, higher unionization rates, larger establishments and firms, higher concentration ratios and are more profitable. An analysis of a limited number of industry characteristics in 1939 yields a similar pattern. The implications of these results for alternative theories of wage determination are considered.","author":[{"dropping-particle":"","family":"Barro","given":"Robert J.","non-dropping-particle":"","parse-names":false,"suffix":""}],"container-title":"Journal of Political Economy","id":"ITEM-1","issue":"5, Part 2","issued":{"date-parts":[["1990"]]},"page":"S103-S125","title":"Government Spending in a Simple Model of Endogeneous Growth","type":"article-journal","volume":"98"},"uris":["http://www.mendeley.com/documents/?uuid=d76ed7d1-dcde-4d30-aa84-0f036240015d"]}],"mendeley":{"formattedCitation":"(Barro, 1990)","manualFormatting":"Barro (1990)","plainTextFormattedCitation":"(Barro, 1990)","previouslyFormattedCitation":"(Barro, 1990)"},"properties":{"noteIndex":0},"schema":"https://github.com/citation-style-language/schema/raw/master/csl-citation.json"}</w:instrText>
      </w:r>
      <w:r w:rsidR="00CA49AC">
        <w:rPr>
          <w:rFonts w:ascii="Garamond" w:hAnsi="Garamond"/>
          <w:lang w:val="en-US"/>
        </w:rPr>
        <w:fldChar w:fldCharType="separate"/>
      </w:r>
      <w:r w:rsidR="00CA49AC" w:rsidRPr="00CA49AC">
        <w:rPr>
          <w:rFonts w:ascii="Garamond" w:hAnsi="Garamond"/>
          <w:noProof/>
          <w:lang w:val="en-US"/>
        </w:rPr>
        <w:t xml:space="preserve">Barro </w:t>
      </w:r>
      <w:r w:rsidR="00CA49AC">
        <w:rPr>
          <w:rFonts w:ascii="Garamond" w:hAnsi="Garamond"/>
          <w:noProof/>
          <w:lang w:val="en-US"/>
        </w:rPr>
        <w:t>(</w:t>
      </w:r>
      <w:r w:rsidR="00CA49AC" w:rsidRPr="00CA49AC">
        <w:rPr>
          <w:rFonts w:ascii="Garamond" w:hAnsi="Garamond"/>
          <w:noProof/>
          <w:lang w:val="en-US"/>
        </w:rPr>
        <w:t>1990)</w:t>
      </w:r>
      <w:r w:rsidR="00CA49AC">
        <w:rPr>
          <w:rFonts w:ascii="Garamond" w:hAnsi="Garamond"/>
          <w:lang w:val="en-US"/>
        </w:rPr>
        <w:fldChar w:fldCharType="end"/>
      </w:r>
      <w:r w:rsidR="00CA49AC">
        <w:rPr>
          <w:rFonts w:ascii="Garamond" w:hAnsi="Garamond"/>
          <w:lang w:val="en-US"/>
        </w:rPr>
        <w:t xml:space="preserve"> and </w:t>
      </w:r>
      <w:r w:rsidR="00CA49AC">
        <w:rPr>
          <w:rFonts w:ascii="Garamond" w:hAnsi="Garamond"/>
          <w:lang w:val="en-US"/>
        </w:rPr>
        <w:fldChar w:fldCharType="begin" w:fldLock="1"/>
      </w:r>
      <w:r w:rsidR="005C1EF6">
        <w:rPr>
          <w:rFonts w:ascii="Garamond" w:hAnsi="Garamond"/>
          <w:lang w:val="en-US"/>
        </w:rPr>
        <w:instrText>ADDIN CSL_CITATION {"citationItems":[{"id":"ITEM-1","itemData":{"abstract":"Lowness of interest is generally ascribed to plenty of money. But ? augmentation [in the quantity of money] has no other effect than to heighten the price of labour and commodities ? In the progress toward these changes, the augmentation may have some influence, by exciting industry, but after the prices are settled ? it has no manner of influence. [T]hough the high price of commodities be a necessary consequence of the increase of gold and silver, yet it follows not immediately upon that increase; but some time is required before the money circulates through the whole state?. In my opinion, it is only in this interval of intermediate situation, between the acquisition of money and rise of prices, that the increasing quantity of gold and silver is favourable to industry?. [W]e may conclude that it is of no manner of consequence, with regard to the domestic happiness of a state, whether money be in greater or less quantity. The good policy of the magistrate consists only in keeping it, if possible, still increasing ? (David Hume, 1752). In","author":[{"dropping-particle":"","family":"Friedman","given":"Milton","non-dropping-particle":"","parse-names":false,"suffix":""}],"container-title":"Wall Street Jounal","id":"ITEM-1","issue":"July","issued":{"date-parts":[["1997"]]},"page":"12-14","title":"If Only the U.S. Were as Free as Hong Kong","type":"article-magazine"},"uris":["http://www.mendeley.com/documents/?uuid=40e07d68-99df-433b-92c3-17a3051b9130"]}],"mendeley":{"formattedCitation":"(Friedman, 1997)","manualFormatting":"Friedman (1997)","plainTextFormattedCitation":"(Friedman, 1997)","previouslyFormattedCitation":"(Friedman, 1997)"},"properties":{"noteIndex":0},"schema":"https://github.com/citation-style-language/schema/raw/master/csl-citation.json"}</w:instrText>
      </w:r>
      <w:r w:rsidR="00CA49AC">
        <w:rPr>
          <w:rFonts w:ascii="Garamond" w:hAnsi="Garamond"/>
          <w:lang w:val="en-US"/>
        </w:rPr>
        <w:fldChar w:fldCharType="separate"/>
      </w:r>
      <w:r w:rsidR="00CA49AC" w:rsidRPr="00CA49AC">
        <w:rPr>
          <w:rFonts w:ascii="Garamond" w:hAnsi="Garamond"/>
          <w:noProof/>
          <w:lang w:val="en-US"/>
        </w:rPr>
        <w:t xml:space="preserve">Friedman </w:t>
      </w:r>
      <w:r w:rsidR="00CA49AC">
        <w:rPr>
          <w:rFonts w:ascii="Garamond" w:hAnsi="Garamond"/>
          <w:noProof/>
          <w:lang w:val="en-US"/>
        </w:rPr>
        <w:t>(</w:t>
      </w:r>
      <w:r w:rsidR="00CA49AC" w:rsidRPr="00CA49AC">
        <w:rPr>
          <w:rFonts w:ascii="Garamond" w:hAnsi="Garamond"/>
          <w:noProof/>
          <w:lang w:val="en-US"/>
        </w:rPr>
        <w:t>1997)</w:t>
      </w:r>
      <w:r w:rsidR="00CA49AC">
        <w:rPr>
          <w:rFonts w:ascii="Garamond" w:hAnsi="Garamond"/>
          <w:lang w:val="en-US"/>
        </w:rPr>
        <w:fldChar w:fldCharType="end"/>
      </w:r>
      <w:r w:rsidRPr="00B57AB7">
        <w:rPr>
          <w:rFonts w:ascii="Garamond" w:hAnsi="Garamond"/>
          <w:lang w:val="en-US"/>
        </w:rPr>
        <w:t xml:space="preserve">, government spending plays an important role in promoting economic growth but just up to a certain “optimal” point. After this point, more government intervention hinders economic growth. This inverted U-shaped curve dynamic relationship between government spending and economic growth is argued to be a mixed result of the public goods effect and the law of decreasing marginal returns </w:t>
      </w:r>
      <w:r w:rsidRPr="00B57AB7">
        <w:rPr>
          <w:rFonts w:ascii="Garamond" w:hAnsi="Garamond"/>
          <w:lang w:val="en-US"/>
        </w:rPr>
        <w:fldChar w:fldCharType="begin" w:fldLock="1"/>
      </w:r>
      <w:r w:rsidRPr="00B57AB7">
        <w:rPr>
          <w:rFonts w:ascii="Garamond" w:hAnsi="Garamond"/>
          <w:lang w:val="en-US"/>
        </w:rPr>
        <w:instrText>ADDIN CSL_CITATION {"citationItems":[{"id":"ITEM-1","itemData":{"ISSN":"15829146","abstract":"The paper is consacrated to the binomial \"public budget-global output\" from the BARS curve perspective. The first section characterizes the main conceptual premises of this approach. The second is devoted to empirical analysis, using the statistical data (1990-2013) for Romania, an European emergent economy: three cointegrating regressions (fully modified least squares, canonical cointegrating regression and dynamic least squares) and three algorithms based on instrumental variables (two-stage least squares, generalized method of moments, and limited information maximum likelihood) are used. Some conclusions are presented.","author":[{"dropping-particle":"","family":"Dobrescu","given":"Emilian","non-dropping-particle":"","parse-names":false,"suffix":""}],"container-title":"Amfiteatru Economic","id":"ITEM-1","issue":"39","issued":{"date-parts":[["2015"]]},"page":"693-705","title":"BARS curve in Romanian economy","type":"article-journal","volume":"17"},"uris":["http://www.mendeley.com/documents/?uuid=c086519c-b067-4866-a846-4f2df7e00707"]}],"mendeley":{"formattedCitation":"(Dobrescu, 2015)","plainTextFormattedCitation":"(Dobrescu, 2015)","previouslyFormattedCitation":"(Dobrescu, 2015)"},"properties":{"noteIndex":0},"schema":"https://github.com/citation-style-language/schema/raw/master/csl-citation.json"}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(Dobrescu, 2015)</w:t>
      </w:r>
      <w:r w:rsidRPr="00B57AB7">
        <w:rPr>
          <w:rFonts w:ascii="Garamond" w:hAnsi="Garamond"/>
          <w:lang w:val="en-US"/>
        </w:rPr>
        <w:fldChar w:fldCharType="end"/>
      </w:r>
      <w:r w:rsidRPr="00B57AB7">
        <w:rPr>
          <w:rFonts w:ascii="Garamond" w:hAnsi="Garamond"/>
          <w:lang w:val="en-US"/>
        </w:rPr>
        <w:t xml:space="preserve">. </w:t>
      </w:r>
    </w:p>
    <w:p w14:paraId="582758EB" w14:textId="0B6E3174" w:rsidR="00CA49AC" w:rsidRPr="00B57AB7"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t xml:space="preserve">Furthermore, even productive spending could become unproductive if used in excess </w:t>
      </w:r>
      <w:r w:rsidRPr="00B57AB7">
        <w:rPr>
          <w:rFonts w:ascii="Garamond" w:hAnsi="Garamond"/>
          <w:lang w:val="en-US"/>
        </w:rPr>
        <w:fldChar w:fldCharType="begin" w:fldLock="1"/>
      </w:r>
      <w:r w:rsidRPr="00B57AB7">
        <w:rPr>
          <w:rFonts w:ascii="Garamond" w:hAnsi="Garamond"/>
          <w:lang w:val="en-US"/>
        </w:rPr>
        <w:instrText>ADDIN CSL_CITATION {"citationItems":[{"id":"ITEM-1","itemData":{"abstract":"Noting that the literature has focused on the link between the level of public expenditure and growth, we derive conditions under which a change in the composition of expenditure leads to a higher steady-state growth rate of the economy. The conditions depend not just on the physical productivity of the different components of public expenditure but also on the initial shares. Using data from 43 developing countries over 20 years we show that an increase in the share of current expenditure has positive and statistically significant growth effects. By contrast, the relationship between the capital component of public expenditure and per-capita growth is negative. Thus, seemingly productive expenditures, when used in excess, could become unproductive. These results imply that developing-country governments have been misallocating public expenditures in favor of capital expenditures at the expense of current expenditures.","author":[{"dropping-particle":"","family":"Devarajan","given":"Shantayanan","non-dropping-particle":"","parse-names":false,"suffix":""},{"dropping-particle":"","family":"Swaroop","given":"Vinaya","non-dropping-particle":"","parse-names":false,"suffix":""},{"dropping-particle":"","family":"Zou","given":"Heng-fu","non-dropping-particle":"","parse-names":false,"suffix":""}],"container-title":"Journal Monetary Economics","id":"ITEM-1","issued":{"date-parts":[["1996"]]},"page":"313 344","title":"The composition of public expenditure and economic growth","type":"article-journal","volume":"37"},"uris":["http://www.mendeley.com/documents/?uuid=f851f199-c732-4171-8f06-cc113a9a9142"]}],"mendeley":{"formattedCitation":"(Devarajan et al., 1996)","plainTextFormattedCitation":"(Devarajan et al., 1996)","previouslyFormattedCitation":"(Devarajan et al., 1996)"},"properties":{"noteIndex":0},"schema":"https://github.com/citation-style-language/schema/raw/master/csl-citation.json"}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(Devarajan et al., 1996)</w:t>
      </w:r>
      <w:r w:rsidRPr="00B57AB7">
        <w:rPr>
          <w:rFonts w:ascii="Garamond" w:hAnsi="Garamond"/>
          <w:lang w:val="en-US"/>
        </w:rPr>
        <w:fldChar w:fldCharType="end"/>
      </w:r>
      <w:r w:rsidRPr="00B57AB7">
        <w:rPr>
          <w:rFonts w:ascii="Garamond" w:hAnsi="Garamond"/>
          <w:lang w:val="en-US"/>
        </w:rPr>
        <w:t xml:space="preserve">. According to </w:t>
      </w:r>
      <w:r w:rsidRPr="00B57AB7">
        <w:rPr>
          <w:rFonts w:ascii="Garamond" w:hAnsi="Garamond"/>
          <w:lang w:val="en-US"/>
        </w:rPr>
        <w:fldChar w:fldCharType="begin" w:fldLock="1"/>
      </w:r>
      <w:r w:rsidR="00CA49AC">
        <w:rPr>
          <w:rFonts w:ascii="Garamond" w:hAnsi="Garamond"/>
          <w:lang w:val="en-US"/>
        </w:rPr>
        <w:instrText>ADDIN CSL_CITATION {"citationItems":[{"id":"ITEM-1","itemData":{"abstract":"Noting that the literature has focused on the link between the level of public expenditure and growth, we derive conditions under which a change in the composition of expenditure leads to a higher steady-state growth rate of the economy. The conditions depend not just on the physical productivity of the different components of public expenditure but also on the initial shares. Using data from 43 developing countries over 20 years we show that an increase in the share of current expenditure has positive and statistically significant growth effects. By contrast, the relationship between the capital component of public expenditure and per-capita growth is negative. Thus, seemingly productive expenditures, when used in excess, could become unproductive. These results imply that developing-country governments have been misallocating public expenditures in favor of capital expenditures at the expense of current expenditures.","author":[{"dropping-particle":"","family":"Devarajan","given":"Shantayanan","non-dropping-particle":"","parse-names":false,"suffix":""},{"dropping-particle":"","family":"Swaroop","given":"Vinaya","non-dropping-particle":"","parse-names":false,"suffix":""},{"dropping-particle":"","family":"Zou","given":"Heng-fu","non-dropping-particle":"","parse-names":false,"suffix":""}],"container-title":"Journal Monetary Economics","id":"ITEM-1","issued":{"date-parts":[["1996"]]},"page":"313 344","title":"The composition of public expenditure and economic growth","type":"article-journal","volume":"37"},"uris":["http://www.mendeley.com/documents/?uuid=f851f199-c732-4171-8f06-cc113a9a9142"]}],"mendeley":{"formattedCitation":"(Devarajan et al., 1996)","manualFormatting":"Devarajan et al (1996)","plainTextFormattedCitation":"(Devarajan et al., 1996)","previouslyFormattedCitation":"(Devarajan et al., 1996)"},"properties":{"noteIndex":0},"schema":"https://github.com/citation-style-language/schema/raw/master/csl-citation.json"}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 xml:space="preserve">Devarajan et al </w:t>
      </w:r>
      <w:r w:rsidR="00CA49AC">
        <w:rPr>
          <w:rFonts w:ascii="Garamond" w:hAnsi="Garamond"/>
          <w:noProof/>
          <w:lang w:val="en-US"/>
        </w:rPr>
        <w:t>(</w:t>
      </w:r>
      <w:r w:rsidRPr="00B57AB7">
        <w:rPr>
          <w:rFonts w:ascii="Garamond" w:hAnsi="Garamond"/>
          <w:noProof/>
          <w:lang w:val="en-US"/>
        </w:rPr>
        <w:t>1996)</w:t>
      </w:r>
      <w:r w:rsidRPr="00B57AB7">
        <w:rPr>
          <w:rFonts w:ascii="Garamond" w:hAnsi="Garamond"/>
          <w:lang w:val="en-US"/>
        </w:rPr>
        <w:fldChar w:fldCharType="end"/>
      </w:r>
      <w:r w:rsidRPr="00B57AB7">
        <w:rPr>
          <w:rFonts w:ascii="Garamond" w:hAnsi="Garamond"/>
          <w:lang w:val="en-US"/>
        </w:rPr>
        <w:t xml:space="preserve">, it is the mix between productive and unproductive government spending, not its level, that has an impact on economic growth. Thus, </w:t>
      </w:r>
      <w:r w:rsidR="00706702" w:rsidRPr="00B57AB7">
        <w:rPr>
          <w:rFonts w:ascii="Garamond" w:hAnsi="Garamond"/>
          <w:lang w:val="en-US"/>
        </w:rPr>
        <w:t>studying the effect of government spending composition on growth can lead to more interesting results.</w:t>
      </w:r>
      <w:r w:rsidRPr="00B57AB7">
        <w:rPr>
          <w:rFonts w:ascii="Garamond" w:hAnsi="Garamond"/>
          <w:lang w:val="en-US"/>
        </w:rPr>
        <w:t xml:space="preserve">  To settle this debate, extensive empirical work has been conducted to measure the growth effect of government spending in developing countries </w:t>
      </w:r>
      <w:r w:rsidRPr="00B57AB7">
        <w:rPr>
          <w:rFonts w:ascii="Garamond" w:hAnsi="Garamond"/>
          <w:lang w:val="en-US"/>
        </w:rPr>
        <w:fldChar w:fldCharType="begin" w:fldLock="1"/>
      </w:r>
      <w:r w:rsidR="00CC117C" w:rsidRPr="00B57AB7">
        <w:rPr>
          <w:rFonts w:ascii="Garamond" w:hAnsi="Garamond"/>
          <w:lang w:val="en-US"/>
        </w:rPr>
        <w:instrText>ADDIN CSL_CITATION {"citationItems":[{"id":"ITEM-1","itemData":{"DOI":"10.1016/j.iref.2010.10.005","ISSN":"10590560","abstract":"Using a model that accommodates asymmetric adjustments of output growth to changes in growth of government spending, the effects of aggregate and disaggregate government spending variables on output growth are examined. Both cross-section and panel regression estimations are conducted. Robustness of results to joint-endogeneity of output and government spending, alternative conditioning variables, and cointegration is investigated. Aggregate government spending appears to have positive output growth effects particularly in periods of below-trend growth in this variable. The government sector's productivity appears to be higher than non-government sector's productivity when spending growth is below-trend growth and only for non-OECD countries; no differences in sectoral productivities are detected for OECD countries. Government consumption spending has no significant output growth effects, but government investment spending has positive output growth effects particularly when its growth falls below its trend-growth; this favorable effect turns negative when government investment spending growth exceeds its trend-growth. Results are robust across alternative model specifications and estimation methods. © 2010 Elsevier Inc.","author":[{"dropping-particle":"","family":"Wahab","given":"Mahmoud","non-dropping-particle":"","parse-names":false,"suffix":""}],"container-title":"International Review of Economics and Finance","id":"ITEM-1","issue":"4","issued":{"date-parts":[["2011"]]},"page":"574-590","publisher":"Elsevier Inc.","title":"Asymmetric output growth effects of government spending: Cross-sectional and panel data evidence","type":"article-journal","volume":"20"},"uris":["http://www.mendeley.com/documents/?uuid=8529c06c-ae46-47ba-96ee-82a09094b13d"]},{"id":"ITEM-2","itemData":{"abstract":"This paper analyzes the impact of government expenditure and efficiency on economic growth of Sub Saharan African low income countries. The paper uses a panel data of 25 Sub-Saharan African low income countries spanning from 2002-2015 which are obtained from World Development Indicators (WDI) database. The paper executes panel unit root tests by using Im-Pesaran-Shin and Fisher ADF tests. The paper also uses Pedroni test to accomplish panel cointegration tests. Finally Generalized Methods of Moments (GMM) is applied to answer the two research questions. The results demonstrate that increasing government expenditure accelerates economic growth of low income countries in Sub Saharan Africa. However, when government expenditure is interacted with government efficiency we find no evidence for government efficiency to boost the impacts of government expenditure on economic growth. Fiscal policy makers in Sub Saharan African low income region should consider the rationale for using their spending to accelerate economic growth.","author":[{"dropping-particle":"","family":"Kimaro","given":"Edmund Lawrence","non-dropping-particle":"","parse-names":false,"suffix":""},{"dropping-particle":"","family":"Keong","given":"Choong Chee","non-dropping-particle":"","parse-names":false,"suffix":""},{"dropping-particle":"","family":"Sea","given":"Lau Lin","non-dropping-particle":"","parse-names":false,"suffix":""}],"container-title":"African Journal of Economic Review","id":"ITEM-2","issue":"2","issued":{"date-parts":[["2017"]]},"page":"34-54","title":"Government Expenditure, Efficiency and Economic Growth: A Panel Analysis of Sub Saharan African Low Income Countries","type":"article-journal","volume":"5"},"uris":["http://www.mendeley.com/documents/?uuid=8c19cafc-f531-4c30-9305-dab937f2cdfe"]},{"id":"ITEM-3","itemData":{"author":[{"dropping-particle":"","family":"Landau","given":"Daniel","non-dropping-particle":"","parse-names":false,"suffix":""}],"container-title":"Southern Economic Journal","id":"ITEM-3","issue":"3","issued":{"date-parts":[["1983"]]},"page":"783-792","title":"Government Expenditure and Economic Growth : Government Expenditure A Cross-Country Study","type":"article-journal","volume":"49"},"uris":["http://www.mendeley.com/documents/?uuid=1eba4d93-5f2e-4b1a-a1c2-57a78f2dbe5c"]},{"id":"ITEM-4","itemData":{"abstract":"Noting that the literature has focused on the link between the level of public expenditure and growth, we derive conditions under which a change in the composition of expenditure leads to a higher steady-state growth rate of the economy. The conditions depend not just on the physical productivity of the different components of public expenditure but also on the initial shares. Using data from 43 developing countries over 20 years we show that an increase in the share of current expenditure has positive and statistically significant growth effects. By contrast, the relationship between the capital component of public expenditure and per-capita growth is negative. Thus, seemingly productive expenditures, when used in excess, could become unproductive. These results imply that developing-country governments have been misallocating public expenditures in favor of capital expenditures at the expense of current expenditures.","author":[{"dropping-particle":"","family":"Devarajan","given":"Shantayanan","non-dropping-particle":"","parse-names":false,"suffix":""},{"dropping-particle":"","family":"Swaroop","given":"Vinaya","non-dropping-particle":"","parse-names":false,"suffix":""},{"dropping-particle":"","family":"Zou","given":"Heng-fu","non-dropping-particle":"","parse-names":false,"suffix":""}],"container-title":"Journal Monetary Economics","id":"ITEM-4","issued":{"date-parts":[["1996"]]},"page":"313 344","title":"The composition of public expenditure and economic growth","type":"article-journal","volume":"37"},"uris":["http://www.mendeley.com/documents/?uuid=f851f199-c732-4171-8f06-cc113a9a9142"]},{"id":"ITEM-5","itemData":{"DOI":"10.1016/j.jimonfin.2005.01.004","ISSN":"02615606","abstract":"This paper assesses the effects of fiscal consolidation and expenditure composition on economic growth in a sample of 39 low-income countries during the 1990s. The paper finds that strong budgetary positions are generally associated with higher economic growth in both the short and long terms. The composition of public outlays also matters: countries where spending is concentrated on wages tend to have lower growth, while those that allocate higher shares to capital and nonwage goods and services enjoy faster output expansion. Finally, initial fiscal conditions also have a bearing on the nexus between fiscal deficits and growth. © 2005 Elsevier Ltd. All rights reserved.","author":[{"dropping-particle":"","family":"Gupta","given":"Sanjeev","non-dropping-particle":"","parse-names":false,"suffix":""},{"dropping-particle":"","family":"Clemennts","given":"Benedict","non-dropping-particle":"","parse-names":false,"suffix":""},{"dropping-particle":"","family":"Baldacci","given":"Emmanuel","non-dropping-particle":"","parse-names":false,"suffix":""},{"dropping-particle":"","family":"Mulas-Granados","given":"Carlos","non-dropping-particle":"","parse-names":false,"suffix":""}],"container-title":"Journal of International Money and Finance","id":"ITEM-5","issue":"3","issued":{"date-parts":[["2005"]]},"page":"441-463","title":"Fiscal policy, expenditure composition, and growth in low-income countries","type":"article-journal","volume":"24"},"uris":["http://www.mendeley.com/documents/?uuid=143b459d-9c1e-455e-a40e-617c447fe0a0"]},{"id":"ITEM-6","itemData":{"abstract":"In this paper, we examine the growth effects of government expenditure for a panel of 30 developing countries over the 1970s and 1980s, with a particular focus on disaggregated government expenditures. Our methodology improves on previous research on this topic by explicitly recognizing the role of the government budget constraint and the possible biases arising from omitted variables. Our primary results are twofold. First, the share of government capital expenditure in GDP is positively and significantly correlated with economic growth, but current expenditure is insignificant. Second, at the disaggregated level, government investment in education and total expenditures in education are the only outlays that are significantly associated with growth once the budget constraint and omitted variables are taken into consideration.","author":[{"dropping-particle":"","family":"Bose","given":"Niloy","non-dropping-particle":"","parse-names":false,"suffix":""},{"dropping-particle":"","family":"Haque","given":"M Emranul","non-dropping-particle":"","parse-names":false,"suffix":""},{"dropping-particle":"","family":"Osborn","given":"Denise R","non-dropping-particle":"","parse-names":false,"suffix":""}],"container-title":"Journal compilation","id":"ITEM-6","issue":"5","issued":{"date-parts":[["2007"]]},"title":"Public Expenditure and Economic Growth: A Disaggregated Analysis for Developing Countries","type":"article-journal","volume":"75"},"uris":["http://www.mendeley.com/documents/?uuid=14919441-6db4-4610-a13e-1d675e687733"]},{"id":"ITEM-7","itemData":{"DOI":"10.1093/oep/gpn005","ISSN":"00307653","abstract":"In an endogenous growth framework with two public goods with differing productivities, this paper analytically characterizes optimal fiscal policy for a decentralized economy, whereby the optimal values of the growth rate, tax rate and expenditure shares on the two public goods are linked directly to their productivity parameters. Using panel data for 15 developing countries over 28 years, we show using GMM techniques, that current (capital) spending has positive (negative) and significant effects on the growth rate, contrary to commonly held views. For instance, spending on operations and maintenance has a stronger impact on growth than both health and education spending. We consider the various components on the revenue side of the government budget constraint to take into account possible omitted variable bias that could arise if tax revenue alone was considered. © Oxford University Press 2008 All rights reserved.","author":[{"dropping-particle":"","family":"Ghosh","given":"Sugata","non-dropping-particle":"","parse-names":false,"suffix":""},{"dropping-particle":"","family":"Gregoriou","given":"Andros","non-dropping-particle":"","parse-names":false,"suffix":""}],"container-title":"Oxford Economic Papers","id":"ITEM-7","issue":"3","issued":{"date-parts":[["2008"]]},"page":"484-516","title":"The composition of government spending and growth: Is current or capital spending better?","type":"article-journal","volume":"60"},"uris":["http://www.mendeley.com/documents/?uuid=c9b2f7ff-d9d5-40d7-b9a3-3656f0c1952d"]},{"id":"ITEM-8","itemData":{"DOI":"10.1016/j.jeca.2020.e00180","ISSN":"17034949","abstract":"This study examines the asymmetry phenomenon in government spending-growth nexus in ECOWAS. The study adopts the System Generalized Method of Moment within the framework of panel data analysis as proposed by (Arellano &amp; Bover, 1995; Blundell &amp; Bond, 1998) which addresses the issue of potential endogeneity of fiscal variables through the use of internal instruments, and follow in the footsteps of Hatemi-J (2011, 2012), Granger and Yoon (2002) to separate negative shocks from positive shocks to government spending. In addition, we adopt Driscoll and Kraay's nonparametric covariance matrix estimator, to account for cross-section dependency and cross-country heterogeneity inherent in empirical modelling. Our findings reveal that there is evidence of asymmetry in the government spending-economic growth nexus in ECOWAS over the period of study. We find that the response of economic growth to government spending shocks differs according to the nature of shocks on them. More specifically, the cumulative effect of expansionary government spending shocks on economic growth is positive and statistically significant. While the cumulative effect of a contractionary government spending exerts a negative and statistically significant impact on economic growth. Also, we found strong evidence of the existence of an inverted “U-shaped” relationship between government spending and economic growth.","author":[{"dropping-particle":"","family":"Olaoye","given":"Olumide O.","non-dropping-particle":"","parse-names":false,"suffix":""},{"dropping-particle":"","family":"Eluwole","given":"Oluwatosin O.","non-dropping-particle":"","parse-names":false,"suffix":""},{"dropping-particle":"","family":"Ayesha","given":"Aziz","non-dropping-particle":"","parse-names":false,"suffix":""},{"dropping-particle":"","family":"Afolabi","given":"Olugbenga O.","non-dropping-particle":"","parse-names":false,"suffix":""}],"container-title":"Journal of Economic Asymmetries","id":"ITEM-8","issue":"August","issued":{"date-parts":[["2020"]]},"page":"e00180","publisher":"Elsevier Ltd","title":"Government spending and economic growth in ECOWAS: An asymmetric analysis","type":"article-journal","volume":"22"},"uris":["http://www.mendeley.com/documents/?uuid=1091ddb5-556e-4822-8748-ef63ee2f96c6"]},{"id":"ITEM-9","itemData":{"DOI":"10.1016/j.econlet.2015.12.010","ISSN":"01651765","abstract":"We examine the nature of the relationship between government size and economic growth and identify the optimal level of government size using a large dataset through a novel and very general non-linear panel Generalized Method of Moments approach. We show that this relationship is statistically significant above and below the optimal level, even after splitting our sample to developed and developing countries. Finally, we find an asymmetric impact of government size on economic growth in both developed and developing countries around the estimated threshold.","author":[{"dropping-particle":"","family":"Asimakopoulos","given":"Stylianos","non-dropping-particle":"","parse-names":false,"suffix":""},{"dropping-particle":"","family":"Karavias","given":"Yiannis","non-dropping-particle":"","parse-names":false,"suffix":""}],"container-title":"Economics Letters","id":"ITEM-9","issued":{"date-parts":[["2016"]]},"page":"65-68","publisher":"Elsevier B.V.","title":"The impact of government size on economic growth: A threshold analysis","type":"article-journal","volume":"139"},"prefix":"See for instance,","uris":["http://www.mendeley.com/documents/?uuid=7ac96b11-0b54-4e1d-b783-a561603b713e"]},{"id":"ITEM-10","itemData":{"DOI":"10.1016/S1514-0326(11)60017-2","ISSN":"15140326","abstract":"This paper reports the results of a study of the impact of government expenditures on economic growth, emphasizing how government effectiveness influences the efficiency of government spending. The effects of sub-categories of government spending on growth are also examined. Total expenditures are estimated to have negative growth effects for some groupings of developed nations. Consumption expenditures are found to have a detrimental growth effect in developing nations with ineffective governments. Developing nations with ineffective governments benefit from capital expenditures. To stimulate growth, developing nations should limit their governments' consumption spending and invest in infrastructure. © 2011 Universidad del CEMA.","author":[{"dropping-particle":"","family":"Butkiewicz","given":"James L","non-dropping-particle":"","parse-names":false,"suffix":""},{"dropping-particle":"","family":"Yanikkaya","given":"Halit","non-dropping-particle":"","parse-names":false,"suffix":""}],"container-title":"Journal of Applied Economics","id":"ITEM-10","issue":"2","issued":{"date-parts":[["2011"]]},"page":"319-341","title":"Institutions and the impact of government spending on growth","type":"article-journal","volume":"14"},"uris":["http://www.mendeley.com/documents/?uuid=ad0d5e27-577c-46d0-b1ee-17138256f9ef"]}],"mendeley":{"formattedCitation":"(See for instance, Asimakopoulos &amp; Karavias, 2016; Bose et al., 2007; Butkiewicz &amp; Yanikkaya, 2011; Devarajan et al., 1996; Ghosh &amp; Gregoriou, 2008; Gupta et al., 2005; Kimaro et al., 2017; Landau, 1983; Olaoye et al., 2020; Wahab, 2011)","manualFormatting":"(See, for instance, Asimakopoulos and Karavias, 2016; Bose et al., 2007; Butkiewicz and Yanikkaya, 2011; Devarajan et al., 1996; Ghosh and Gregoriou, 2008; Gupta et al., 2005; Kimaro et al., 2017; Landau, 1983; Olaoye et al., 2020; Wahab, 2011)","plainTextFormattedCitation":"(See for instance, Asimakopoulos &amp; Karavias, 2016; Bose et al., 2007; Butkiewicz &amp; Yanikkaya, 2011; Devarajan et al., 1996; Ghosh &amp; Gregoriou, 2008; Gupta et al., 2005; Kimaro et al., 2017; Landau, 1983; Olaoye et al., 2020; Wahab, 2011)","previouslyFormattedCitation":"(See for instance, Asimakopoulos &amp; Karavias, 2016; Bose et al., 2007; Butkiewicz &amp; Yanikkaya, 2011; Devarajan et al., 1996; Ghosh &amp; Gregoriou, 2008; Gupta et al., 2005; Kimaro et al., 2017; Landau, 1983; Olaoye et al., 2020; Wahab, 2011)"},"properties":{"noteIndex":0},"schema":"https://github.com/citation-style-language/schema/raw/master/csl-citation.json"}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(See, for instance, Asimakopoulos and Karavias, 2016; Bose et al., 2007; Butkiewicz and Yanikkaya, 2011; Devarajan et al., 1996; Ghosh and Gregoriou, 2008; Gupta et al., 2005; Kimaro et al., 2017; Landau, 1983; Olaoye et al., 2020; Wahab, 2011)</w:t>
      </w:r>
      <w:r w:rsidRPr="00B57AB7">
        <w:rPr>
          <w:rFonts w:ascii="Garamond" w:hAnsi="Garamond"/>
          <w:lang w:val="en-US"/>
        </w:rPr>
        <w:fldChar w:fldCharType="end"/>
      </w:r>
      <w:r w:rsidR="00706702" w:rsidRPr="00B57AB7">
        <w:rPr>
          <w:rFonts w:ascii="Garamond" w:hAnsi="Garamond"/>
          <w:lang w:val="en-US"/>
        </w:rPr>
        <w:t xml:space="preserve">. </w:t>
      </w:r>
      <w:r w:rsidRPr="00B57AB7">
        <w:rPr>
          <w:rFonts w:ascii="Garamond" w:hAnsi="Garamond"/>
          <w:lang w:val="en-US"/>
        </w:rPr>
        <w:t>The consulted empirical literature yielded conflicting results. These conflicting results may be the results of differences in government structural policies, resource allocation efficiency, and the quality of its institutions</w:t>
      </w:r>
      <w:r w:rsidR="00706702" w:rsidRPr="00B57AB7">
        <w:rPr>
          <w:rFonts w:ascii="Garamond" w:hAnsi="Garamond"/>
          <w:lang w:val="en-US"/>
        </w:rPr>
        <w:t>. A breakdown of the consulted empirical literature on the growth effect of government spending is summarized in appendix</w:t>
      </w:r>
      <w:r w:rsidR="00CA49AC">
        <w:rPr>
          <w:rFonts w:ascii="Garamond" w:hAnsi="Garamond"/>
          <w:lang w:val="en-US"/>
        </w:rPr>
        <w:t xml:space="preserve"> A.</w:t>
      </w:r>
    </w:p>
    <w:p w14:paraId="39B0305A" w14:textId="6281D1CE" w:rsidR="00F640BA" w:rsidRPr="00C81351" w:rsidRDefault="006E31F7" w:rsidP="00A74E5B">
      <w:pPr>
        <w:pStyle w:val="Heading2"/>
        <w:tabs>
          <w:tab w:val="left" w:pos="7470"/>
        </w:tabs>
        <w:spacing w:line="276" w:lineRule="auto"/>
        <w:jc w:val="both"/>
        <w:rPr>
          <w:i w:val="0"/>
          <w:iCs w:val="0"/>
          <w:szCs w:val="24"/>
          <w:lang w:val="en-US"/>
        </w:rPr>
      </w:pPr>
      <w:r w:rsidRPr="00C81351">
        <w:rPr>
          <w:i w:val="0"/>
          <w:iCs w:val="0"/>
          <w:szCs w:val="24"/>
          <w:lang w:val="en-US"/>
        </w:rPr>
        <w:t xml:space="preserve">II.2. </w:t>
      </w:r>
      <w:r w:rsidR="00F640BA" w:rsidRPr="00C81351">
        <w:rPr>
          <w:i w:val="0"/>
          <w:iCs w:val="0"/>
          <w:szCs w:val="24"/>
          <w:lang w:val="en-US"/>
        </w:rPr>
        <w:t xml:space="preserve">The determinants of bank </w:t>
      </w:r>
      <w:bookmarkStart w:id="0" w:name="_Hlk91230204"/>
      <w:r w:rsidR="00F640BA" w:rsidRPr="00C81351">
        <w:rPr>
          <w:i w:val="0"/>
          <w:iCs w:val="0"/>
          <w:szCs w:val="24"/>
          <w:lang w:val="en-US"/>
        </w:rPr>
        <w:t>performance</w:t>
      </w:r>
      <w:bookmarkEnd w:id="0"/>
    </w:p>
    <w:p w14:paraId="373BC064" w14:textId="19F8677C" w:rsidR="00F640BA" w:rsidRPr="00B57AB7" w:rsidRDefault="00F640BA" w:rsidP="004A3A66">
      <w:pPr>
        <w:tabs>
          <w:tab w:val="left" w:pos="7470"/>
        </w:tabs>
        <w:spacing w:before="120" w:after="120" w:line="276" w:lineRule="auto"/>
        <w:jc w:val="both"/>
        <w:rPr>
          <w:rFonts w:ascii="Garamond" w:hAnsi="Garamond"/>
        </w:rPr>
      </w:pPr>
      <w:r w:rsidRPr="00B57AB7">
        <w:rPr>
          <w:rFonts w:ascii="Garamond" w:hAnsi="Garamond"/>
          <w:lang w:val="en-US"/>
        </w:rPr>
        <w:t xml:space="preserve">A large part of the literature on bank performance distinguishes between internal and external determinants of bank </w:t>
      </w:r>
      <w:r w:rsidR="00BD2132" w:rsidRPr="00BD2132">
        <w:rPr>
          <w:rFonts w:ascii="Garamond" w:hAnsi="Garamond"/>
          <w:lang w:val="en-US"/>
        </w:rPr>
        <w:t>performance</w:t>
      </w:r>
      <w:r w:rsidR="00BD2132" w:rsidRPr="00BD2132" w:rsidDel="00BD2132">
        <w:rPr>
          <w:rFonts w:ascii="Garamond" w:hAnsi="Garamond"/>
          <w:lang w:val="en-US"/>
        </w:rPr>
        <w:t xml:space="preserve"> </w:t>
      </w:r>
      <w:r w:rsidRPr="00B57AB7">
        <w:rPr>
          <w:rFonts w:ascii="Garamond" w:hAnsi="Garamond"/>
          <w:lang w:val="en-US"/>
        </w:rPr>
        <w:fldChar w:fldCharType="begin" w:fldLock="1"/>
      </w:r>
      <w:r w:rsidRPr="00B57AB7">
        <w:rPr>
          <w:rFonts w:ascii="Garamond" w:hAnsi="Garamond"/>
          <w:lang w:val="en-US"/>
        </w:rPr>
        <w:instrText>ADDIN CSL_CITATION {"citationItems":[{"id":"ITEM-1","itemData":{"DOI":"10.34120/0430-027-001-004","ISBN":"0430027001","author":[{"dropping-particle":"","family":"Alshammari","given":"Nayef","non-dropping-particle":"","parse-names":false,"suffix":""}],"container-title":"Arab Journal of Administrative Science","id":"ITEM-1","issue":"1","issued":{"date-parts":[["2020"]]},"page":"85","title":"The Spillover Effect Of Government Spending On Banking Performance In Kuwait","type":"article-journal","volume":"27"},"uris":["http://www.mendeley.com/documents/?uuid=d2faa9f0-cfa8-4199-8b03-7d5ce9596d03"]}],"mendeley":{"formattedCitation":"(Alshammari, 2020)","plainTextFormattedCitation":"(Alshammari, 2020)","previouslyFormattedCitation":"(Alshammari, 2020)"},"properties":{"noteIndex":0},"schema":"https://github.com/citation-style-language/schema/raw/master/csl-citation.json"}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(Alshammari, 2020)</w:t>
      </w:r>
      <w:r w:rsidRPr="00B57AB7">
        <w:rPr>
          <w:rFonts w:ascii="Garamond" w:hAnsi="Garamond"/>
          <w:lang w:val="en-US"/>
        </w:rPr>
        <w:fldChar w:fldCharType="end"/>
      </w:r>
      <w:r w:rsidRPr="00B57AB7">
        <w:rPr>
          <w:rFonts w:ascii="Garamond" w:hAnsi="Garamond"/>
          <w:lang w:val="en-US"/>
        </w:rPr>
        <w:t xml:space="preserve">. Internal determinants are bank-specific factors that affect </w:t>
      </w:r>
      <w:r w:rsidR="00BD2132" w:rsidRPr="00BD2132">
        <w:rPr>
          <w:rFonts w:ascii="Garamond" w:hAnsi="Garamond"/>
          <w:lang w:val="en-US"/>
        </w:rPr>
        <w:t>performance</w:t>
      </w:r>
      <w:r w:rsidR="004A3A66">
        <w:rPr>
          <w:rFonts w:ascii="Garamond" w:hAnsi="Garamond"/>
          <w:lang w:val="en-US"/>
        </w:rPr>
        <w:t xml:space="preserve">, </w:t>
      </w:r>
      <w:r w:rsidRPr="00B57AB7">
        <w:rPr>
          <w:rFonts w:ascii="Garamond" w:hAnsi="Garamond"/>
          <w:lang w:val="en-US"/>
        </w:rPr>
        <w:t xml:space="preserve">while external factors are the exogenous macroeconomic conditions that affect the demand for financing and intermediation services as well as the bank’s capacity to accumulate resources. It should be noted that some empirical examinations of bank performance focus only on the internal determinants </w:t>
      </w:r>
      <w:r w:rsidRPr="00B57AB7">
        <w:rPr>
          <w:rFonts w:ascii="Garamond" w:hAnsi="Garamond"/>
          <w:lang w:val="en-US"/>
        </w:rPr>
        <w:fldChar w:fldCharType="begin" w:fldLock="1"/>
      </w:r>
      <w:r w:rsidR="0015465B" w:rsidRPr="00B57AB7">
        <w:rPr>
          <w:rFonts w:ascii="Garamond" w:hAnsi="Garamond"/>
          <w:lang w:val="en-US"/>
        </w:rPr>
        <w:instrText>ADDIN CSL_CITATION {"citationItems":[{"id":"ITEM-1","itemData":{"DOI":"10.17512/pjms.2018.17.1.02","ISSN":"20817452","abstract":"This study is driven by a motivation to examine the key determinants of bank’s performance as proxied by bank’s liquidity (LR), non-performing loans (NPL), capital adequacy ratio (CAR), loan growth (FEXP) and default risk premium (FQL) within the framework of credit creation theory of banking. Using random effect model as an estimation tool on 93 banks in Middle East, Africa and Indian subcontinent over study period from 2009 through 2016, the findings reveal that there are significant relationships between bank’s performance and its loan growth. Both ROA and FEXP are also found to be positively correlated. In contrast, the NPL and CAR are found to be negatively correlated with ROA. As a whole, it is evident that loan growth plays a very important role in supporting bank’s long term performance.","author":[{"dropping-particle":"","family":"Abdul Hadi","given":"Abdul Razak","non-dropping-particle":"","parse-names":false,"suffix":""},{"dropping-particle":"","family":"Hussain","given":"Hafezali Iqbal","non-dropping-particle":"","parse-names":false,"suffix":""},{"dropping-particle":"","family":"Suryanto","given":"Tulus","non-dropping-particle":"","parse-names":false,"suffix":""},{"dropping-particle":"","family":"Eddy Yap","given":"Tat Hiung","non-dropping-particle":"","parse-names":false,"suffix":""}],"container-title":"Polish Journal of Management Studies","id":"ITEM-1","issue":"1","issued":{"date-parts":[["2018"]]},"note":"- Only bank specific factors\n- Methodology: Pooled reg, Hausman test, Breusch Pagan test","page":"17-26","title":"Bank’s performance and its determinants – Evidence from middle east, Indian sub-continent and African banks","type":"article-journal","volume":"17"},"uris":["http://www.mendeley.com/documents/?uuid=84c57539-7db3-4269-a441-1a5212b6339a"]},{"id":"ITEM-2","itemData":{"DOI":"10.1016/j.pacfin.2016.02.007","ISSN":"0927538X","abstract":"This paper extracts key variables from documented findings on bank intermediation margins of two types of banks in the Organisation of Islamic Countries. The intermediation margins used as the dependent variable are: net interest margins of conventional banks and the net profit margins of Islamic banks. To overcome the endogeneity issue of variables, an appropriate econometric procedure namely the dynamic Generalized Method of Moments is applied using data from 105 commercial banks over 14 years. The results are interesting: there is a significant difference in the margins across the two types of banks, 2.17% and 1.61% respectively. Capital adequacy, management quality, and diversification determinants significantly explain the margins of both types of banks. We also find evidence suggesting market quality matters. This is an expected result since both banks operate, despite their inherent institutional differences, in a competitive environment to meet the core demands for funds, which are the same, for traditional lending and borrowing activities. However, this also shows that both CBs and IBs in dual banking system are not significantly different from each other, despite the perception arising from minor institutional differences. These findings provide insights on the unique banking performance in dual banking systems.","author":[{"dropping-particle":"","family":"Sun","given":"Poi Hun","non-dropping-particle":"","parse-names":false,"suffix":""},{"dropping-particle":"","family":"Mohamad","given":"Shamsher","non-dropping-particle":"","parse-names":false,"suffix":""},{"dropping-particle":"","family":"Ariff","given":"M.","non-dropping-particle":"","parse-names":false,"suffix":""}],"container-title":"Pacific Basin Finance Journal","id":"ITEM-2","issued":{"date-parts":[["2017"]]},"page":"193-203","publisher":"Elsevier B.V.","title":"Determinants driving bank performance: A comparison of two types of banks in the OIC","type":"article-journal","volume":"42"},"uris":["http://www.mendeley.com/documents/?uuid=586a31c0-b5e6-4210-aff7-9446f19c8805"]},{"id":"ITEM-3","itemData":{"DOI":"10.1007/s13132-015-0261-8","ISBN":"1313201502","ISSN":"18687873","abstract":"In this study, Data Envelopment Analysis (DEA) is used to examine the determinants of banking performance in Bahrain between 2005 and 2009. This performance is analyzed through a comparative study of 12 banks (six conventional and six Islamic banks). A diversity of internal and external banking characteristics were used to forecast this performance. The main of them are the return on assets (ROA), return on equity (ROE), and efficiency (EFF). Our determinant study of bank performance confirms previous investigations. The increase in size of Islamic banks and the rapid growth in the customers’ deposits are the important factors of performance. Moreover, our results indicate that the variables related to the government intervention have a negative impact on the banking performance in the conventional funding model.","author":[{"dropping-particle":"","family":"Daly","given":"Saida","non-dropping-particle":"","parse-names":false,"suffix":""},{"dropping-particle":"","family":"Frikha","given":"Mohamed","non-dropping-particle":"","parse-names":false,"suffix":""}],"container-title":"Journal of the Knowledge Economy","id":"ITEM-3","issue":"2","issued":{"date-parts":[["2017"]]},"page":"471-488","publisher":"Journal of the Knowledge Economy","title":"Determinants of bank Performance: Comparative Study Between Conventional and Islamic Banking in Bahrain","type":"article-journal","volume":"8"},"uris":["http://www.mendeley.com/documents/?uuid=c7295f4c-bcf2-4836-b853-a85098b58338"]},{"id":"ITEM-4","itemData":{"DOI":"10.5539/ijef.v7n1p203","ISSN":"1916-971X","abstract":"Previous Ghanaian governments attempted to use Ghana's well-developed banking system to grow the economy. Bad loans caused the banks to suffer great losses during the late 1980s, and decline in the cedi value caused a rise in the banks external loans. In 1988, the government initiated financial reforms to strengthen the banking sector. The reforms aimed to improve profitability, efficiency and productivity of banks. In spite of these reforms in 1990s, banks' performance has remained poor with substantial gaps in service delivery to private agents. There is sufficient empirical evidence that poor performance is manifest in low performance of bank indicators, including: high levels of credit risk to private agents, poor quality loans, limited and or inadequate capitalization, operational inefficiencies, higher incidences of non-performing loans, higher levels of liquidity risk; among others. Empirical evidence clearly shows that studies focusing on Ghana's financial sector are still scanty and limited. The study seeks to investigate the determinants of banks' profitability in Ghana for the period 1988 to 2011 using Economic Value Added (EVA) technique to measure performance. The study evaluates two performance yardsticks to determine the best alternatives. The result of the study suggested economic value added as the best measurement as against the standard accounting measurement namely; ROA. Inflation was registered not to be affected Ghana's bank performance. The study results draw some implications for policy that helps to improve performance of the banking sector in Ghana.","author":[{"dropping-particle":"","family":"Owusu-Antwi","given":"George","non-dropping-particle":"","parse-names":false,"suffix":""},{"dropping-particle":"","family":"Mensah","given":"Lord","non-dropping-particle":"","parse-names":false,"suffix":""},{"dropping-particle":"","family":"Crabbe","given":"Margret","non-dropping-particle":"","parse-names":false,"suffix":""},{"dropping-particle":"","family":"Antwi","given":"James","non-dropping-particle":"","parse-names":false,"suffix":""}],"container-title":"International Journal of Economics and Finance","id":"ITEM-4","issue":"1","issued":{"date-parts":[["2014"]]},"page":"203-215","title":"Determinants of Bank Performance in Ghana, the Economic Value Added (EVA) Approach","type":"article-journal","volume":"7"},"uris":["http://www.mendeley.com/documents/?uuid=ea78217e-9fc4-438a-b0f3-5c22243bdbe5"]}],"mendeley":{"formattedCitation":"(Abdul Hadi et al., 2018; Daly &amp; Frikha, 2017; Owusu-Antwi et al., 2014; Sun et al., 2017)","plainTextFormattedCitation":"(Abdul Hadi et al., 2018; Daly &amp; Frikha, 2017; Owusu-Antwi et al., 2014; Sun et al., 2017)","previouslyFormattedCitation":"(Abdul Hadi et al., 2018; Daly &amp; Frikha, 2017; Owusu-Antwi et al., 2014; Sun et al., 2017)"},"properties":{"noteIndex":0},"schema":"https://github.com/citation-style-language/schema/raw/master/csl-citation.json"}</w:instrText>
      </w:r>
      <w:r w:rsidRPr="00B57AB7">
        <w:rPr>
          <w:rFonts w:ascii="Garamond" w:hAnsi="Garamond"/>
          <w:lang w:val="en-US"/>
        </w:rPr>
        <w:fldChar w:fldCharType="separate"/>
      </w:r>
      <w:r w:rsidR="0015465B" w:rsidRPr="00B57AB7">
        <w:rPr>
          <w:rFonts w:ascii="Garamond" w:hAnsi="Garamond"/>
          <w:noProof/>
          <w:lang w:val="en-US"/>
        </w:rPr>
        <w:t>(Abdul Hadi et al., 2018; Daly &amp; Frikha, 2017; Owusu-Antwi et al., 2014; Sun et al., 2017)</w:t>
      </w:r>
      <w:r w:rsidRPr="00B57AB7">
        <w:rPr>
          <w:rFonts w:ascii="Garamond" w:hAnsi="Garamond"/>
          <w:lang w:val="en-US"/>
        </w:rPr>
        <w:fldChar w:fldCharType="end"/>
      </w:r>
      <w:r w:rsidRPr="00B57AB7">
        <w:rPr>
          <w:rFonts w:ascii="Garamond" w:hAnsi="Garamond"/>
          <w:lang w:val="en-US"/>
        </w:rPr>
        <w:t>,</w:t>
      </w:r>
      <w:r w:rsidR="004A3A66">
        <w:rPr>
          <w:rFonts w:ascii="Garamond" w:hAnsi="Garamond"/>
          <w:lang w:val="en-US"/>
        </w:rPr>
        <w:t xml:space="preserve"> while others </w:t>
      </w:r>
      <w:r w:rsidRPr="00B57AB7">
        <w:rPr>
          <w:rFonts w:ascii="Garamond" w:hAnsi="Garamond"/>
          <w:lang w:val="en-US"/>
        </w:rPr>
        <w:t>include external factors mainly GDP (or another proxy of economic growth)</w:t>
      </w:r>
      <w:r w:rsidR="004A3A66">
        <w:rPr>
          <w:rFonts w:ascii="Garamond" w:hAnsi="Garamond"/>
          <w:lang w:val="en-US"/>
        </w:rPr>
        <w:t>,</w:t>
      </w:r>
      <w:r w:rsidRPr="00B57AB7">
        <w:rPr>
          <w:rFonts w:ascii="Garamond" w:hAnsi="Garamond"/>
          <w:lang w:val="en-US"/>
        </w:rPr>
        <w:t xml:space="preserve"> as a main external determinant of bank performance </w:t>
      </w:r>
      <w:r w:rsidRPr="00B57AB7">
        <w:rPr>
          <w:rFonts w:ascii="Garamond" w:hAnsi="Garamond"/>
          <w:lang w:val="en-US"/>
        </w:rPr>
        <w:fldChar w:fldCharType="begin" w:fldLock="1"/>
      </w:r>
      <w:r w:rsidR="00CA49AC">
        <w:rPr>
          <w:rFonts w:ascii="Garamond" w:hAnsi="Garamond"/>
          <w:lang w:val="en-US"/>
        </w:rPr>
        <w:instrText>ADDIN CSL_CITATION {"citationItems":[{"id":"ITEM-1","itemData":{"author":[{"dropping-particle":"","family":"Mahmah","given":"Assil","non-dropping-particle":"El","parse-names":false,"suffix":""},{"dropping-particle":"","family":"Trabelsi","given":"Mohamed","non-dropping-particle":"","parse-names":false,"suffix":""}],"container-title":"Sustainable development goals and external shocks in the mena region: from resilience to change in the wake of covid-19","id":"ITEM-1","issued":{"date-parts":[["2021"]]},"page":"2002-2017","title":"Banks’ Performance Amid Oil Price Shocks: Empirical Evidence from GCC Countries, 2002-2017","type":"paper-conference"},"uris":["http://www.mendeley.com/documents/?uuid=47a6ce5f-5c76-487b-9772-c87d43bdab73"]},{"id":"ITEM-2","itemData":{"DOI":"10.1016/j.bir.2016.03.002","ISSN":"22148469","abstract":"The aim of this study is to empirically examine the bank-specific, financial, and macroeconomic determinants of performance of Islamic and conventional banks in Pakistan. To do this, we first constructed the financial performance index (FPI) based on CAMELS' ratios and then run the computed index on the said determinants. We have used an unbalanced annual panel data covering the period 2006-2012. The GLS regression results show that operating efficiency, reserves, and overheads are significant determinants of conventional banks' performance, whereas, operating efficiency, deposits, and market concentration are significant in explaining performance of Islamic banks. We also show that the impact of GDP and the lending interest rate on performance is negative for both types of banks. Bank managers may focus on controlling overheads and operating costs to improve performance because, according the empirical results presented in the study, both of these variables are negatively related to the FPI. Our results suggest that advancements in overall management practices and new standards in operating efficiency and financial risk management are essential to enhance performance of banks.","author":[{"dropping-particle":"","family":"Rashid","given":"Abdul","non-dropping-particle":"","parse-names":false,"suffix":""},{"dropping-particle":"","family":"Jabeen","given":"Sana","non-dropping-particle":"","parse-names":false,"suffix":""}],"container-title":"Borsa Istanbul Review","id":"ITEM-2","issue":"2","issued":{"date-parts":[["2016"]]},"page":"92-107","publisher":"Elsevier Ltd","title":"Analyzing performance determinants: Conventional versus Islamic Banks in Pakistan","type":"article-journal","volume":"16"},"uris":["http://www.mendeley.com/documents/?uuid=67f3e29f-8599-4dd7-9d71-07844611f05a"]},{"id":"ITEM-3","itemData":{"ISSN":"2146-4138","abstract":"The banking sector in Tunisia has undergone, in the past decades, numerous structural changes which have affected the banking industry in particular and the economy as whole. This paper studies the internal and external determinants of bank performance in Tunisia during the period after financial reforms. We used regression analysis and panel data technique with the linear model of Bourke (1989) and followed the methodology employed by Demirgüç-Kunt and Huizinga (1999) and Dietrich and Wanzenried (2011) in order to address the issue. The empirical results showed that bank performance is positively related with capitalization, privatization and quotation. While, bank size, concentration index and efficiency are negatively related with performance indicators (measured by net interest margin, LIQ, return on assets and return on equity). As for the macroeconomic determinants, our analysis showed that the business cycle, measured by the growth of the gross domestic product is supposed to be favorable to the improvement of the performance of the banks and negative relationship was found with inflation rate.Those variables have to arouse the interest of the decision-makers of economic and restructuring policies to direct their strategies and aiming corrective actions to promote the performance of banking and financial systems.","author":[{"dropping-particle":"","family":"Nouaili","given":"Makram","non-dropping-particle":"","parse-names":false,"suffix":""},{"dropping-particle":"","family":"Abaoub","given":"Ezzeddine","non-dropping-particle":"","parse-names":false,"suffix":""},{"dropping-particle":"","family":"Ochi","given":"Anis","non-dropping-particle":"","parse-names":false,"suffix":""}],"container-title":"International Journal of Economics and Financial Issues","id":"ITEM-3","issue":"2","issued":{"date-parts":[["2015"]]},"page":"410-417","title":"The Determinants of Banking Performance in Front of Financial Changes: Case of Trade Banks in Tunisia","type":"article-journal","volume":"5"},"uris":["http://www.mendeley.com/documents/?uuid=1b742fcf-9cef-4c6b-8ebd-883800fb8974"]},{"id":"ITEM-4","itemData":{"DOI":"10.1108/ARLA-04-2013-0030","ISSN":"20565127","abstract":"Purpose – The purpose of this paper is to analyze the impact of macroeconomic</w:instrText>
      </w:r>
      <w:r w:rsidR="00CA49AC">
        <w:rPr>
          <w:lang w:val="en-US"/>
        </w:rPr>
        <w:instrText>‐</w:instrText>
      </w:r>
      <w:r w:rsidR="00CA49AC">
        <w:rPr>
          <w:rFonts w:ascii="Garamond" w:hAnsi="Garamond"/>
          <w:lang w:val="en-US"/>
        </w:rPr>
        <w:instrText>industrial and bank</w:instrText>
      </w:r>
      <w:r w:rsidR="00CA49AC">
        <w:rPr>
          <w:lang w:val="en-US"/>
        </w:rPr>
        <w:instrText>‐</w:instrText>
      </w:r>
      <w:r w:rsidR="00CA49AC">
        <w:rPr>
          <w:rFonts w:ascii="Garamond" w:hAnsi="Garamond"/>
          <w:lang w:val="en-US"/>
        </w:rPr>
        <w:instrText>specific factors on Latin American banks’ performance. Design/methodology/approach – Using the data panel system estimator version of the generalized method of moments, the authors estimate the determinants of return on assets and interest margin for a sample of 78 commercial banks from Argentina, Brazil, Chile, Colombia, México, Paraguay, Peru, and Venezuela over the period from 1995 to 2010. Findings – On the one hand, the results show that bank performance is positively related to both idiosyncratic factors, such as service diversification, size, capital ratio, and specialization degree, and to macroeconomic</w:instrText>
      </w:r>
      <w:r w:rsidR="00CA49AC">
        <w:rPr>
          <w:lang w:val="en-US"/>
        </w:rPr>
        <w:instrText>‐</w:instrText>
      </w:r>
      <w:r w:rsidR="00CA49AC">
        <w:rPr>
          <w:rFonts w:ascii="Garamond" w:hAnsi="Garamond"/>
          <w:lang w:val="en-US"/>
        </w:rPr>
        <w:instrText>industrial factors such as economic growth, inflation, and bank concentration. On the other hand, the results show that bank performance is negatively related to credit risk, liquidity risk, and operational inefficiencies. Originality/value – The authors provide new evidence from the Latin American bank industry and incorporate the effect of diversification through noninterest activities.","author":[{"dropping-particle":"","family":"Jara</w:instrText>
      </w:r>
      <w:r w:rsidR="00CA49AC">
        <w:rPr>
          <w:lang w:val="en-US"/>
        </w:rPr>
        <w:instrText>‐</w:instrText>
      </w:r>
      <w:r w:rsidR="00CA49AC">
        <w:rPr>
          <w:rFonts w:ascii="Garamond" w:hAnsi="Garamond"/>
          <w:lang w:val="en-US"/>
        </w:rPr>
        <w:instrText>Bertin","given":"Mauricio","non-dropping-particle":"","parse-names":false,"suffix":""},{"dropping-particle":"","family":"Arias Moya","given":"Jos</w:instrText>
      </w:r>
      <w:r w:rsidR="00CA49AC">
        <w:rPr>
          <w:rFonts w:ascii="Garamond" w:hAnsi="Garamond" w:cs="Garamond"/>
          <w:lang w:val="en-US"/>
        </w:rPr>
        <w:instrText>é</w:instrText>
      </w:r>
      <w:r w:rsidR="00CA49AC">
        <w:rPr>
          <w:rFonts w:ascii="Garamond" w:hAnsi="Garamond"/>
          <w:lang w:val="en-US"/>
        </w:rPr>
        <w:instrText>","non-dropping-particle":"","parse-names":false,"suffix":""},{"dropping-particle":"","family":"Rodríguez Perales","given":"Arturo","non-dropping-particle":"","parse-names":false,"suffix":""}],"container-title":"Academia Revista Latinoamericana de Administracion","id":"ITEM-4","issue":"2","issued":{"date-parts":[["2014"]]},"page":"164-182","title":"Determinants of bank performance: evidence for Latin America","type":"article-journal","volume":"27"},"uris":["http://www.mendeley.com/documents/?uuid=b1845d3c-1ce7-41c2-89d6-0e6d6721427d"]},{"id":"ITEM-5","itemData":{"DOI":"10.1177/097215091101300101","ISSN":"09721509","abstract":"The article seeks to examine the internal and external factors that influenced the performance of banks operating in the Indian banking sector during the period 2000-08. The empirical findings from this study suggest that credit risk, network embeddedness, operating expenses, liquidity and size have statistically significant impact on the profitability of Indian banks. However, the impact is not uniform across banks of different nations of origin. During the period under study, the empirical findings do not lend support for the 'limited form' of global advantage hypothesis. Likewise, the liability of unfamiliarness hypothesis is also rejected, since we do not find significant advantage accruing to foreign banks from other Asian countries. © 2012 International Management Institute, New Delhi.","author":[{"dropping-particle":"","family":"Sufian","given":"Fadzlan","non-dropping-particle":"","parse-names":false,"suffix":""},{"dropping-particle":"","family":"Noor Mohamad","given":"Mohamad Akbar","non-dropping-particle":"","parse-names":false,"suffix":""}],"container-title":"Global Business Review","id":"ITEM-5","issue":"1","issued":{"date-parts":[["2012"]]},"page":"1-23","title":"Determinants of bank performance in a developing economy: Does bank origins matters?","type":"article-journal","volume":"13"},"uris":["http://www.mendeley.com/documents/?uuid=d3fd771f-62c5-45a4-be80-6fcc7ddcfa71"]},{"id":"ITEM-6","itemData":{"DOI":"10.1057/palgrave.ces.8100129","ISSN":"0888-7233","abstract":"Banking sectors in transition economies have experienced major transformations throughout the 1990s. While some countries have been successful in eliminating underlying distortions and restructuring their financial sectors, in some cases financial sectors remain underdeveloped and the rates of financial intermediation continue to be low. We estimate indicators of commercial bank efficiency by applying a non-parametric estimation technique, data envelopment analysis (DEA), to bank-level data from a wide range of transition countries. In addition to stressing the importance of some bank-specific variables, the censored Tobit analysis suggests that: (1) foreign ownership with controlling power and enterprise restructuring enhance commercial bank efficiency; (2) the effects of prudential tightening on the efficiency of banks vary across different prudential norms; and (3) consolidation is likely to improve efficiency of banking operations. Overall, the results confirm the usefulness of DEA for transition-related applications and shed some light on the question of the optimal architecture of a banking system. [PUBLICATION ABSTRACT]","author":[{"dropping-particle":"","family":"Grigorian","given":"David A","non-dropping-particle":"","parse-names":false,"suffix":""},{"dropping-particle":"","family":"Manole","given":"Vlad","non-dropping-particle":"","parse-names":false,"suffix":""}],"container-title":"Comparative Economic Studies","id":"ITEM-6","issue":"3","issued":{"date-parts":[["2006"]]},"page":"497-522","title":"Determinants of Commercial Bank Performance in Transition: An Application of Data Envelopment Analysis","type":"article-journal","volume":"48"},"uris":["http://www.mendeley.com/documents/?uuid=25cac8aa-9235-4edf-b9ed-d1900d757c64"]},{"id":"ITEM-7","itemData":{"DOI":"10.1016/j.ribaf.2016.03.015","ISSN":"02755319","abstract":"The aim of this paper is to investigate the determinants of bank profitability in the early transition countries of Central and Eastern Europe (CEE), and in the late transition countries of the former USSR. We apply a GMM technique for the period covering 2000–2013. The results show that profitability persists and the determinants of bank profitability vary across transition countries. Particularly, the banking sector of early transition countries is more competitive. However, the impact of credit risk on bank profitability is positive in early transition countries, but negative in late transition countries. Government spending and monetary freedom negatively influence bank profitability only in late transition countries. Moreover, better capitalised banks are more profitable in early transition countries implying that these banking sectors are more robust</w:instrText>
      </w:r>
      <w:r w:rsidR="00CA49AC" w:rsidRPr="00D062DE">
        <w:rPr>
          <w:rFonts w:ascii="Garamond" w:hAnsi="Garamond"/>
        </w:rPr>
        <w:instrText>. A range of possible approaches that governments can take to further develop banking sectors are discussed.","author":[{"dropping-particle":"","family":"Djalilov","given":"Khurshid","non-dropping-particle":"","parse-names":false,"suffix":""},{"dropping-particle":"","family":"Piesse","given":"Jenifer","non-dropping-particle":"","parse-names":false,"suffix":""}],"container-title":"Research in International Business and Finance","id":"ITEM-7","issued":{"date-parts":[["2016"]]},"page":"69-82","publisher":"Elsevier B.V.","title":"Determinants of bank profitability in transition countries: What matters most?","type":"article-journal","volume":"38"},"uris":["http://www.mendeley.com/documents/?uuid=4686f32c-619a-4f92-acb8-6b6a46eeb71c"]}],"mendeley":{"formattedCitation":"(Djalilov &amp; Piesse, 2016; El Mahmah &amp; Trabelsi, 2021; Grigorian &amp; Manole, 2006; Jara</w:instrText>
      </w:r>
      <w:r w:rsidR="00CA49AC" w:rsidRPr="00D062DE">
        <w:instrText>‐</w:instrText>
      </w:r>
      <w:r w:rsidR="00CA49AC" w:rsidRPr="00D062DE">
        <w:rPr>
          <w:rFonts w:ascii="Garamond" w:hAnsi="Garamond"/>
        </w:rPr>
        <w:instrText>Bertin et al., 2014; Nouaili et al., 2015; Rashid &amp; Jabeen, 2016; Sufian &amp; Noor Mohamad, 2012)","plainTextFormattedCitation":"(Djalilov &amp; Piesse, 2016; El Mahmah &amp; Trabelsi, 2021; Grigorian &amp; Manole, 2006; Jara</w:instrText>
      </w:r>
      <w:r w:rsidR="00CA49AC" w:rsidRPr="00D062DE">
        <w:instrText>‐</w:instrText>
      </w:r>
      <w:r w:rsidR="00CA49AC" w:rsidRPr="00D062DE">
        <w:rPr>
          <w:rFonts w:ascii="Garamond" w:hAnsi="Garamond"/>
        </w:rPr>
        <w:instrText>Bertin et al., 2014; Nouaili et al., 2015; Rashid &amp; Jabeen, 2016; Sufian &amp; Noor Mohamad, 2012)","previouslyFormattedCitation":"(Djalilov &amp; Piesse, 2016; El Mahmah &amp; Trabelsi, 2021; Grigorian &amp; Manole, 2006; Jara</w:instrText>
      </w:r>
      <w:r w:rsidR="00CA49AC" w:rsidRPr="00D062DE">
        <w:instrText>‐</w:instrText>
      </w:r>
      <w:r w:rsidR="00CA49AC" w:rsidRPr="00D062DE">
        <w:rPr>
          <w:rFonts w:ascii="Garamond" w:hAnsi="Garamond"/>
        </w:rPr>
        <w:instrText>Bertin et al., 2014; Nouaili et al., 2015; Rashid &amp; Jabeen, 2016; Sufian &amp; Noor Mohamad, 2012)"},"properties":{"noteIndex":0},"schema":"https://github.com/citation-style-language/schema/raw/master/csl-citation.json"}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rPr>
        <w:t>(Djalilov &amp; Piesse, 2016; El Mahmah &amp; Trabelsi, 2021; Grigorian &amp; Manole, 2006; Jara</w:t>
      </w:r>
      <w:r w:rsidR="00CC117C" w:rsidRPr="00B57AB7">
        <w:rPr>
          <w:noProof/>
        </w:rPr>
        <w:t>‐</w:t>
      </w:r>
      <w:r w:rsidR="00CC117C" w:rsidRPr="00B57AB7">
        <w:rPr>
          <w:rFonts w:ascii="Garamond" w:hAnsi="Garamond"/>
          <w:noProof/>
        </w:rPr>
        <w:t>Bertin et al., 2014; Nouaili et al., 2015; Rashid &amp; Jabeen, 2016; Sufian &amp; Noor Mohamad, 2012)</w:t>
      </w:r>
      <w:r w:rsidRPr="00B57AB7">
        <w:rPr>
          <w:rFonts w:ascii="Garamond" w:hAnsi="Garamond"/>
          <w:lang w:val="en-US"/>
        </w:rPr>
        <w:fldChar w:fldCharType="end"/>
      </w:r>
      <w:r w:rsidRPr="00B57AB7">
        <w:rPr>
          <w:rFonts w:ascii="Garamond" w:hAnsi="Garamond"/>
        </w:rPr>
        <w:t xml:space="preserve">. </w:t>
      </w:r>
    </w:p>
    <w:p w14:paraId="615A580E" w14:textId="1F891B8A" w:rsidR="00F640BA" w:rsidRPr="00B57AB7"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t xml:space="preserve">As we stated before, understanding the direct relationship between economic growth and bank performance should help us better understand the spillover effect of government spending on bank performance. Unsurprisingly, the majority of the consulted empirical literature supports a positive effect of economic growth (measured either by real GDP, GDP growth, or GDP per capita) on banking performance indicators </w:t>
      </w:r>
      <w:r w:rsidRPr="00B57AB7">
        <w:rPr>
          <w:rFonts w:ascii="Garamond" w:hAnsi="Garamond"/>
          <w:lang w:val="en-US"/>
        </w:rPr>
        <w:fldChar w:fldCharType="begin" w:fldLock="1"/>
      </w:r>
      <w:r w:rsidR="00CA49AC">
        <w:rPr>
          <w:rFonts w:ascii="Garamond" w:hAnsi="Garamond"/>
          <w:lang w:val="en-US"/>
        </w:rPr>
        <w:instrText>ADDIN CSL_CITATION {"citationItems":[{"id":"ITEM-1","itemData":{"author":[{"dropping-particle":"","family":"Mahmah","given":"Assil","non-dropping-particle":"El","parse-names":false,"suffix":""},{"dropping-particle":"","family":"Trabelsi","given":"Mohamed","non-dropping-particle":"","parse-names":false,"suffix":""}],"container-title":"Sustainable development goals and external shocks in the mena region: from resilience to change in the wake of covid-19","id":"ITEM-1","issued":{"date-parts":[["2021"]]},"page":"2002-2017","title":"Banks’ Performance Amid Oil Price Shocks: Empirical Evidence from GCC Countries, 2002-2017","type":"paper-conference"},"uris":["http://www.mendeley.com/documents/?uuid=47a6ce5f-5c76-487b-9772-c87d43bdab73"]},{"id":"ITEM-2","itemData":{"ISSN":"2146-4138","abstract":"The banking sector in Tunisia has undergone, in the past decades, numerous structural changes which have affected the banking industry in particular and the economy as whole. This paper studies the internal and external determinants of bank performance in Tunisia during the period after financial reforms. We used regression analysis and panel data technique with the linear model of Bourke (1989) and followed the methodology employed by Demirgüç-Kunt and Huizinga (1999) and Dietrich and Wanzenried (2011) in order to address the issue. The empirical results showed that bank performance is positively related with capitalization, privatization and quotation. While, bank size, concentration index and efficiency are negatively related with performance indicators (measured by net interest margin, LIQ, return on assets and return on equity). As for the macroeconomic determinants, our analysis showed that the business cycle, measured by the growth of the gross domestic product is supposed to be favorable to the improvement of the performance of the banks and negative relationship was found with inflation rate.Those variables have to arouse the interest of the decision-makers of economic and restructuring policies to direct their strategies and aiming corrective actions to promote the performance of banking and financial systems.","author":[{"dropping-particle":"","family":"Nouaili","given":"Makram","non-dropping-particle":"","parse-names":false,"suffix":""},{"dropping-particle":"","family":"Abaoub","given":"Ezzeddine","non-dropping-particle":"","parse-names":false,"suffix":""},{"dropping-particle":"","family":"Ochi","given":"Anis","non-dropping-particle":"","parse-names":false,"suffix":""}],"container-title":"International Journal of Economics and Financial Issues","id":"ITEM-2","issue":"2","issued":{"date-parts":[["2015"]]},"page":"410-417","title":"The Determinants of Banking Performance in Front of Financial Changes: Case of Trade Banks in Tunisia","type":"article-journal","volume":"5"},"uris":["http://www.mendeley.com/documents/?uuid=1b742fcf-9cef-4c6b-8ebd-883800fb8974"]},{"id":"ITEM-3","itemData":{"DOI":"10.1108/ARLA-04-2013-0030","ISSN":"20565127","abstract":"Purpose – The purpose of this paper is to analyze the impact of macroeconomic</w:instrText>
      </w:r>
      <w:r w:rsidR="00CA49AC">
        <w:rPr>
          <w:lang w:val="en-US"/>
        </w:rPr>
        <w:instrText>‐</w:instrText>
      </w:r>
      <w:r w:rsidR="00CA49AC">
        <w:rPr>
          <w:rFonts w:ascii="Garamond" w:hAnsi="Garamond"/>
          <w:lang w:val="en-US"/>
        </w:rPr>
        <w:instrText>industrial and bank</w:instrText>
      </w:r>
      <w:r w:rsidR="00CA49AC">
        <w:rPr>
          <w:lang w:val="en-US"/>
        </w:rPr>
        <w:instrText>‐</w:instrText>
      </w:r>
      <w:r w:rsidR="00CA49AC">
        <w:rPr>
          <w:rFonts w:ascii="Garamond" w:hAnsi="Garamond"/>
          <w:lang w:val="en-US"/>
        </w:rPr>
        <w:instrText>specific factors on Latin American banks</w:instrText>
      </w:r>
      <w:r w:rsidR="00CA49AC">
        <w:rPr>
          <w:rFonts w:ascii="Garamond" w:hAnsi="Garamond" w:cs="Garamond"/>
          <w:lang w:val="en-US"/>
        </w:rPr>
        <w:instrText>’</w:instrText>
      </w:r>
      <w:r w:rsidR="00CA49AC">
        <w:rPr>
          <w:rFonts w:ascii="Garamond" w:hAnsi="Garamond"/>
          <w:lang w:val="en-US"/>
        </w:rPr>
        <w:instrText xml:space="preserve"> performance. Design/methodology/approach </w:instrText>
      </w:r>
      <w:r w:rsidR="00CA49AC">
        <w:rPr>
          <w:rFonts w:ascii="Garamond" w:hAnsi="Garamond" w:cs="Garamond"/>
          <w:lang w:val="en-US"/>
        </w:rPr>
        <w:instrText>–</w:instrText>
      </w:r>
      <w:r w:rsidR="00CA49AC">
        <w:rPr>
          <w:rFonts w:ascii="Garamond" w:hAnsi="Garamond"/>
          <w:lang w:val="en-US"/>
        </w:rPr>
        <w:instrText xml:space="preserve"> Using the data panel system estimator version of the generalized method of moments, the authors estimate the determinants of return on assets and interest margin for a sample of 78 commercial banks from Argentina, Brazil, Chile, Colombia, México, Paraguay, Peru, and Venezuela over the period from 1995 to 2010. Findings – On the one hand, the results show that bank performance is positively related to both idiosyncratic factors, such as service diversification, size, capital ratio, and specialization degree, and to macroeconomic</w:instrText>
      </w:r>
      <w:r w:rsidR="00CA49AC">
        <w:rPr>
          <w:lang w:val="en-US"/>
        </w:rPr>
        <w:instrText>‐</w:instrText>
      </w:r>
      <w:r w:rsidR="00CA49AC">
        <w:rPr>
          <w:rFonts w:ascii="Garamond" w:hAnsi="Garamond"/>
          <w:lang w:val="en-US"/>
        </w:rPr>
        <w:instrText xml:space="preserve">industrial factors such as economic growth, inflation, and bank concentration. On the other hand, the results show that bank performance is negatively related to credit risk, liquidity risk, and operational inefficiencies. Originality/value </w:instrText>
      </w:r>
      <w:r w:rsidR="00CA49AC">
        <w:rPr>
          <w:rFonts w:ascii="Garamond" w:hAnsi="Garamond" w:cs="Garamond"/>
          <w:lang w:val="en-US"/>
        </w:rPr>
        <w:instrText>–</w:instrText>
      </w:r>
      <w:r w:rsidR="00CA49AC">
        <w:rPr>
          <w:rFonts w:ascii="Garamond" w:hAnsi="Garamond"/>
          <w:lang w:val="en-US"/>
        </w:rPr>
        <w:instrText xml:space="preserve"> The authors provide new evidence from the Latin American bank industry and incorporate the effect of diversification through noninterest activities.","author":[{"dropping-particle":"","family":"Jara</w:instrText>
      </w:r>
      <w:r w:rsidR="00CA49AC">
        <w:rPr>
          <w:lang w:val="en-US"/>
        </w:rPr>
        <w:instrText>‐</w:instrText>
      </w:r>
      <w:r w:rsidR="00CA49AC">
        <w:rPr>
          <w:rFonts w:ascii="Garamond" w:hAnsi="Garamond"/>
          <w:lang w:val="en-US"/>
        </w:rPr>
        <w:instrText xml:space="preserve">Bertin","given":"Mauricio","non-dropping-particle":"","parse-names":false,"suffix":""},{"dropping-particle":"","family":"Arias Moya","given":"José","non-dropping-particle":"","parse-names":false,"suffix":""},{"dropping-particle":"","family":"Rodríguez Perales","given":"Arturo","non-dropping-particle":"","parse-names":false,"suffix":""}],"container-title":"Academia Revista Latinoamericana de Administracion","id":"ITEM-3","issue":"2","issued":{"date-parts":[["2014"]]},"page":"164-182","title":"Determinants of bank performance: evidence for Latin America","type":"article-journal","volume":"27"},"uris":["http://www.mendeley.com/documents/?uuid=b1845d3c-1ce7-41c2-89d6-0e6d6721427d"]},{"id":"ITEM-4","itemData":{"DOI":"10.1177/097215091101300101","ISSN":"09721509","abstract":"The article seeks to examine the internal and external factors that influenced the performance of banks operating in the Indian banking sector during the period 2000-08. The empirical findings from this study suggest that credit risk, network embeddedness, operating expenses, liquidity and size have statistically significant impact on the profitability of Indian banks. However, the impact is not uniform across banks of different nations of origin. During the period under study, the empirical findings do not lend support for the 'limited form' of global advantage hypothesis. Likewise, the liability of unfamiliarness hypothesis is also rejected, since we do not find significant advantage accruing to foreign banks from other Asian countries. © 2012 International Management Institute, New Delhi.","author":[{"dropping-particle":"","family":"Sufian","given":"Fadzlan","non-dropping-particle":"","parse-names":false,"suffix":""},{"dropping-particle":"","family":"Noor Mohamad","given":"Mohamad Akbar","non-dropping-particle":"","parse-names":false,"suffix":""}],"container-title":"Global Business Review","id":"ITEM-4","issue":"1","issued":{"date-parts":[["2012"]]},"page":"1-23","title":"Determinants of bank performance in a developing economy: Does bank origins matters?","type":"article-journal","volume":"13"},"uris":["http://www.mendeley.com/documents/?uuid=d3fd771f-62c5-45a4-be80-6fcc7ddcfa71"]},{"id":"ITEM-5","itemData":{"DOI":"10.1057/palgrave.ces.8100129","ISSN":"0888-7233","abstract":"Banking sectors in transition economies have experienced major transformations throughout the 1990s. While some countries have been successful in eliminating underlying distortions and restructuring their financial sectors, in some cases financial sectors remain underdeveloped and the rates of financial intermediation continue to be low. We estimate indicators of commercial bank efficiency by applying a non-parametric estimation technique, data envelopment analysis (DEA), to bank-level data from a wide range of transition countries. In addition to stressing the importance of some bank-specific variables, the censored Tobit analysis suggests that: (1) foreign ownership with controlling power and enterprise restructuring enhance commercial bank efficiency; (2) the effects of prudential tightening on the efficiency of banks vary across different prudential norms; and (3) </w:instrText>
      </w:r>
      <w:r w:rsidR="00CA49AC" w:rsidRPr="00D062DE">
        <w:rPr>
          <w:rFonts w:ascii="Garamond" w:hAnsi="Garamond"/>
        </w:rPr>
        <w:instrText>consolidation is likely to improve efficiency of banking operations. Overall, the results confirm the usefulness of DEA for transition-related applications and shed some light on the question of the optimal architecture of a banking system. [PUBLICATION ABSTRACT]","author":[{"dropping-particle":"","family":"Grigorian","given":"David A","non-dropping-particle":"","parse-names":false,"suffix":""},{"dropping-particle":"","family":"Manole","given":"Vlad","non-dropping-particle":"","parse-names":false,"suffix":""}],"container-title":"Comparative Economic Studies","id":"ITEM-5","issue":"3","issued":{"date-parts":[["2006"]]},"page":"497-522","title":"Determinants of Commercial Bank Performance in Transition: An Application of Data Envelopment Analysis","type":"article-journal","volume":"48"},"uris":["http://www.mendeley.com/documents/?uuid=25cac8aa-9235-4edf-b9ed-d1900d757c64"]}],"mendeley":{"formattedCitation":"(El Mahmah &amp; Trabelsi, 2021; Grigorian &amp; Manole, 2006; Jara</w:instrText>
      </w:r>
      <w:r w:rsidR="00CA49AC" w:rsidRPr="00D062DE">
        <w:instrText>‐</w:instrText>
      </w:r>
      <w:r w:rsidR="00CA49AC" w:rsidRPr="00D062DE">
        <w:rPr>
          <w:rFonts w:ascii="Garamond" w:hAnsi="Garamond"/>
        </w:rPr>
        <w:instrText>Bertin et al., 2014; Nouaili et al., 2015; Sufian &amp; Noor Mohamad, 2012)","plainTextFormattedCitation":"(El Mahmah &amp; Trabelsi, 2021; Grigorian &amp; Manole, 2006; Jara</w:instrText>
      </w:r>
      <w:r w:rsidR="00CA49AC" w:rsidRPr="00D062DE">
        <w:instrText>‐</w:instrText>
      </w:r>
      <w:r w:rsidR="00CA49AC" w:rsidRPr="00D062DE">
        <w:rPr>
          <w:rFonts w:ascii="Garamond" w:hAnsi="Garamond"/>
        </w:rPr>
        <w:instrText>Bertin et al., 2014; Nouaili et al., 2015; Sufian &amp; Noor Mohamad, 2012)","previouslyFormattedCitation":"(El Mahmah &amp; Trabelsi, 2021; Grigorian &amp; Manole, 2006; Jara</w:instrText>
      </w:r>
      <w:r w:rsidR="00CA49AC" w:rsidRPr="00D062DE">
        <w:instrText>‐</w:instrText>
      </w:r>
      <w:r w:rsidR="00CA49AC" w:rsidRPr="00D062DE">
        <w:rPr>
          <w:rFonts w:ascii="Garamond" w:hAnsi="Garamond"/>
        </w:rPr>
        <w:instrText>Bertin et al., 2014; Nouaili et al., 2015; Sufian &amp; Noor Mohamad, 2012)"},"properties":{"noteIndex":0},"schema":"https://github.com/citation-style-language/schema/raw/master/csl-citation.json"}</w:instrText>
      </w:r>
      <w:r w:rsidRPr="00B57AB7">
        <w:rPr>
          <w:rFonts w:ascii="Garamond" w:hAnsi="Garamond"/>
          <w:lang w:val="en-US"/>
        </w:rPr>
        <w:fldChar w:fldCharType="separate"/>
      </w:r>
      <w:r w:rsidR="00CC117C" w:rsidRPr="00B57AB7">
        <w:rPr>
          <w:rFonts w:ascii="Garamond" w:hAnsi="Garamond"/>
          <w:noProof/>
        </w:rPr>
        <w:t>(El Mahmah &amp; Trabelsi, 2021; Grigorian &amp; Manole, 2006; Jara</w:t>
      </w:r>
      <w:r w:rsidR="00CC117C" w:rsidRPr="00B57AB7">
        <w:rPr>
          <w:noProof/>
        </w:rPr>
        <w:t>‐</w:t>
      </w:r>
      <w:r w:rsidR="00CC117C" w:rsidRPr="00B57AB7">
        <w:rPr>
          <w:rFonts w:ascii="Garamond" w:hAnsi="Garamond"/>
          <w:noProof/>
        </w:rPr>
        <w:t>Bertin et al., 2014; Nouaili et al., 2015; Sufian &amp; Noor Mohamad, 2012)</w:t>
      </w:r>
      <w:r w:rsidRPr="00B57AB7">
        <w:rPr>
          <w:rFonts w:ascii="Garamond" w:hAnsi="Garamond"/>
          <w:lang w:val="en-US"/>
        </w:rPr>
        <w:fldChar w:fldCharType="end"/>
      </w:r>
      <w:r w:rsidRPr="00B57AB7">
        <w:rPr>
          <w:rFonts w:ascii="Garamond" w:hAnsi="Garamond"/>
        </w:rPr>
        <w:t xml:space="preserve">. </w:t>
      </w:r>
      <w:r w:rsidR="00706702" w:rsidRPr="00B57AB7">
        <w:rPr>
          <w:rFonts w:ascii="Garamond" w:hAnsi="Garamond"/>
          <w:lang w:val="en-US"/>
        </w:rPr>
        <w:t xml:space="preserve">This confirms our hypothesis that government spending can affect bank performance through its effect on economic growth. </w:t>
      </w:r>
      <w:r w:rsidRPr="00B57AB7">
        <w:rPr>
          <w:rFonts w:ascii="Garamond" w:hAnsi="Garamond"/>
          <w:lang w:val="en-US"/>
        </w:rPr>
        <w:t xml:space="preserve">A breakdown of the consulted empirical literature on the determinants of bank performance is summarized in </w:t>
      </w:r>
      <w:r w:rsidR="00706702" w:rsidRPr="00B57AB7">
        <w:rPr>
          <w:rFonts w:ascii="Garamond" w:hAnsi="Garamond"/>
          <w:lang w:val="en-US"/>
        </w:rPr>
        <w:t>Appendix B</w:t>
      </w:r>
      <w:r w:rsidRPr="00B57AB7">
        <w:rPr>
          <w:rFonts w:ascii="Garamond" w:hAnsi="Garamond"/>
          <w:lang w:val="en-US"/>
        </w:rPr>
        <w:t>.</w:t>
      </w:r>
    </w:p>
    <w:p w14:paraId="785BCE6D" w14:textId="39AB618E" w:rsidR="00F640BA" w:rsidRPr="00B57AB7" w:rsidRDefault="00A74E5B" w:rsidP="00C81351">
      <w:pPr>
        <w:tabs>
          <w:tab w:val="left" w:pos="7470"/>
        </w:tabs>
        <w:spacing w:before="120" w:after="120" w:line="276" w:lineRule="auto"/>
        <w:jc w:val="both"/>
        <w:rPr>
          <w:rFonts w:ascii="Garamond" w:hAnsi="Garamond"/>
          <w:lang w:val="en-US"/>
        </w:rPr>
      </w:pPr>
      <w:r w:rsidRPr="00B57AB7">
        <w:rPr>
          <w:rFonts w:ascii="Garamond" w:hAnsi="Garamond"/>
          <w:lang w:val="en-US"/>
        </w:rPr>
        <w:t>A</w:t>
      </w:r>
      <w:r w:rsidR="00F640BA" w:rsidRPr="00B57AB7">
        <w:rPr>
          <w:rFonts w:ascii="Garamond" w:hAnsi="Garamond"/>
          <w:lang w:val="en-US"/>
        </w:rPr>
        <w:t>ccording to intuition and most of the consulted empirical literature, economic growth is most likely to have a positive effect on bank performance. As the profitability of the banking activity relies heavily on good macroeconomic conditions to boost the demand for credit and other intermediation services. We can consider economic growth as a main external driver of bank performance.</w:t>
      </w:r>
    </w:p>
    <w:p w14:paraId="750B36E3" w14:textId="77777777" w:rsidR="00F640BA" w:rsidRPr="00B57AB7" w:rsidRDefault="00F640BA" w:rsidP="00C81351">
      <w:pPr>
        <w:tabs>
          <w:tab w:val="left" w:pos="7470"/>
        </w:tabs>
        <w:spacing w:before="120" w:after="120" w:line="276" w:lineRule="auto"/>
        <w:jc w:val="both"/>
        <w:rPr>
          <w:rFonts w:ascii="Garamond" w:hAnsi="Garamond"/>
          <w:lang w:val="en-US"/>
        </w:rPr>
      </w:pPr>
      <w:r w:rsidRPr="00B57AB7">
        <w:rPr>
          <w:rFonts w:ascii="Garamond" w:hAnsi="Garamond"/>
          <w:lang w:val="en-US"/>
        </w:rPr>
        <w:lastRenderedPageBreak/>
        <w:t xml:space="preserve">We can thus presume that the effect of government spending on economic growth and bank performance is the same. That is, by affecting economic growth government spending indirectly affects bank performance.  For instance, if we assume that spending has a positive growth effect and that economic growth boosts bank performance, then, by boosting economic growth, government spending also, indirectly, boosts bank performance. The same logic applies if we consider that government spending has a negative or a nonlinear effect on economic growth. Accordingly, if we assume that economic growth positively affects bank performance, then government spending affects performance, indirectly, in the same way that it affects economic growth. </w:t>
      </w:r>
    </w:p>
    <w:p w14:paraId="27AB5A9E" w14:textId="558C7BAD" w:rsidR="00FE7E9D" w:rsidRDefault="00E62A64" w:rsidP="003636EC">
      <w:pPr>
        <w:pStyle w:val="Heading1"/>
        <w:numPr>
          <w:ilvl w:val="0"/>
          <w:numId w:val="12"/>
        </w:numPr>
        <w:spacing w:before="240" w:after="120" w:line="276" w:lineRule="auto"/>
        <w:ind w:left="547" w:right="562" w:hanging="187"/>
        <w:contextualSpacing w:val="0"/>
        <w:jc w:val="both"/>
        <w:rPr>
          <w:szCs w:val="24"/>
          <w:lang w:val="en-US"/>
        </w:rPr>
      </w:pPr>
      <w:r w:rsidRPr="00B57AB7">
        <w:rPr>
          <w:szCs w:val="24"/>
          <w:lang w:val="en-US"/>
        </w:rPr>
        <w:t>Data and methodology</w:t>
      </w:r>
    </w:p>
    <w:p w14:paraId="6074D5D7" w14:textId="5959A4EF" w:rsidR="00EB63C0" w:rsidRPr="00C81351" w:rsidRDefault="00EB63C0" w:rsidP="00CB0EE8">
      <w:pPr>
        <w:tabs>
          <w:tab w:val="left" w:pos="7470"/>
        </w:tabs>
        <w:spacing w:before="120" w:after="120" w:line="276" w:lineRule="auto"/>
        <w:jc w:val="both"/>
        <w:rPr>
          <w:rFonts w:ascii="Garamond" w:hAnsi="Garamond"/>
          <w:rtl/>
          <w:cs/>
          <w:lang w:val="en-US"/>
        </w:rPr>
      </w:pPr>
      <w:r w:rsidRPr="00C81351">
        <w:rPr>
          <w:rFonts w:ascii="Garamond" w:hAnsi="Garamond"/>
          <w:lang w:val="en-US"/>
        </w:rPr>
        <w:t>This section presents our adopted approach to examine the</w:t>
      </w:r>
      <w:r w:rsidR="00A23532">
        <w:rPr>
          <w:rFonts w:ascii="Garamond" w:hAnsi="Garamond"/>
          <w:lang w:val="en-US"/>
        </w:rPr>
        <w:t xml:space="preserve"> </w:t>
      </w:r>
      <w:r w:rsidR="00AA2099" w:rsidRPr="00AA2099">
        <w:rPr>
          <w:rFonts w:ascii="Garamond" w:hAnsi="Garamond"/>
          <w:lang w:val="en-US"/>
        </w:rPr>
        <w:t>relationship between government spending and bank performance</w:t>
      </w:r>
      <w:r w:rsidRPr="00C81351">
        <w:rPr>
          <w:rFonts w:ascii="Garamond" w:hAnsi="Garamond"/>
          <w:lang w:val="en-US"/>
        </w:rPr>
        <w:t xml:space="preserve"> in the </w:t>
      </w:r>
      <w:r w:rsidR="00A23532">
        <w:rPr>
          <w:rFonts w:ascii="Garamond" w:hAnsi="Garamond"/>
          <w:lang w:val="en-US"/>
        </w:rPr>
        <w:t>MENA</w:t>
      </w:r>
      <w:r w:rsidRPr="00C81351">
        <w:rPr>
          <w:rFonts w:ascii="Garamond" w:hAnsi="Garamond"/>
          <w:lang w:val="en-US"/>
        </w:rPr>
        <w:t xml:space="preserve"> region. To this end, we describe the selected variables, </w:t>
      </w:r>
      <w:r w:rsidR="00CB0EE8">
        <w:rPr>
          <w:rFonts w:ascii="Garamond" w:hAnsi="Garamond"/>
          <w:lang w:val="en-US"/>
        </w:rPr>
        <w:t xml:space="preserve">according to </w:t>
      </w:r>
      <w:r w:rsidRPr="00C81351">
        <w:rPr>
          <w:rFonts w:ascii="Garamond" w:hAnsi="Garamond"/>
          <w:lang w:val="en-US"/>
        </w:rPr>
        <w:t xml:space="preserve">data </w:t>
      </w:r>
      <w:r w:rsidRPr="00C81351">
        <w:rPr>
          <w:rFonts w:ascii="Garamond" w:hAnsi="Garamond"/>
          <w:cs/>
          <w:lang w:val="en-US"/>
        </w:rPr>
        <w:t>‎</w:t>
      </w:r>
      <w:r w:rsidRPr="00C81351">
        <w:rPr>
          <w:rFonts w:ascii="Garamond" w:hAnsi="Garamond"/>
          <w:lang w:val="en-US"/>
        </w:rPr>
        <w:t>limitation and the intended objectives. Then, we specify the appropriate econometric model, which tackles all statistical problems</w:t>
      </w:r>
      <w:r w:rsidR="00CB0EE8">
        <w:rPr>
          <w:rFonts w:ascii="Garamond" w:hAnsi="Garamond"/>
          <w:lang w:val="en-US"/>
        </w:rPr>
        <w:t>,</w:t>
      </w:r>
      <w:r w:rsidRPr="00C81351">
        <w:rPr>
          <w:rFonts w:ascii="Garamond" w:hAnsi="Garamond"/>
          <w:lang w:val="en-US"/>
        </w:rPr>
        <w:t xml:space="preserve"> </w:t>
      </w:r>
      <w:r w:rsidR="00CB0EE8" w:rsidRPr="00C81351">
        <w:rPr>
          <w:rFonts w:ascii="Garamond" w:hAnsi="Garamond"/>
          <w:lang w:val="en-US"/>
        </w:rPr>
        <w:t xml:space="preserve">taking into consideration </w:t>
      </w:r>
      <w:r w:rsidRPr="00C81351">
        <w:rPr>
          <w:rFonts w:ascii="Garamond" w:hAnsi="Garamond"/>
          <w:lang w:val="en-US"/>
        </w:rPr>
        <w:t xml:space="preserve">the specific </w:t>
      </w:r>
      <w:r w:rsidRPr="00C81351">
        <w:rPr>
          <w:rFonts w:ascii="Garamond" w:hAnsi="Garamond"/>
          <w:cs/>
          <w:lang w:val="en-US"/>
        </w:rPr>
        <w:t>‎</w:t>
      </w:r>
      <w:r w:rsidRPr="00C81351">
        <w:rPr>
          <w:rFonts w:ascii="Garamond" w:hAnsi="Garamond"/>
          <w:lang w:val="en-US"/>
        </w:rPr>
        <w:t>characteristics</w:t>
      </w:r>
      <w:r w:rsidR="00AA2099">
        <w:rPr>
          <w:rFonts w:ascii="Garamond" w:hAnsi="Garamond"/>
          <w:lang w:val="en-US"/>
        </w:rPr>
        <w:t xml:space="preserve"> of the MENA </w:t>
      </w:r>
      <w:r w:rsidR="00AA2099" w:rsidRPr="00E138D8">
        <w:rPr>
          <w:rFonts w:ascii="Garamond" w:hAnsi="Garamond"/>
          <w:lang w:val="en-US"/>
        </w:rPr>
        <w:t>countries</w:t>
      </w:r>
      <w:r w:rsidRPr="00C81351">
        <w:rPr>
          <w:rFonts w:ascii="Garamond" w:hAnsi="Garamond"/>
          <w:lang w:val="en-US"/>
        </w:rPr>
        <w:t>.</w:t>
      </w:r>
      <w:r w:rsidRPr="00C81351">
        <w:rPr>
          <w:rFonts w:ascii="Garamond" w:hAnsi="Garamond"/>
          <w:cs/>
          <w:lang w:val="en-US"/>
        </w:rPr>
        <w:t>‎</w:t>
      </w:r>
    </w:p>
    <w:p w14:paraId="1128CC99" w14:textId="353A090A" w:rsidR="00A74E5B" w:rsidRPr="00C81351" w:rsidRDefault="006E31F7" w:rsidP="00ED588F">
      <w:pPr>
        <w:pStyle w:val="Heading2"/>
        <w:rPr>
          <w:i w:val="0"/>
          <w:iCs w:val="0"/>
          <w:szCs w:val="24"/>
          <w:lang w:val="en-US"/>
        </w:rPr>
      </w:pPr>
      <w:r w:rsidRPr="00C81351">
        <w:rPr>
          <w:i w:val="0"/>
          <w:iCs w:val="0"/>
          <w:szCs w:val="24"/>
          <w:lang w:val="en-US"/>
        </w:rPr>
        <w:t xml:space="preserve">III.1. </w:t>
      </w:r>
      <w:r w:rsidR="00A74E5B" w:rsidRPr="00C81351">
        <w:rPr>
          <w:i w:val="0"/>
          <w:iCs w:val="0"/>
          <w:szCs w:val="24"/>
          <w:lang w:val="en-US"/>
        </w:rPr>
        <w:t>Data</w:t>
      </w:r>
      <w:r w:rsidR="00B57AB7" w:rsidRPr="00C81351">
        <w:rPr>
          <w:i w:val="0"/>
          <w:iCs w:val="0"/>
          <w:szCs w:val="24"/>
          <w:lang w:val="en-US"/>
        </w:rPr>
        <w:t xml:space="preserve"> </w:t>
      </w:r>
      <w:r w:rsidR="00ED588F">
        <w:rPr>
          <w:i w:val="0"/>
          <w:iCs w:val="0"/>
          <w:szCs w:val="24"/>
          <w:lang w:val="en-US"/>
        </w:rPr>
        <w:t>description</w:t>
      </w:r>
      <w:r w:rsidR="00B57AB7" w:rsidRPr="00C81351">
        <w:rPr>
          <w:i w:val="0"/>
          <w:iCs w:val="0"/>
          <w:szCs w:val="24"/>
          <w:lang w:val="en-US"/>
        </w:rPr>
        <w:t xml:space="preserve"> </w:t>
      </w:r>
    </w:p>
    <w:p w14:paraId="2C40AEEF" w14:textId="4E69F71D" w:rsidR="00E44DEF" w:rsidRDefault="005B4EF7" w:rsidP="00E244E2">
      <w:pPr>
        <w:spacing w:before="120" w:after="120" w:line="276" w:lineRule="auto"/>
        <w:jc w:val="both"/>
        <w:rPr>
          <w:rFonts w:ascii="Garamond" w:hAnsi="Garamond"/>
          <w:lang w:val="en-US"/>
        </w:rPr>
      </w:pPr>
      <w:r w:rsidRPr="00B57AB7">
        <w:rPr>
          <w:rFonts w:ascii="Garamond" w:hAnsi="Garamond"/>
          <w:lang w:val="en-US"/>
        </w:rPr>
        <w:t>To test for the impact of government spending on bank performance,</w:t>
      </w:r>
      <w:r w:rsidR="00FD6EB1" w:rsidRPr="00B57AB7">
        <w:rPr>
          <w:rFonts w:ascii="Garamond" w:hAnsi="Garamond"/>
          <w:lang w:val="en-US"/>
        </w:rPr>
        <w:t xml:space="preserve"> we employed </w:t>
      </w:r>
      <w:r w:rsidR="00A74E5B" w:rsidRPr="00B57AB7">
        <w:rPr>
          <w:rFonts w:ascii="Garamond" w:hAnsi="Garamond"/>
          <w:lang w:val="en-US"/>
        </w:rPr>
        <w:t>both</w:t>
      </w:r>
      <w:r w:rsidR="00FD6EB1" w:rsidRPr="00B57AB7">
        <w:rPr>
          <w:rFonts w:ascii="Garamond" w:hAnsi="Garamond"/>
          <w:lang w:val="en-US"/>
        </w:rPr>
        <w:t xml:space="preserve"> bank-level </w:t>
      </w:r>
      <w:r w:rsidR="00A74E5B" w:rsidRPr="00B57AB7">
        <w:rPr>
          <w:rFonts w:ascii="Garamond" w:hAnsi="Garamond"/>
          <w:lang w:val="en-US"/>
        </w:rPr>
        <w:t xml:space="preserve">and country-level data. The </w:t>
      </w:r>
      <w:r w:rsidR="00FD6EB1" w:rsidRPr="00B57AB7">
        <w:rPr>
          <w:rFonts w:ascii="Garamond" w:hAnsi="Garamond"/>
          <w:lang w:val="en-US"/>
        </w:rPr>
        <w:t xml:space="preserve">dataset </w:t>
      </w:r>
      <w:r w:rsidR="00CC117C" w:rsidRPr="00B57AB7">
        <w:rPr>
          <w:rFonts w:ascii="Garamond" w:hAnsi="Garamond"/>
          <w:lang w:val="en-US"/>
        </w:rPr>
        <w:t xml:space="preserve">is </w:t>
      </w:r>
      <w:r w:rsidR="00FD6EB1" w:rsidRPr="00B57AB7">
        <w:rPr>
          <w:rFonts w:ascii="Garamond" w:hAnsi="Garamond"/>
          <w:lang w:val="en-US"/>
        </w:rPr>
        <w:t>based on banks’ balance sheets</w:t>
      </w:r>
      <w:r w:rsidR="00A74E5B" w:rsidRPr="00B57AB7">
        <w:rPr>
          <w:rFonts w:ascii="Garamond" w:hAnsi="Garamond"/>
          <w:lang w:val="en-US"/>
        </w:rPr>
        <w:t xml:space="preserve"> sourced from Bureau van Dijk’s </w:t>
      </w:r>
      <w:proofErr w:type="spellStart"/>
      <w:r w:rsidR="00A74E5B" w:rsidRPr="00B57AB7">
        <w:rPr>
          <w:rFonts w:ascii="Garamond" w:hAnsi="Garamond"/>
          <w:lang w:val="en-US"/>
        </w:rPr>
        <w:t>Bankfocus</w:t>
      </w:r>
      <w:proofErr w:type="spellEnd"/>
      <w:r w:rsidR="00A74E5B" w:rsidRPr="00B57AB7">
        <w:rPr>
          <w:rFonts w:ascii="Garamond" w:hAnsi="Garamond"/>
          <w:lang w:val="en-US"/>
        </w:rPr>
        <w:t xml:space="preserve"> database as well as cou</w:t>
      </w:r>
      <w:r w:rsidR="00CC117C" w:rsidRPr="00B57AB7">
        <w:rPr>
          <w:rFonts w:ascii="Garamond" w:hAnsi="Garamond"/>
          <w:lang w:val="en-US"/>
        </w:rPr>
        <w:t>n</w:t>
      </w:r>
      <w:r w:rsidR="00A74E5B" w:rsidRPr="00B57AB7">
        <w:rPr>
          <w:rFonts w:ascii="Garamond" w:hAnsi="Garamond"/>
          <w:lang w:val="en-US"/>
        </w:rPr>
        <w:t>try-level variables sources from various international</w:t>
      </w:r>
      <w:r w:rsidR="00ED588F">
        <w:rPr>
          <w:rFonts w:ascii="Garamond" w:hAnsi="Garamond"/>
          <w:lang w:val="en-US"/>
        </w:rPr>
        <w:t xml:space="preserve"> institutions</w:t>
      </w:r>
      <w:r w:rsidR="00A74E5B" w:rsidRPr="00B57AB7">
        <w:rPr>
          <w:rFonts w:ascii="Garamond" w:hAnsi="Garamond"/>
          <w:lang w:val="en-US"/>
        </w:rPr>
        <w:t xml:space="preserve"> (IMF and World </w:t>
      </w:r>
      <w:r w:rsidR="00CC117C" w:rsidRPr="00B57AB7">
        <w:rPr>
          <w:rFonts w:ascii="Garamond" w:hAnsi="Garamond"/>
          <w:lang w:val="en-US"/>
        </w:rPr>
        <w:t>B</w:t>
      </w:r>
      <w:r w:rsidR="00A74E5B" w:rsidRPr="00B57AB7">
        <w:rPr>
          <w:rFonts w:ascii="Garamond" w:hAnsi="Garamond"/>
          <w:lang w:val="en-US"/>
        </w:rPr>
        <w:t xml:space="preserve">ank) and national </w:t>
      </w:r>
      <w:r w:rsidR="00ED588F" w:rsidRPr="00B57AB7">
        <w:rPr>
          <w:rFonts w:ascii="Garamond" w:hAnsi="Garamond"/>
          <w:lang w:val="en-US"/>
        </w:rPr>
        <w:t xml:space="preserve">authorities </w:t>
      </w:r>
      <w:r w:rsidR="00A74E5B" w:rsidRPr="00B57AB7">
        <w:rPr>
          <w:rFonts w:ascii="Garamond" w:hAnsi="Garamond"/>
          <w:lang w:val="en-US"/>
        </w:rPr>
        <w:t>(Central banks and ministries of finance). The initial dataset cover</w:t>
      </w:r>
      <w:r w:rsidR="00CC117C" w:rsidRPr="00B57AB7">
        <w:rPr>
          <w:rFonts w:ascii="Garamond" w:hAnsi="Garamond"/>
          <w:lang w:val="en-US"/>
        </w:rPr>
        <w:t>s</w:t>
      </w:r>
      <w:r w:rsidR="00A74E5B" w:rsidRPr="00B57AB7">
        <w:rPr>
          <w:rFonts w:ascii="Garamond" w:hAnsi="Garamond"/>
          <w:lang w:val="en-US"/>
        </w:rPr>
        <w:t xml:space="preserve"> banks from 12 MENA</w:t>
      </w:r>
      <w:r w:rsidR="003D3D82">
        <w:rPr>
          <w:rStyle w:val="FootnoteReference"/>
          <w:rFonts w:ascii="Garamond" w:hAnsi="Garamond"/>
          <w:lang w:val="en-US"/>
        </w:rPr>
        <w:footnoteReference w:id="4"/>
      </w:r>
      <w:r w:rsidR="00A74E5B" w:rsidRPr="00B57AB7">
        <w:rPr>
          <w:rFonts w:ascii="Garamond" w:hAnsi="Garamond"/>
          <w:lang w:val="en-US"/>
        </w:rPr>
        <w:t xml:space="preserve"> countries over the period 2002-2019. </w:t>
      </w:r>
      <w:r w:rsidR="00FD6EB1" w:rsidRPr="00B57AB7">
        <w:rPr>
          <w:rFonts w:ascii="Garamond" w:hAnsi="Garamond"/>
          <w:lang w:val="en-US"/>
        </w:rPr>
        <w:t xml:space="preserve">After </w:t>
      </w:r>
      <w:r w:rsidR="00A74E5B" w:rsidRPr="00B57AB7">
        <w:rPr>
          <w:rFonts w:ascii="Garamond" w:hAnsi="Garamond"/>
          <w:lang w:val="en-US"/>
        </w:rPr>
        <w:t>removing banks with a high number of missing data</w:t>
      </w:r>
      <w:r w:rsidR="00B21A80" w:rsidRPr="00B57AB7">
        <w:rPr>
          <w:rFonts w:ascii="Garamond" w:hAnsi="Garamond"/>
          <w:lang w:val="en-US"/>
        </w:rPr>
        <w:t xml:space="preserve"> (more precisely, with more than 25% of the data missing)</w:t>
      </w:r>
      <w:r w:rsidR="00FD6EB1" w:rsidRPr="00B57AB7">
        <w:rPr>
          <w:rFonts w:ascii="Garamond" w:hAnsi="Garamond"/>
          <w:lang w:val="en-US"/>
        </w:rPr>
        <w:t>,</w:t>
      </w:r>
      <w:r w:rsidR="00A74E5B" w:rsidRPr="00B57AB7">
        <w:rPr>
          <w:rFonts w:ascii="Garamond" w:hAnsi="Garamond"/>
          <w:lang w:val="en-US"/>
        </w:rPr>
        <w:t xml:space="preserve"> we </w:t>
      </w:r>
      <w:r w:rsidR="00B078AA" w:rsidRPr="00B078AA">
        <w:rPr>
          <w:rFonts w:ascii="Garamond" w:hAnsi="Garamond"/>
          <w:lang w:val="en-US"/>
        </w:rPr>
        <w:t>removed the top and bottom 1% of observations for the dependent variable, t</w:t>
      </w:r>
      <w:r w:rsidR="00E44DEF">
        <w:rPr>
          <w:rFonts w:ascii="Garamond" w:hAnsi="Garamond"/>
          <w:lang w:val="en-US"/>
        </w:rPr>
        <w:t>o reduce the outliers’ effects.</w:t>
      </w:r>
      <w:r w:rsidR="00E244E2" w:rsidRPr="001F23BA">
        <w:rPr>
          <w:rFonts w:ascii="Garamond" w:hAnsi="Garamond"/>
          <w:lang w:val="en-US"/>
        </w:rPr>
        <w:t xml:space="preserve"> </w:t>
      </w:r>
      <w:r w:rsidR="00E244E2" w:rsidRPr="00E244E2">
        <w:rPr>
          <w:rFonts w:ascii="Garamond" w:hAnsi="Garamond"/>
          <w:lang w:val="en-US"/>
        </w:rPr>
        <w:t xml:space="preserve">After adjustments, the final sample includes </w:t>
      </w:r>
      <w:r w:rsidR="00E244E2">
        <w:rPr>
          <w:rFonts w:ascii="Garamond" w:hAnsi="Garamond"/>
          <w:lang w:val="en-US"/>
        </w:rPr>
        <w:t>1</w:t>
      </w:r>
      <w:r w:rsidR="00E244E2" w:rsidRPr="00E244E2">
        <w:rPr>
          <w:rFonts w:ascii="Garamond" w:hAnsi="Garamond"/>
          <w:lang w:val="en-US"/>
        </w:rPr>
        <w:t>7</w:t>
      </w:r>
      <w:r w:rsidR="00E244E2">
        <w:rPr>
          <w:rFonts w:ascii="Garamond" w:hAnsi="Garamond"/>
          <w:lang w:val="en-US"/>
        </w:rPr>
        <w:t>9</w:t>
      </w:r>
      <w:r w:rsidR="00E244E2" w:rsidRPr="00E244E2">
        <w:rPr>
          <w:rFonts w:ascii="Garamond" w:hAnsi="Garamond"/>
          <w:lang w:val="en-US"/>
        </w:rPr>
        <w:t xml:space="preserve"> banks over the period 2002-201</w:t>
      </w:r>
      <w:r w:rsidR="00E244E2">
        <w:rPr>
          <w:rFonts w:ascii="Garamond" w:hAnsi="Garamond"/>
          <w:lang w:val="en-US"/>
        </w:rPr>
        <w:t>9</w:t>
      </w:r>
      <w:r w:rsidR="00E244E2" w:rsidRPr="00E244E2">
        <w:rPr>
          <w:rFonts w:ascii="Garamond" w:hAnsi="Garamond"/>
          <w:lang w:val="en-US"/>
        </w:rPr>
        <w:t xml:space="preserve">, giving a total of </w:t>
      </w:r>
      <w:r w:rsidR="00E244E2">
        <w:rPr>
          <w:rFonts w:ascii="Garamond" w:hAnsi="Garamond"/>
          <w:lang w:val="en-US"/>
        </w:rPr>
        <w:t>around 3300</w:t>
      </w:r>
      <w:r w:rsidR="00E244E2" w:rsidRPr="00E244E2">
        <w:rPr>
          <w:rFonts w:ascii="Garamond" w:hAnsi="Garamond"/>
          <w:lang w:val="en-US"/>
        </w:rPr>
        <w:t xml:space="preserve"> observations per variable. (</w:t>
      </w:r>
      <w:proofErr w:type="gramStart"/>
      <w:r w:rsidR="00E244E2" w:rsidRPr="00E244E2">
        <w:rPr>
          <w:rFonts w:ascii="Garamond" w:hAnsi="Garamond"/>
          <w:lang w:val="en-US"/>
        </w:rPr>
        <w:t>see</w:t>
      </w:r>
      <w:proofErr w:type="gramEnd"/>
      <w:r w:rsidR="00E244E2" w:rsidRPr="00E244E2">
        <w:rPr>
          <w:rFonts w:ascii="Garamond" w:hAnsi="Garamond"/>
          <w:lang w:val="en-US"/>
        </w:rPr>
        <w:t xml:space="preserve"> Table 1).</w:t>
      </w:r>
    </w:p>
    <w:p w14:paraId="245BE395" w14:textId="26F04CBB" w:rsidR="00CB0EE8" w:rsidRDefault="00F45EA7" w:rsidP="00F45EA7">
      <w:pPr>
        <w:spacing w:before="120" w:after="120" w:line="276" w:lineRule="auto"/>
        <w:jc w:val="both"/>
        <w:rPr>
          <w:rFonts w:ascii="Garamond" w:hAnsi="Garamond"/>
          <w:lang w:val="en-US"/>
        </w:rPr>
      </w:pPr>
      <w:r>
        <w:rPr>
          <w:rFonts w:ascii="Garamond" w:hAnsi="Garamond"/>
          <w:lang w:val="en-US"/>
        </w:rPr>
        <w:t>T</w:t>
      </w:r>
      <w:r w:rsidR="00CB0EE8" w:rsidRPr="00CB0EE8">
        <w:rPr>
          <w:rFonts w:ascii="Garamond" w:hAnsi="Garamond"/>
          <w:lang w:val="en-US"/>
        </w:rPr>
        <w:t>o explain the banks’ performance, we selected t</w:t>
      </w:r>
      <w:r w:rsidR="00CB0EE8">
        <w:rPr>
          <w:rFonts w:ascii="Garamond" w:hAnsi="Garamond"/>
          <w:lang w:val="en-US"/>
        </w:rPr>
        <w:t xml:space="preserve">hree dependent variables namely: </w:t>
      </w:r>
      <w:r w:rsidR="00AF033F">
        <w:rPr>
          <w:rFonts w:ascii="Garamond" w:hAnsi="Garamond"/>
          <w:lang w:val="en-US"/>
        </w:rPr>
        <w:t xml:space="preserve">Return on Assets (ROA), </w:t>
      </w:r>
      <w:r w:rsidR="00CB0EE8">
        <w:rPr>
          <w:rFonts w:ascii="Garamond" w:hAnsi="Garamond"/>
          <w:lang w:val="en-US"/>
        </w:rPr>
        <w:t>Return on Equity (ROE)</w:t>
      </w:r>
      <w:r w:rsidR="00BD2132">
        <w:rPr>
          <w:rFonts w:ascii="Garamond" w:hAnsi="Garamond"/>
          <w:lang w:val="en-US"/>
        </w:rPr>
        <w:t>,</w:t>
      </w:r>
      <w:r w:rsidR="00CB0EE8">
        <w:rPr>
          <w:rFonts w:ascii="Garamond" w:hAnsi="Garamond"/>
          <w:lang w:val="en-US"/>
        </w:rPr>
        <w:t xml:space="preserve"> and</w:t>
      </w:r>
      <w:r w:rsidR="00CB0EE8" w:rsidRPr="00CB0EE8">
        <w:rPr>
          <w:rFonts w:ascii="Garamond" w:hAnsi="Garamond"/>
          <w:lang w:val="en-US"/>
        </w:rPr>
        <w:t xml:space="preserve"> Lending growth</w:t>
      </w:r>
      <w:r w:rsidR="00AF033F">
        <w:rPr>
          <w:rFonts w:ascii="Garamond" w:hAnsi="Garamond"/>
          <w:lang w:val="en-US"/>
        </w:rPr>
        <w:t xml:space="preserve"> (LNDG)</w:t>
      </w:r>
      <w:r w:rsidR="00CB0EE8">
        <w:rPr>
          <w:rFonts w:ascii="Garamond" w:hAnsi="Garamond"/>
          <w:lang w:val="en-US"/>
        </w:rPr>
        <w:t>.</w:t>
      </w:r>
      <w:r>
        <w:rPr>
          <w:rFonts w:ascii="Garamond" w:hAnsi="Garamond"/>
          <w:lang w:val="en-US"/>
        </w:rPr>
        <w:t xml:space="preserve"> T</w:t>
      </w:r>
      <w:r w:rsidR="00CB0EE8" w:rsidRPr="00CB0EE8">
        <w:rPr>
          <w:rFonts w:ascii="Garamond" w:hAnsi="Garamond"/>
          <w:lang w:val="en-US"/>
        </w:rPr>
        <w:t>he ROA and RO</w:t>
      </w:r>
      <w:r w:rsidR="00AF033F">
        <w:rPr>
          <w:rFonts w:ascii="Garamond" w:hAnsi="Garamond"/>
          <w:lang w:val="en-US"/>
        </w:rPr>
        <w:t>E are measured as the ratio of t</w:t>
      </w:r>
      <w:r w:rsidR="00CB0EE8" w:rsidRPr="00CB0EE8">
        <w:rPr>
          <w:rFonts w:ascii="Garamond" w:hAnsi="Garamond"/>
          <w:lang w:val="en-US"/>
        </w:rPr>
        <w:t xml:space="preserve">otal operating return to average total </w:t>
      </w:r>
      <w:r w:rsidR="00AF033F">
        <w:rPr>
          <w:rFonts w:ascii="Garamond" w:hAnsi="Garamond"/>
          <w:lang w:val="en-US"/>
        </w:rPr>
        <w:t xml:space="preserve">assets and equity respectively, </w:t>
      </w:r>
      <w:r w:rsidR="00CB0EE8" w:rsidRPr="00CB0EE8">
        <w:rPr>
          <w:rFonts w:ascii="Garamond" w:hAnsi="Garamond"/>
          <w:lang w:val="en-US"/>
        </w:rPr>
        <w:t>while lending growth is the year-to-year difference of the log of gross loans. The return on assets denotes the percent return on each dollar of assets and represents the bank’s ability to manage and allocate its assets to generate profits, or in other words, the performance of its investment policy (</w:t>
      </w:r>
      <w:proofErr w:type="spellStart"/>
      <w:r w:rsidR="00CB0EE8" w:rsidRPr="00CB0EE8">
        <w:rPr>
          <w:rFonts w:ascii="Garamond" w:hAnsi="Garamond"/>
          <w:lang w:val="en-US"/>
        </w:rPr>
        <w:t>Jara</w:t>
      </w:r>
      <w:r w:rsidR="00CB0EE8" w:rsidRPr="00CB0EE8">
        <w:rPr>
          <w:lang w:val="en-US"/>
        </w:rPr>
        <w:t>‐</w:t>
      </w:r>
      <w:r w:rsidR="00CB0EE8" w:rsidRPr="00CB0EE8">
        <w:rPr>
          <w:rFonts w:ascii="Garamond" w:hAnsi="Garamond"/>
          <w:lang w:val="en-US"/>
        </w:rPr>
        <w:t>Bertin</w:t>
      </w:r>
      <w:proofErr w:type="spellEnd"/>
      <w:r w:rsidR="00CB0EE8" w:rsidRPr="00CB0EE8">
        <w:rPr>
          <w:rFonts w:ascii="Garamond" w:hAnsi="Garamond"/>
          <w:lang w:val="en-US"/>
        </w:rPr>
        <w:t xml:space="preserve"> et al., 2014). On the other hand, the return on equity denotes the percent return on each dollar of equity and the performance of the bank financing policies (</w:t>
      </w:r>
      <w:proofErr w:type="spellStart"/>
      <w:r w:rsidR="00CB0EE8" w:rsidRPr="00CB0EE8">
        <w:rPr>
          <w:rFonts w:ascii="Garamond" w:hAnsi="Garamond"/>
          <w:lang w:val="en-US"/>
        </w:rPr>
        <w:t>Sufian</w:t>
      </w:r>
      <w:proofErr w:type="spellEnd"/>
      <w:r w:rsidR="00CB0EE8" w:rsidRPr="00CB0EE8">
        <w:rPr>
          <w:rFonts w:ascii="Garamond" w:hAnsi="Garamond"/>
          <w:lang w:val="en-US"/>
        </w:rPr>
        <w:t xml:space="preserve"> &amp; Noor Mohamad, 2012). Finally, lending growth is analogous to the turnover of a nonfinancial company and arguably represents performance. It should be noted that while lending growth is not a precise indicator of performance, other indicators used in the literature also have their limitations. For instance, the ROA does not represent profits from off-balance activities while the ROE neglects the risks and costs associated with leverage (</w:t>
      </w:r>
      <w:proofErr w:type="spellStart"/>
      <w:r w:rsidR="00CB0EE8" w:rsidRPr="00CB0EE8">
        <w:rPr>
          <w:rFonts w:ascii="Garamond" w:hAnsi="Garamond"/>
          <w:lang w:val="en-US"/>
        </w:rPr>
        <w:t>Sufian</w:t>
      </w:r>
      <w:proofErr w:type="spellEnd"/>
      <w:r w:rsidR="00CB0EE8" w:rsidRPr="00CB0EE8">
        <w:rPr>
          <w:rFonts w:ascii="Garamond" w:hAnsi="Garamond"/>
          <w:lang w:val="en-US"/>
        </w:rPr>
        <w:t xml:space="preserve"> &amp; Noor Mohamad, 2012). Using three different indicators </w:t>
      </w:r>
      <w:r w:rsidR="00CB0EE8" w:rsidRPr="00CB0EE8">
        <w:rPr>
          <w:rFonts w:ascii="Garamond" w:hAnsi="Garamond"/>
          <w:lang w:val="en-US"/>
        </w:rPr>
        <w:lastRenderedPageBreak/>
        <w:t>of bank performance is a way to account for these differences and the different ways in which bank-specific and country-specific factors affect various aspects of bank performance in the MENA region.</w:t>
      </w:r>
    </w:p>
    <w:p w14:paraId="7B525BBE" w14:textId="172FD2DB" w:rsidR="00AE7FD6" w:rsidRDefault="00CB0EE8" w:rsidP="00AE7FD6">
      <w:pPr>
        <w:spacing w:before="120" w:after="120" w:line="276" w:lineRule="auto"/>
        <w:jc w:val="both"/>
        <w:rPr>
          <w:rFonts w:ascii="Garamond" w:hAnsi="Garamond"/>
          <w:lang w:val="en-US"/>
        </w:rPr>
      </w:pPr>
      <w:r w:rsidRPr="00CB0EE8">
        <w:rPr>
          <w:rFonts w:ascii="Garamond" w:hAnsi="Garamond"/>
          <w:lang w:val="en-US"/>
        </w:rPr>
        <w:t>Regarding the main selected independent variables, the</w:t>
      </w:r>
      <w:r w:rsidR="00AE7FD6" w:rsidRPr="00AE7FD6">
        <w:rPr>
          <w:rFonts w:ascii="Garamond" w:hAnsi="Garamond"/>
          <w:lang w:val="en-US"/>
        </w:rPr>
        <w:t xml:space="preserve"> </w:t>
      </w:r>
      <w:r w:rsidR="00AE7FD6" w:rsidRPr="00B57AB7">
        <w:rPr>
          <w:rFonts w:ascii="Garamond" w:hAnsi="Garamond"/>
          <w:lang w:val="en-US"/>
        </w:rPr>
        <w:t>internal determinants</w:t>
      </w:r>
      <w:r w:rsidRPr="00CB0EE8">
        <w:rPr>
          <w:rFonts w:ascii="Garamond" w:hAnsi="Garamond"/>
          <w:lang w:val="en-US"/>
        </w:rPr>
        <w:t xml:space="preserve"> include the standard bank characteristics, which are the size (Size), liquidity (</w:t>
      </w:r>
      <w:proofErr w:type="spellStart"/>
      <w:r w:rsidRPr="00CB0EE8">
        <w:rPr>
          <w:rFonts w:ascii="Garamond" w:hAnsi="Garamond"/>
          <w:lang w:val="en-US"/>
        </w:rPr>
        <w:t>Liq</w:t>
      </w:r>
      <w:proofErr w:type="spellEnd"/>
      <w:r w:rsidRPr="00CB0EE8">
        <w:rPr>
          <w:rFonts w:ascii="Garamond" w:hAnsi="Garamond"/>
          <w:lang w:val="en-US"/>
        </w:rPr>
        <w:t>)</w:t>
      </w:r>
      <w:r w:rsidR="00BD2132">
        <w:rPr>
          <w:rFonts w:ascii="Garamond" w:hAnsi="Garamond"/>
          <w:lang w:val="en-US"/>
        </w:rPr>
        <w:t>,</w:t>
      </w:r>
      <w:r w:rsidRPr="00CB0EE8">
        <w:rPr>
          <w:rFonts w:ascii="Garamond" w:hAnsi="Garamond"/>
          <w:lang w:val="en-US"/>
        </w:rPr>
        <w:t xml:space="preserve"> and capital adequacy (Cap). The </w:t>
      </w:r>
      <w:r w:rsidR="00AE7FD6">
        <w:rPr>
          <w:rFonts w:ascii="Garamond" w:hAnsi="Garamond"/>
          <w:lang w:val="en-US"/>
        </w:rPr>
        <w:t>three variables are</w:t>
      </w:r>
      <w:r w:rsidRPr="00CB0EE8">
        <w:rPr>
          <w:rFonts w:ascii="Garamond" w:hAnsi="Garamond"/>
          <w:lang w:val="en-US"/>
        </w:rPr>
        <w:t xml:space="preserve"> measured </w:t>
      </w:r>
      <w:r w:rsidR="00AE7FD6">
        <w:rPr>
          <w:rFonts w:ascii="Garamond" w:hAnsi="Garamond"/>
          <w:lang w:val="en-US"/>
        </w:rPr>
        <w:t>as follow:</w:t>
      </w:r>
    </w:p>
    <w:p w14:paraId="2A0DBA55" w14:textId="77777777" w:rsidR="00AE7FD6" w:rsidRPr="00B57AB7" w:rsidRDefault="00AE7FD6" w:rsidP="00AE7FD6">
      <w:pPr>
        <w:spacing w:before="120" w:after="120" w:line="276" w:lineRule="auto"/>
        <w:jc w:val="both"/>
        <w:rPr>
          <w:rFonts w:ascii="Garamond" w:hAnsi="Garamond"/>
          <w:lang w:val="en-US"/>
        </w:rPr>
      </w:pPr>
      <w:r w:rsidRPr="00B57AB7">
        <w:rPr>
          <w:rFonts w:ascii="Garamond" w:hAnsi="Garamond"/>
          <w:b/>
          <w:bCs/>
          <w:lang w:val="en-US"/>
        </w:rPr>
        <w:t>A bank size (</w:t>
      </w:r>
      <w:proofErr w:type="spellStart"/>
      <w:r w:rsidRPr="00B57AB7">
        <w:rPr>
          <w:rFonts w:ascii="Garamond" w:hAnsi="Garamond"/>
          <w:b/>
          <w:bCs/>
          <w:lang w:val="en-US"/>
        </w:rPr>
        <w:t>Size</w:t>
      </w:r>
      <w:r w:rsidRPr="00B57AB7">
        <w:rPr>
          <w:rFonts w:ascii="Garamond" w:hAnsi="Garamond"/>
          <w:b/>
          <w:bCs/>
          <w:vertAlign w:val="subscript"/>
          <w:lang w:val="en-US"/>
        </w:rPr>
        <w:t>i,t</w:t>
      </w:r>
      <w:proofErr w:type="spellEnd"/>
      <w:r w:rsidRPr="00B57AB7">
        <w:rPr>
          <w:rFonts w:ascii="Garamond" w:hAnsi="Garamond"/>
          <w:b/>
          <w:bCs/>
          <w:lang w:val="en-US"/>
        </w:rPr>
        <w:t>)</w:t>
      </w:r>
      <w:r w:rsidRPr="00B57AB7">
        <w:rPr>
          <w:rFonts w:ascii="Garamond" w:hAnsi="Garamond"/>
          <w:lang w:val="en-US"/>
        </w:rPr>
        <w:t xml:space="preserve"> is the log of total assets </w:t>
      </w:r>
      <m:oMath>
        <m:func>
          <m:funcPr>
            <m:ctrlPr>
              <w:rPr>
                <w:rFonts w:ascii="Cambria Math" w:hAnsi="Cambria Math"/>
                <w:i/>
              </w:rPr>
            </m:ctrlPr>
          </m:funcPr>
          <m:fName>
            <m:r>
              <w:rPr>
                <w:rFonts w:ascii="Cambria Math" w:hAnsi="Cambria Math"/>
              </w:rPr>
              <m:t>log</m:t>
            </m:r>
          </m:fName>
          <m:e>
            <m:sSub>
              <m:sSubPr>
                <m:ctrlPr>
                  <w:rPr>
                    <w:rFonts w:ascii="Cambria Math" w:hAnsi="Cambria Math"/>
                    <w:i/>
                  </w:rPr>
                </m:ctrlPr>
              </m:sSubPr>
              <m:e>
                <m:r>
                  <w:rPr>
                    <w:rFonts w:ascii="Cambria Math" w:hAnsi="Cambria Math"/>
                  </w:rPr>
                  <m:t>A</m:t>
                </m:r>
              </m:e>
              <m:sub>
                <m:r>
                  <w:rPr>
                    <w:rFonts w:ascii="Cambria Math" w:hAnsi="Cambria Math"/>
                  </w:rPr>
                  <m:t>i</m:t>
                </m:r>
                <m:r>
                  <w:rPr>
                    <w:rFonts w:ascii="Cambria Math" w:hAnsi="Cambria Math"/>
                    <w:lang w:val="en-US"/>
                  </w:rPr>
                  <m:t>,</m:t>
                </m:r>
                <m:r>
                  <w:rPr>
                    <w:rFonts w:ascii="Cambria Math" w:hAnsi="Cambria Math"/>
                  </w:rPr>
                  <m:t>t</m:t>
                </m:r>
              </m:sub>
            </m:sSub>
          </m:e>
        </m:func>
      </m:oMath>
      <w:r w:rsidRPr="00B57AB7">
        <w:rPr>
          <w:rFonts w:ascii="Garamond" w:hAnsi="Garamond"/>
          <w:lang w:val="en-US"/>
        </w:rPr>
        <w:t xml:space="preserve"> minus the average level for the bank over the study period. </w:t>
      </w:r>
    </w:p>
    <w:p w14:paraId="6BB20DE4" w14:textId="2BAAE3EA" w:rsidR="00AE7FD6" w:rsidRPr="00B57AB7" w:rsidRDefault="00AE7FD6" w:rsidP="00BE442C">
      <w:pPr>
        <w:pStyle w:val="PlainText"/>
        <w:spacing w:line="276" w:lineRule="auto"/>
        <w:ind w:left="2160" w:firstLine="672"/>
        <w:jc w:val="right"/>
        <w:rPr>
          <w:rFonts w:ascii="Garamond" w:hAnsi="Garamond"/>
          <w:sz w:val="24"/>
          <w:szCs w:val="24"/>
        </w:rPr>
      </w:pPr>
      <m:oMath>
        <m:r>
          <w:rPr>
            <w:rFonts w:ascii="Cambria Math" w:hAnsi="Cambria Math"/>
            <w:sz w:val="24"/>
            <w:szCs w:val="24"/>
          </w:rPr>
          <m:t>Siz</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r>
          <w:rPr>
            <w:rFonts w:ascii="Cambria Math" w:hAnsi="Cambria Math"/>
            <w:sz w:val="24"/>
            <w:szCs w:val="24"/>
          </w:rPr>
          <m:t>=</m:t>
        </m:r>
        <m:func>
          <m:funcPr>
            <m:ctrlPr>
              <w:rPr>
                <w:rFonts w:ascii="Cambria Math" w:hAnsi="Cambria Math"/>
                <w:i/>
                <w:sz w:val="24"/>
                <w:szCs w:val="24"/>
              </w:rPr>
            </m:ctrlPr>
          </m:funcPr>
          <m:fName>
            <m:r>
              <w:rPr>
                <w:rFonts w:ascii="Cambria Math" w:hAnsi="Cambria Math"/>
                <w:sz w:val="24"/>
                <w:szCs w:val="24"/>
              </w:rPr>
              <m:t>log</m:t>
            </m:r>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m:t>
                </m:r>
              </m:sub>
            </m:sSub>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m:t>
                </m:r>
              </m:sub>
            </m:sSub>
          </m:den>
        </m:f>
        <m:nary>
          <m:naryPr>
            <m:chr m:val="∑"/>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unc>
              <m:funcPr>
                <m:ctrlPr>
                  <w:rPr>
                    <w:rFonts w:ascii="Cambria Math" w:hAnsi="Cambria Math"/>
                    <w:i/>
                    <w:sz w:val="24"/>
                    <w:szCs w:val="24"/>
                  </w:rPr>
                </m:ctrlPr>
              </m:funcPr>
              <m:fName>
                <m:r>
                  <w:rPr>
                    <w:rFonts w:ascii="Cambria Math" w:hAnsi="Cambria Math"/>
                    <w:sz w:val="24"/>
                    <w:szCs w:val="24"/>
                  </w:rPr>
                  <m:t>log</m:t>
                </m:r>
              </m:fNa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i,t</m:t>
                    </m:r>
                  </m:sub>
                </m:sSub>
              </m:e>
            </m:func>
          </m:e>
        </m:nary>
      </m:oMath>
      <w:r w:rsidRPr="00B57AB7">
        <w:rPr>
          <w:rFonts w:ascii="Garamond" w:hAnsi="Garamond"/>
          <w:sz w:val="24"/>
          <w:szCs w:val="24"/>
        </w:rPr>
        <w:tab/>
      </w:r>
      <w:r w:rsidRPr="00B57AB7">
        <w:rPr>
          <w:rFonts w:ascii="Garamond" w:hAnsi="Garamond"/>
          <w:sz w:val="24"/>
          <w:szCs w:val="24"/>
        </w:rPr>
        <w:tab/>
      </w:r>
      <w:r w:rsidRPr="00B57AB7">
        <w:rPr>
          <w:rFonts w:ascii="Garamond" w:hAnsi="Garamond"/>
          <w:sz w:val="24"/>
          <w:szCs w:val="24"/>
        </w:rPr>
        <w:tab/>
      </w:r>
      <w:r w:rsidRPr="00B57AB7">
        <w:rPr>
          <w:rFonts w:ascii="Garamond" w:hAnsi="Garamond"/>
          <w:sz w:val="24"/>
          <w:szCs w:val="24"/>
        </w:rPr>
        <w:tab/>
        <w:t>(</w:t>
      </w:r>
      <w:r w:rsidR="00BD2132">
        <w:rPr>
          <w:rFonts w:ascii="Garamond" w:hAnsi="Garamond"/>
          <w:sz w:val="24"/>
          <w:szCs w:val="24"/>
        </w:rPr>
        <w:t>1</w:t>
      </w:r>
      <w:r w:rsidRPr="00B57AB7">
        <w:rPr>
          <w:rFonts w:ascii="Garamond" w:hAnsi="Garamond"/>
          <w:sz w:val="24"/>
          <w:szCs w:val="24"/>
        </w:rPr>
        <w:t>)</w:t>
      </w:r>
    </w:p>
    <w:p w14:paraId="28CBDAD1" w14:textId="77777777" w:rsidR="00AE7FD6" w:rsidRPr="00B57AB7" w:rsidRDefault="00AE7FD6" w:rsidP="00AE7FD6">
      <w:pPr>
        <w:spacing w:before="120" w:after="120" w:line="276" w:lineRule="auto"/>
        <w:jc w:val="both"/>
        <w:rPr>
          <w:rFonts w:ascii="Garamond" w:hAnsi="Garamond"/>
          <w:lang w:val="en-US"/>
        </w:rPr>
      </w:pPr>
      <w:r w:rsidRPr="00B57AB7">
        <w:rPr>
          <w:rFonts w:ascii="Garamond" w:hAnsi="Garamond"/>
          <w:lang w:val="en-US"/>
        </w:rPr>
        <w:t xml:space="preserve">This bank size can be interpreted as a proxy for the degree of monopoly. The bigger the size of the bank, compared to its competitors, the higher the degree of monopoly power </w:t>
      </w:r>
      <w:r w:rsidRPr="00B57AB7">
        <w:rPr>
          <w:rFonts w:ascii="Garamond" w:hAnsi="Garamond"/>
          <w:lang w:val="en-US"/>
        </w:rPr>
        <w:fldChar w:fldCharType="begin" w:fldLock="1"/>
      </w:r>
      <w:r>
        <w:rPr>
          <w:rFonts w:ascii="Garamond" w:hAnsi="Garamond"/>
          <w:lang w:val="en-US"/>
        </w:rPr>
        <w:instrText>ADDIN CSL_CITATION {"citationItems":[{"id":"ITEM-1","itemData":{"author":[{"dropping-particle":"","family":"Mahmah","given":"Assil","non-dropping-particle":"El","parse-names":false,"suffix":""},{"dropping-particle":"","family":"Trabelsi","given":"Mohamed","non-dropping-particle":"","parse-names":false,"suffix":""}],"container-title":"Sustainable development goals and external shocks in the mena region: from resilience to change in the wake of covid-19","id":"ITEM-1","issued":{"date-parts":[["2021"]]},"page":"2002-2017","title":"Banks’ Performance Amid Oil Price Shocks: Empirical Evidence from GCC Countries, 2002-2017","type":"paper-conference"},"uris":["http://www.mendeley.com/documents/?uuid=47a6ce5f-5c76-487b-9772-c87d43bdab73"]}],"mendeley":{"formattedCitation":"(El Mahmah &amp; Trabelsi, 2021)","plainTextFormattedCitation":"(El Mahmah &amp; Trabelsi, 2021)","previouslyFormattedCitation":"(El Mahmah &amp; Trabelsi, 2021)"},"properties":{"noteIndex":0},"schema":"https://github.com/citation-style-language/schema/raw/master/csl-citation.json"}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(El Mahmah &amp; Trabelsi, 2021)</w:t>
      </w:r>
      <w:r w:rsidRPr="00B57AB7">
        <w:rPr>
          <w:rFonts w:ascii="Garamond" w:hAnsi="Garamond"/>
          <w:lang w:val="en-US"/>
        </w:rPr>
        <w:fldChar w:fldCharType="end"/>
      </w:r>
      <w:r w:rsidRPr="00B57AB7">
        <w:rPr>
          <w:rFonts w:ascii="Garamond" w:hAnsi="Garamond"/>
          <w:lang w:val="en-US"/>
        </w:rPr>
        <w:t xml:space="preserve">. Ideally, bigger banks have more internal resources and can access money and equity markets more easily. By contrast, in the presence of capital markets imperfections, smaller banks have, comparatively, more difficulties accessing money markets </w:t>
      </w:r>
      <w:r w:rsidRPr="00B57AB7">
        <w:rPr>
          <w:rFonts w:ascii="Garamond" w:hAnsi="Garamond"/>
          <w:lang w:val="en-US"/>
        </w:rPr>
        <w:fldChar w:fldCharType="begin" w:fldLock="1"/>
      </w:r>
      <w:r w:rsidRPr="00B57AB7">
        <w:rPr>
          <w:rFonts w:ascii="Garamond" w:hAnsi="Garamond"/>
          <w:lang w:val="en-US"/>
        </w:rPr>
        <w:instrText>ADDIN CSL_CITATION {"citationItems":[{"id":"ITEM-1","itemData":{"DOI":"10.1016/0167-2231(95)00032-U","ISSN":"01672231","abstract":"This paper uses disaggregated data on bank balance sheets to provide a test of the lending view of monetary policy transmission. We argue that if the lending view is correct, one should expect the loan and security portfolios of large and small banks to respond differentially to a contraction in monetary policy. We first develop this point with a theoretical model; we then test to see if the model's predictions are borne out in the data. Overall, the empirical results are supportive of the lending view. © 1995.","author":[{"dropping-particle":"","family":"Kashyap","given":"Anil K.","non-dropping-particle":"","parse-names":false,"suffix":""},{"dropping-particle":"","family":"Stein","given":"Jeremy C.","non-dropping-particle":"","parse-names":false,"suffix":""}],"container-title":"Carnegie-Rochester Confer. Series on Public Policy","id":"ITEM-1","issue":"C","issued":{"date-parts":[["1995"]]},"page":"151-195","title":"The impact of monetary policy on bank balance sheets","type":"article-journal","volume":"42"},"uris":["http://www.mendeley.com/documents/?uuid=cde5b93e-c86e-4d2b-8c67-53daca954f23"]}],"mendeley":{"formattedCitation":"(Kashyap &amp; Stein, 1995)","plainTextFormattedCitation":"(Kashyap &amp; Stein, 1995)","previouslyFormattedCitation":"(Kashyap &amp; Stein, 1995)"},"properties":{"noteIndex":0},"schema":"https://github.com/citation-style-language/schema/raw/master/csl-citation.json"}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(Kashyap &amp; Stein, 1995)</w:t>
      </w:r>
      <w:r w:rsidRPr="00B57AB7">
        <w:rPr>
          <w:rFonts w:ascii="Garamond" w:hAnsi="Garamond"/>
          <w:lang w:val="en-US"/>
        </w:rPr>
        <w:fldChar w:fldCharType="end"/>
      </w:r>
      <w:r w:rsidRPr="00B57AB7">
        <w:rPr>
          <w:rFonts w:ascii="Garamond" w:hAnsi="Garamond"/>
          <w:lang w:val="en-US"/>
        </w:rPr>
        <w:t xml:space="preserve">. Consequently, it is reasonable to assume a positive relationship between the comparative size of a bank and its overall performance. However, </w:t>
      </w:r>
      <w:r w:rsidRPr="00B57AB7">
        <w:rPr>
          <w:rFonts w:ascii="Garamond" w:hAnsi="Garamond"/>
          <w:lang w:val="en-US"/>
        </w:rPr>
        <w:fldChar w:fldCharType="begin" w:fldLock="1"/>
      </w:r>
      <w:r w:rsidRPr="00B57AB7">
        <w:rPr>
          <w:rFonts w:ascii="Garamond" w:hAnsi="Garamond"/>
          <w:lang w:val="en-US"/>
        </w:rPr>
        <w:instrText>ADDIN CSL_CITATION {"citationItems":[{"id":"ITEM-1","itemData":{"ISSN":"2146-4138","abstract":"The banking sector in Tunisia has undergone, in the past decades, numerous structural changes which have affected the banking industry in particular and the economy as whole. This paper studies the internal and external determinants of bank performance in Tunisia during the period after financial reforms. We used regression analysis and panel data technique with the linear model of Bourke (1989) and followed the methodology employed by Demirgüç-Kunt and Huizinga (1999) and Dietrich and Wanzenried (2011) in order to address the issue. The empirical results showed that bank performance is positively related with capitalization, privatization and quotation. While, bank size, concentration index and efficiency are negatively related with performance indicators (measured by net interest margin, LIQ, return on assets and return on equity). As for the macroeconomic determinants, our analysis showed that the business cycle, measured by the growth of the gross domestic product is supposed to be favorable to the improvement of the performance of the banks and negative relationship was found with inflation rate.Those variables have to arouse the interest of the decision-makers of economic and restructuring policies to direct their strategies and aiming corrective actions to promote the performance of banking and financial systems.","author":[{"dropping-particle":"","family":"Nouaili","given":"Makram","non-dropping-particle":"","parse-names":false,"suffix":""},{"dropping-particle":"","family":"Abaoub","given":"Ezzeddine","non-dropping-particle":"","parse-names":false,"suffix":""},{"dropping-particle":"","family":"Ochi","given":"Anis","non-dropping-particle":"","parse-names":false,"suffix":""}],"container-title":"International Journal of Economics and Financial Issues","id":"ITEM-1","issue":"2","issued":{"date-parts":[["2015"]]},"page":"410-417","title":"The Determinants of Banking Performance in Front of Financial Changes: Case of Trade Banks in Tunisia","type":"article-journal","volume":"5"},"uris":["http://www.mendeley.com/documents/?uuid=1b742fcf-9cef-4c6b-8ebd-883800fb8974"]}],"mendeley":{"formattedCitation":"(Nouaili et al., 2015)","plainTextFormattedCitation":"(Nouaili et al., 2015)","previouslyFormattedCitation":"(Nouaili et al., 2015)"},"properties":{"noteIndex":0},"schema":"https://github.com/citation-style-language/schema/raw/master/csl-citation.json"}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(Nouaili et al., 2015)</w:t>
      </w:r>
      <w:r w:rsidRPr="00B57AB7">
        <w:rPr>
          <w:rFonts w:ascii="Garamond" w:hAnsi="Garamond"/>
          <w:lang w:val="en-US"/>
        </w:rPr>
        <w:fldChar w:fldCharType="end"/>
      </w:r>
      <w:r w:rsidRPr="00B57AB7">
        <w:rPr>
          <w:rFonts w:ascii="Garamond" w:hAnsi="Garamond"/>
          <w:lang w:val="en-US"/>
        </w:rPr>
        <w:t xml:space="preserve"> showed that the size of a bank negatively affects performance. The authors argue that this can be a result of the diseconomies of scale. Furthermore, according to existing literature, bigger banks with aggressive growth strategies can reduce their interest margins to gain market share.  </w:t>
      </w:r>
    </w:p>
    <w:p w14:paraId="2F96487D" w14:textId="77777777" w:rsidR="00AE7FD6" w:rsidRPr="00B57AB7" w:rsidRDefault="00AE7FD6" w:rsidP="00AE7FD6">
      <w:pPr>
        <w:spacing w:before="120" w:after="120" w:line="276" w:lineRule="auto"/>
        <w:jc w:val="both"/>
        <w:rPr>
          <w:rFonts w:ascii="Garamond" w:hAnsi="Garamond"/>
          <w:lang w:val="en-US"/>
        </w:rPr>
      </w:pPr>
      <w:r w:rsidRPr="00B57AB7">
        <w:rPr>
          <w:rFonts w:ascii="Garamond" w:hAnsi="Garamond"/>
          <w:b/>
          <w:bCs/>
          <w:lang w:val="en-US"/>
        </w:rPr>
        <w:t>Capitalization</w:t>
      </w:r>
      <w:r w:rsidRPr="00B57AB7">
        <w:rPr>
          <w:rFonts w:ascii="Garamond" w:hAnsi="Garamond"/>
          <w:lang w:val="en-US"/>
        </w:rPr>
        <w:t xml:space="preserve"> </w:t>
      </w:r>
      <w:r w:rsidRPr="00B57AB7">
        <w:rPr>
          <w:rFonts w:ascii="Garamond" w:hAnsi="Garamond"/>
          <w:b/>
          <w:bCs/>
          <w:lang w:val="en-US"/>
        </w:rPr>
        <w:t>(</w:t>
      </w:r>
      <w:proofErr w:type="spellStart"/>
      <w:r w:rsidRPr="00B57AB7">
        <w:rPr>
          <w:rFonts w:ascii="Garamond" w:hAnsi="Garamond"/>
          <w:b/>
          <w:bCs/>
          <w:lang w:val="en-US"/>
        </w:rPr>
        <w:t>Cap</w:t>
      </w:r>
      <w:r w:rsidRPr="00B57AB7">
        <w:rPr>
          <w:rFonts w:ascii="Garamond" w:hAnsi="Garamond"/>
          <w:b/>
          <w:bCs/>
          <w:vertAlign w:val="subscript"/>
          <w:lang w:val="en-US"/>
        </w:rPr>
        <w:t>i,t</w:t>
      </w:r>
      <w:proofErr w:type="spellEnd"/>
      <w:r w:rsidRPr="00B57AB7">
        <w:rPr>
          <w:rFonts w:ascii="Garamond" w:hAnsi="Garamond"/>
          <w:b/>
          <w:bCs/>
          <w:lang w:val="en-US"/>
        </w:rPr>
        <w:t>)</w:t>
      </w:r>
      <w:r w:rsidRPr="00B57AB7">
        <w:rPr>
          <w:rFonts w:ascii="Garamond" w:hAnsi="Garamond"/>
          <w:lang w:val="en-US"/>
        </w:rPr>
        <w:t xml:space="preserve"> is given by the ratio of equity (E) to total assets, minus its average value for the bank over the study period.</w:t>
      </w:r>
    </w:p>
    <w:p w14:paraId="33679E9B" w14:textId="7EC96B61" w:rsidR="00AE7FD6" w:rsidRPr="00B57AB7" w:rsidRDefault="00AE7FD6" w:rsidP="00BE442C">
      <w:pPr>
        <w:pStyle w:val="PlainText"/>
        <w:spacing w:line="276" w:lineRule="auto"/>
        <w:ind w:left="2160" w:firstLine="672"/>
        <w:jc w:val="right"/>
        <w:rPr>
          <w:rFonts w:ascii="Garamond" w:hAnsi="Garamond"/>
          <w:sz w:val="24"/>
          <w:szCs w:val="24"/>
        </w:rPr>
      </w:pPr>
      <m:oMath>
        <m:r>
          <w:rPr>
            <w:rFonts w:ascii="Cambria Math" w:hAnsi="Cambria Math"/>
            <w:sz w:val="24"/>
            <w:szCs w:val="24"/>
            <w:lang w:val="fr-FR"/>
          </w:rPr>
          <m:t>Ca</m:t>
        </m:r>
        <m:sSub>
          <m:sSubPr>
            <m:ctrlPr>
              <w:rPr>
                <w:rFonts w:ascii="Cambria Math" w:hAnsi="Cambria Math"/>
                <w:i/>
                <w:sz w:val="24"/>
                <w:szCs w:val="24"/>
                <w:lang w:val="fr-FR"/>
              </w:rPr>
            </m:ctrlPr>
          </m:sSubPr>
          <m:e>
            <m:r>
              <w:rPr>
                <w:rFonts w:ascii="Cambria Math" w:hAnsi="Cambria Math"/>
                <w:sz w:val="24"/>
                <w:szCs w:val="24"/>
                <w:lang w:val="fr-FR"/>
              </w:rPr>
              <m:t>p</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r>
          <w:rPr>
            <w:rFonts w:ascii="Cambria Math" w:hAnsi="Cambria Math"/>
            <w:sz w:val="24"/>
            <w:szCs w:val="24"/>
          </w:rPr>
          <m:t>=</m:t>
        </m:r>
        <m:f>
          <m:fPr>
            <m:ctrlPr>
              <w:rPr>
                <w:rFonts w:ascii="Cambria Math" w:hAnsi="Cambria Math"/>
                <w:i/>
                <w:sz w:val="24"/>
                <w:szCs w:val="24"/>
                <w:lang w:val="fr-FR"/>
              </w:rPr>
            </m:ctrlPr>
          </m:fPr>
          <m:num>
            <m:sSub>
              <m:sSubPr>
                <m:ctrlPr>
                  <w:rPr>
                    <w:rFonts w:ascii="Cambria Math" w:hAnsi="Cambria Math"/>
                    <w:i/>
                    <w:sz w:val="24"/>
                    <w:szCs w:val="24"/>
                    <w:lang w:val="fr-FR"/>
                  </w:rPr>
                </m:ctrlPr>
              </m:sSubPr>
              <m:e>
                <m:r>
                  <w:rPr>
                    <w:rFonts w:ascii="Cambria Math" w:hAnsi="Cambria Math"/>
                    <w:sz w:val="24"/>
                    <w:szCs w:val="24"/>
                    <w:lang w:val="fr-FR"/>
                  </w:rPr>
                  <m:t>E</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num>
          <m:den>
            <m:sSub>
              <m:sSubPr>
                <m:ctrlPr>
                  <w:rPr>
                    <w:rFonts w:ascii="Cambria Math" w:hAnsi="Cambria Math"/>
                    <w:i/>
                    <w:sz w:val="24"/>
                    <w:szCs w:val="24"/>
                    <w:lang w:val="fr-FR"/>
                  </w:rPr>
                </m:ctrlPr>
              </m:sSubPr>
              <m:e>
                <m:r>
                  <w:rPr>
                    <w:rFonts w:ascii="Cambria Math" w:hAnsi="Cambria Math"/>
                    <w:sz w:val="24"/>
                    <w:szCs w:val="24"/>
                    <w:lang w:val="fr-FR"/>
                  </w:rPr>
                  <m:t>A</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den>
        </m:f>
        <m:r>
          <w:rPr>
            <w:rFonts w:ascii="Cambria Math" w:hAnsi="Cambria Math"/>
            <w:sz w:val="24"/>
            <w:szCs w:val="24"/>
          </w:rPr>
          <m:t>-</m:t>
        </m:r>
        <m:f>
          <m:fPr>
            <m:ctrlPr>
              <w:rPr>
                <w:rFonts w:ascii="Cambria Math" w:hAnsi="Cambria Math"/>
                <w:i/>
                <w:sz w:val="24"/>
                <w:szCs w:val="24"/>
                <w:lang w:val="fr-FR"/>
              </w:rPr>
            </m:ctrlPr>
          </m:fPr>
          <m:num>
            <m:r>
              <w:rPr>
                <w:rFonts w:ascii="Cambria Math" w:hAnsi="Cambria Math"/>
                <w:sz w:val="24"/>
                <w:szCs w:val="24"/>
              </w:rPr>
              <m:t>1</m:t>
            </m:r>
          </m:num>
          <m:den>
            <m:sSub>
              <m:sSubPr>
                <m:ctrlPr>
                  <w:rPr>
                    <w:rFonts w:ascii="Cambria Math" w:hAnsi="Cambria Math"/>
                    <w:i/>
                    <w:sz w:val="24"/>
                    <w:szCs w:val="24"/>
                    <w:lang w:val="fr-FR"/>
                  </w:rPr>
                </m:ctrlPr>
              </m:sSubPr>
              <m:e>
                <m:r>
                  <w:rPr>
                    <w:rFonts w:ascii="Cambria Math" w:hAnsi="Cambria Math"/>
                    <w:sz w:val="24"/>
                    <w:szCs w:val="24"/>
                    <w:lang w:val="fr-FR"/>
                  </w:rPr>
                  <m:t>N</m:t>
                </m:r>
              </m:e>
              <m:sub>
                <m:r>
                  <w:rPr>
                    <w:rFonts w:ascii="Cambria Math" w:hAnsi="Cambria Math"/>
                    <w:sz w:val="24"/>
                    <w:szCs w:val="24"/>
                    <w:lang w:val="fr-FR"/>
                  </w:rPr>
                  <m:t>t</m:t>
                </m:r>
              </m:sub>
            </m:sSub>
          </m:den>
        </m:f>
        <m:nary>
          <m:naryPr>
            <m:chr m:val="∑"/>
            <m:ctrlPr>
              <w:rPr>
                <w:rFonts w:ascii="Cambria Math" w:hAnsi="Cambria Math"/>
                <w:i/>
                <w:sz w:val="24"/>
                <w:szCs w:val="24"/>
                <w:lang w:val="fr-FR"/>
              </w:rPr>
            </m:ctrlPr>
          </m:naryPr>
          <m:sub>
            <m:r>
              <w:rPr>
                <w:rFonts w:ascii="Cambria Math" w:hAnsi="Cambria Math"/>
                <w:sz w:val="24"/>
                <w:szCs w:val="24"/>
                <w:lang w:val="fr-FR"/>
              </w:rPr>
              <m:t>i</m:t>
            </m:r>
            <m:r>
              <w:rPr>
                <w:rFonts w:ascii="Cambria Math" w:hAnsi="Cambria Math"/>
                <w:sz w:val="24"/>
                <w:szCs w:val="24"/>
              </w:rPr>
              <m:t>=1</m:t>
            </m:r>
          </m:sub>
          <m:sup>
            <m:r>
              <w:rPr>
                <w:rFonts w:ascii="Cambria Math" w:hAnsi="Cambria Math"/>
                <w:sz w:val="24"/>
                <w:szCs w:val="24"/>
                <w:lang w:val="fr-FR"/>
              </w:rPr>
              <m:t>N</m:t>
            </m:r>
          </m:sup>
          <m:e>
            <m:f>
              <m:fPr>
                <m:ctrlPr>
                  <w:rPr>
                    <w:rFonts w:ascii="Cambria Math" w:hAnsi="Cambria Math"/>
                    <w:i/>
                    <w:sz w:val="24"/>
                    <w:szCs w:val="24"/>
                    <w:lang w:val="fr-FR"/>
                  </w:rPr>
                </m:ctrlPr>
              </m:fPr>
              <m:num>
                <m:sSub>
                  <m:sSubPr>
                    <m:ctrlPr>
                      <w:rPr>
                        <w:rFonts w:ascii="Cambria Math" w:hAnsi="Cambria Math"/>
                        <w:i/>
                        <w:sz w:val="24"/>
                        <w:szCs w:val="24"/>
                        <w:lang w:val="fr-FR"/>
                      </w:rPr>
                    </m:ctrlPr>
                  </m:sSubPr>
                  <m:e>
                    <m:r>
                      <w:rPr>
                        <w:rFonts w:ascii="Cambria Math" w:hAnsi="Cambria Math"/>
                        <w:sz w:val="24"/>
                        <w:szCs w:val="24"/>
                        <w:lang w:val="fr-FR"/>
                      </w:rPr>
                      <m:t>E</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num>
              <m:den>
                <m:sSub>
                  <m:sSubPr>
                    <m:ctrlPr>
                      <w:rPr>
                        <w:rFonts w:ascii="Cambria Math" w:hAnsi="Cambria Math"/>
                        <w:i/>
                        <w:sz w:val="24"/>
                        <w:szCs w:val="24"/>
                        <w:lang w:val="fr-FR"/>
                      </w:rPr>
                    </m:ctrlPr>
                  </m:sSubPr>
                  <m:e>
                    <m:r>
                      <w:rPr>
                        <w:rFonts w:ascii="Cambria Math" w:hAnsi="Cambria Math"/>
                        <w:sz w:val="24"/>
                        <w:szCs w:val="24"/>
                        <w:lang w:val="fr-FR"/>
                      </w:rPr>
                      <m:t>A</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den>
            </m:f>
          </m:e>
        </m:nary>
      </m:oMath>
      <w:r w:rsidRPr="00B57AB7">
        <w:rPr>
          <w:rFonts w:ascii="Garamond" w:hAnsi="Garamond"/>
          <w:sz w:val="24"/>
          <w:szCs w:val="24"/>
        </w:rPr>
        <w:tab/>
      </w:r>
      <w:r w:rsidRPr="00B57AB7">
        <w:rPr>
          <w:rFonts w:ascii="Garamond" w:hAnsi="Garamond"/>
          <w:sz w:val="24"/>
          <w:szCs w:val="24"/>
        </w:rPr>
        <w:tab/>
      </w:r>
      <w:r w:rsidRPr="00B57AB7">
        <w:rPr>
          <w:rFonts w:ascii="Garamond" w:hAnsi="Garamond"/>
          <w:sz w:val="24"/>
          <w:szCs w:val="24"/>
        </w:rPr>
        <w:tab/>
      </w:r>
      <w:r w:rsidRPr="00B57AB7">
        <w:rPr>
          <w:rFonts w:ascii="Garamond" w:hAnsi="Garamond"/>
          <w:sz w:val="24"/>
          <w:szCs w:val="24"/>
        </w:rPr>
        <w:tab/>
      </w:r>
      <w:r w:rsidRPr="00B57AB7">
        <w:rPr>
          <w:rFonts w:ascii="Garamond" w:hAnsi="Garamond"/>
          <w:sz w:val="24"/>
          <w:szCs w:val="24"/>
        </w:rPr>
        <w:tab/>
        <w:t>(</w:t>
      </w:r>
      <w:r w:rsidR="00BD2132">
        <w:rPr>
          <w:rFonts w:ascii="Garamond" w:hAnsi="Garamond"/>
          <w:sz w:val="24"/>
          <w:szCs w:val="24"/>
        </w:rPr>
        <w:t>2</w:t>
      </w:r>
      <w:r w:rsidRPr="00B57AB7">
        <w:rPr>
          <w:rFonts w:ascii="Garamond" w:hAnsi="Garamond"/>
          <w:sz w:val="24"/>
          <w:szCs w:val="24"/>
        </w:rPr>
        <w:t>)</w:t>
      </w:r>
    </w:p>
    <w:p w14:paraId="293C66D1" w14:textId="77777777" w:rsidR="00AE7FD6" w:rsidRPr="00B57AB7" w:rsidRDefault="00AE7FD6" w:rsidP="00AE7FD6">
      <w:pPr>
        <w:autoSpaceDE w:val="0"/>
        <w:autoSpaceDN w:val="0"/>
        <w:adjustRightInd w:val="0"/>
        <w:spacing w:line="276" w:lineRule="auto"/>
        <w:jc w:val="both"/>
        <w:rPr>
          <w:rFonts w:ascii="Garamond" w:hAnsi="Garamond"/>
          <w:lang w:val="en-US"/>
        </w:rPr>
      </w:pPr>
      <w:r w:rsidRPr="00B57AB7">
        <w:rPr>
          <w:rFonts w:ascii="Garamond" w:hAnsi="Garamond"/>
          <w:lang w:val="en-US"/>
        </w:rPr>
        <w:t xml:space="preserve">By defining size and capitalization in this way, we ensure that the internal factors capture pure differential effects. For each period, the variable averages to zero, being negative for banks whose specific characteristic (size and capitalization) is below average (henceforth called small or less capitalized banks) and positive for banks whose specific characteristic is above average (henceforth designed as large or well-capitalized banks).  Furthermore, in the presence of asymmetric information, rising capital becomes costly for undercapitalized banks. Faced with such a situation, undercapitalized banks can only extend low-risk loans or reduce their credit supply altogether to meet the capital adequacy ratio </w:t>
      </w:r>
      <w:r w:rsidRPr="00B57AB7">
        <w:rPr>
          <w:rFonts w:ascii="Garamond" w:hAnsi="Garamond"/>
          <w:lang w:val="en-US"/>
        </w:rPr>
        <w:fldChar w:fldCharType="begin" w:fldLock="1"/>
      </w:r>
      <w:r w:rsidRPr="00B57AB7">
        <w:rPr>
          <w:rFonts w:ascii="Garamond" w:hAnsi="Garamond"/>
          <w:lang w:val="en-US"/>
        </w:rPr>
        <w:instrText>ADDIN CSL_CITATION {"citationItems":[{"id":"ITEM-1","itemData":{"DOI":"10.1111/j.0022-2879.2007.00039.x","ISSN":"0022-2879","abstract":"The underlying causes of sharp declines in bank lending during recessions in large developed economies, as exemplified by the U.S. in the early 1990s and Japan in the late 1990s, are still being debated due to the lack of any convincing identification strategy of the supply side capital-lending relationship from lending demand. Using within bank share of real estate lending in the late 1980s as an instrumental variable for bank capital, we find that Japanese banks cut back on their lending in response to a large loss of bank capital in fiscal year 1997. © 2007 The Ohio State University.","author":[{"dropping-particle":"","family":"Watanabe","given":"Wako","non-dropping-particle":"","parse-names":false,"suffix":""}],"container-title":"Journal of Money, Credit and Banking","id":"ITEM-1","issue":"2-3","issued":{"date-parts":[["2007","3"]]},"page":"639-665","title":"Prudential Regulation and the \"Credit Crunch\": Evidence from Japan","type":"article-journal","volume":"39"},"uris":["http://www.mendeley.com/documents/?uuid=40bfdcf3-90dd-4fb1-8e91-a387b35aa4cf"]}],"mendeley":{"formattedCitation":"(Watanabe, 2007)","plainTextFormattedCitation":"(Watanabe, 2007)","previouslyFormattedCitation":"(Watanabe, 2007)"},"properties":{"noteIndex":0},"schema":"https://github.com/citation-style-language/schema/raw/master/csl-citation.json"}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(Watanabe, 2007)</w:t>
      </w:r>
      <w:r w:rsidRPr="00B57AB7">
        <w:rPr>
          <w:rFonts w:ascii="Garamond" w:hAnsi="Garamond"/>
          <w:lang w:val="en-US"/>
        </w:rPr>
        <w:fldChar w:fldCharType="end"/>
      </w:r>
      <w:r w:rsidRPr="00B57AB7">
        <w:rPr>
          <w:rFonts w:ascii="Garamond" w:hAnsi="Garamond"/>
          <w:lang w:val="en-US"/>
        </w:rPr>
        <w:t>. We expect well-capitalized banks to perform better.</w:t>
      </w:r>
    </w:p>
    <w:p w14:paraId="0D4136D9" w14:textId="77777777" w:rsidR="00AE7FD6" w:rsidRPr="00B57AB7" w:rsidRDefault="00AE7FD6" w:rsidP="00AE7FD6">
      <w:pPr>
        <w:autoSpaceDE w:val="0"/>
        <w:autoSpaceDN w:val="0"/>
        <w:adjustRightInd w:val="0"/>
        <w:spacing w:line="276" w:lineRule="auto"/>
        <w:jc w:val="both"/>
        <w:rPr>
          <w:rFonts w:ascii="Garamond" w:hAnsi="Garamond"/>
          <w:lang w:val="en-US"/>
        </w:rPr>
      </w:pPr>
      <w:r w:rsidRPr="00B57AB7">
        <w:rPr>
          <w:rFonts w:ascii="Garamond" w:hAnsi="Garamond"/>
          <w:b/>
          <w:bCs/>
          <w:lang w:val="en-US"/>
        </w:rPr>
        <w:t>Liquidity</w:t>
      </w:r>
      <w:r w:rsidRPr="00B57AB7">
        <w:rPr>
          <w:rFonts w:ascii="Garamond" w:hAnsi="Garamond"/>
          <w:lang w:val="en-US"/>
        </w:rPr>
        <w:t xml:space="preserve"> </w:t>
      </w:r>
      <w:r w:rsidRPr="00B57AB7">
        <w:rPr>
          <w:rFonts w:ascii="Garamond" w:hAnsi="Garamond"/>
          <w:b/>
          <w:bCs/>
          <w:lang w:val="en-US"/>
        </w:rPr>
        <w:t>(</w:t>
      </w:r>
      <w:proofErr w:type="spellStart"/>
      <w:r w:rsidRPr="00B57AB7">
        <w:rPr>
          <w:rFonts w:ascii="Garamond" w:hAnsi="Garamond"/>
          <w:b/>
          <w:bCs/>
          <w:lang w:val="en-US"/>
        </w:rPr>
        <w:t>Liq</w:t>
      </w:r>
      <w:r w:rsidRPr="00B57AB7">
        <w:rPr>
          <w:rFonts w:ascii="Garamond" w:hAnsi="Garamond"/>
          <w:b/>
          <w:bCs/>
          <w:vertAlign w:val="subscript"/>
          <w:lang w:val="en-US"/>
        </w:rPr>
        <w:t>i,t</w:t>
      </w:r>
      <w:proofErr w:type="spellEnd"/>
      <w:r w:rsidRPr="00B57AB7">
        <w:rPr>
          <w:rFonts w:ascii="Garamond" w:hAnsi="Garamond"/>
          <w:b/>
          <w:bCs/>
          <w:lang w:val="en-US"/>
        </w:rPr>
        <w:t>)</w:t>
      </w:r>
      <w:r w:rsidRPr="00B57AB7">
        <w:rPr>
          <w:rFonts w:ascii="Garamond" w:hAnsi="Garamond"/>
          <w:lang w:val="en-US"/>
        </w:rPr>
        <w:t xml:space="preserve"> is measured by the ratio of liquid assets (LA) to total assets minus the per-bank average over the study period. </w:t>
      </w:r>
    </w:p>
    <w:p w14:paraId="19E1CAEC" w14:textId="548D3152" w:rsidR="00AE7FD6" w:rsidRPr="00B57AB7" w:rsidRDefault="00AE7FD6" w:rsidP="002A0F4D">
      <w:pPr>
        <w:pStyle w:val="PlainText"/>
        <w:jc w:val="right"/>
        <w:rPr>
          <w:rFonts w:ascii="Garamond" w:hAnsi="Garamond"/>
          <w:sz w:val="24"/>
          <w:szCs w:val="24"/>
        </w:rPr>
      </w:pPr>
      <m:oMath>
        <m:r>
          <w:rPr>
            <w:rFonts w:ascii="Cambria Math" w:hAnsi="Cambria Math"/>
            <w:sz w:val="24"/>
            <w:szCs w:val="24"/>
            <w:lang w:val="fr-FR"/>
          </w:rPr>
          <m:t>Li</m:t>
        </m:r>
        <m:sSub>
          <m:sSubPr>
            <m:ctrlPr>
              <w:rPr>
                <w:rFonts w:ascii="Cambria Math" w:hAnsi="Cambria Math"/>
                <w:i/>
                <w:sz w:val="24"/>
                <w:szCs w:val="24"/>
                <w:lang w:val="fr-FR"/>
              </w:rPr>
            </m:ctrlPr>
          </m:sSubPr>
          <m:e>
            <m:r>
              <w:rPr>
                <w:rFonts w:ascii="Cambria Math" w:hAnsi="Cambria Math"/>
                <w:sz w:val="24"/>
                <w:szCs w:val="24"/>
                <w:lang w:val="fr-FR"/>
              </w:rPr>
              <m:t>q</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r>
          <w:rPr>
            <w:rFonts w:ascii="Cambria Math" w:hAnsi="Cambria Math"/>
            <w:sz w:val="24"/>
            <w:szCs w:val="24"/>
          </w:rPr>
          <m:t>=</m:t>
        </m:r>
        <m:f>
          <m:fPr>
            <m:ctrlPr>
              <w:rPr>
                <w:rFonts w:ascii="Cambria Math" w:hAnsi="Cambria Math"/>
                <w:i/>
                <w:sz w:val="24"/>
                <w:szCs w:val="24"/>
                <w:lang w:val="fr-FR"/>
              </w:rPr>
            </m:ctrlPr>
          </m:fPr>
          <m:num>
            <m:sSub>
              <m:sSubPr>
                <m:ctrlPr>
                  <w:rPr>
                    <w:rFonts w:ascii="Cambria Math" w:hAnsi="Cambria Math"/>
                    <w:i/>
                    <w:sz w:val="24"/>
                    <w:szCs w:val="24"/>
                    <w:lang w:val="fr-FR"/>
                  </w:rPr>
                </m:ctrlPr>
              </m:sSubPr>
              <m:e>
                <m:r>
                  <w:rPr>
                    <w:rFonts w:ascii="Cambria Math" w:hAnsi="Cambria Math"/>
                    <w:sz w:val="24"/>
                    <w:szCs w:val="24"/>
                    <w:lang w:val="fr-FR"/>
                  </w:rPr>
                  <m:t>LA</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num>
          <m:den>
            <m:sSub>
              <m:sSubPr>
                <m:ctrlPr>
                  <w:rPr>
                    <w:rFonts w:ascii="Cambria Math" w:hAnsi="Cambria Math"/>
                    <w:i/>
                    <w:sz w:val="24"/>
                    <w:szCs w:val="24"/>
                    <w:lang w:val="fr-FR"/>
                  </w:rPr>
                </m:ctrlPr>
              </m:sSubPr>
              <m:e>
                <m:r>
                  <w:rPr>
                    <w:rFonts w:ascii="Cambria Math" w:hAnsi="Cambria Math"/>
                    <w:sz w:val="24"/>
                    <w:szCs w:val="24"/>
                    <w:lang w:val="fr-FR"/>
                  </w:rPr>
                  <m:t>A</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den>
        </m:f>
        <m:r>
          <w:rPr>
            <w:rFonts w:ascii="Cambria Math" w:hAnsi="Cambria Math"/>
            <w:sz w:val="24"/>
            <w:szCs w:val="24"/>
          </w:rPr>
          <m:t>-</m:t>
        </m:r>
        <m:f>
          <m:fPr>
            <m:ctrlPr>
              <w:rPr>
                <w:rFonts w:ascii="Cambria Math" w:hAnsi="Cambria Math"/>
                <w:i/>
                <w:sz w:val="24"/>
                <w:szCs w:val="24"/>
                <w:lang w:val="fr-FR"/>
              </w:rPr>
            </m:ctrlPr>
          </m:fPr>
          <m:num>
            <m:r>
              <w:rPr>
                <w:rFonts w:ascii="Cambria Math" w:hAnsi="Cambria Math"/>
                <w:sz w:val="24"/>
                <w:szCs w:val="24"/>
              </w:rPr>
              <m:t>1</m:t>
            </m:r>
          </m:num>
          <m:den>
            <m:sSub>
              <m:sSubPr>
                <m:ctrlPr>
                  <w:rPr>
                    <w:rFonts w:ascii="Cambria Math" w:hAnsi="Cambria Math"/>
                    <w:i/>
                    <w:sz w:val="24"/>
                    <w:szCs w:val="24"/>
                    <w:lang w:val="fr-FR"/>
                  </w:rPr>
                </m:ctrlPr>
              </m:sSubPr>
              <m:e>
                <m:r>
                  <w:rPr>
                    <w:rFonts w:ascii="Cambria Math" w:hAnsi="Cambria Math"/>
                    <w:sz w:val="24"/>
                    <w:szCs w:val="24"/>
                    <w:lang w:val="fr-FR"/>
                  </w:rPr>
                  <m:t>T</m:t>
                </m:r>
              </m:e>
              <m:sub>
                <m:r>
                  <w:rPr>
                    <w:rFonts w:ascii="Cambria Math" w:hAnsi="Cambria Math"/>
                    <w:sz w:val="24"/>
                    <w:szCs w:val="24"/>
                    <w:lang w:val="fr-FR"/>
                  </w:rPr>
                  <m:t>i</m:t>
                </m:r>
              </m:sub>
            </m:sSub>
          </m:den>
        </m:f>
        <m:d>
          <m:dPr>
            <m:ctrlPr>
              <w:rPr>
                <w:rFonts w:ascii="Cambria Math" w:hAnsi="Cambria Math"/>
                <w:i/>
                <w:sz w:val="24"/>
                <w:szCs w:val="24"/>
                <w:lang w:val="fr-FR"/>
              </w:rPr>
            </m:ctrlPr>
          </m:dPr>
          <m:e>
            <m:nary>
              <m:naryPr>
                <m:chr m:val="∑"/>
                <m:ctrlPr>
                  <w:rPr>
                    <w:rFonts w:ascii="Cambria Math" w:hAnsi="Cambria Math"/>
                    <w:i/>
                    <w:sz w:val="24"/>
                    <w:szCs w:val="24"/>
                    <w:lang w:val="fr-FR"/>
                  </w:rPr>
                </m:ctrlPr>
              </m:naryPr>
              <m:sub>
                <m:r>
                  <w:rPr>
                    <w:rFonts w:ascii="Cambria Math" w:hAnsi="Cambria Math"/>
                    <w:sz w:val="24"/>
                    <w:szCs w:val="24"/>
                    <w:lang w:val="fr-FR"/>
                  </w:rPr>
                  <m:t>t</m:t>
                </m:r>
                <m:r>
                  <w:rPr>
                    <w:rFonts w:ascii="Cambria Math" w:hAnsi="Cambria Math"/>
                    <w:sz w:val="24"/>
                    <w:szCs w:val="24"/>
                  </w:rPr>
                  <m:t>=1</m:t>
                </m:r>
              </m:sub>
              <m:sup>
                <m:sSub>
                  <m:sSubPr>
                    <m:ctrlPr>
                      <w:rPr>
                        <w:rFonts w:ascii="Cambria Math" w:hAnsi="Cambria Math"/>
                        <w:i/>
                        <w:sz w:val="24"/>
                        <w:szCs w:val="24"/>
                        <w:lang w:val="fr-FR"/>
                      </w:rPr>
                    </m:ctrlPr>
                  </m:sSubPr>
                  <m:e>
                    <m:r>
                      <w:rPr>
                        <w:rFonts w:ascii="Cambria Math" w:hAnsi="Cambria Math"/>
                        <w:sz w:val="24"/>
                        <w:szCs w:val="24"/>
                        <w:lang w:val="fr-FR"/>
                      </w:rPr>
                      <m:t>T</m:t>
                    </m:r>
                  </m:e>
                  <m:sub>
                    <m:r>
                      <w:rPr>
                        <w:rFonts w:ascii="Cambria Math" w:hAnsi="Cambria Math"/>
                        <w:sz w:val="24"/>
                        <w:szCs w:val="24"/>
                        <w:lang w:val="fr-FR"/>
                      </w:rPr>
                      <m:t>i</m:t>
                    </m:r>
                  </m:sub>
                </m:sSub>
              </m:sup>
              <m:e>
                <m:f>
                  <m:fPr>
                    <m:ctrlPr>
                      <w:rPr>
                        <w:rFonts w:ascii="Cambria Math" w:hAnsi="Cambria Math"/>
                        <w:i/>
                        <w:sz w:val="24"/>
                        <w:szCs w:val="24"/>
                        <w:lang w:val="fr-FR"/>
                      </w:rPr>
                    </m:ctrlPr>
                  </m:fPr>
                  <m:num>
                    <m:sSub>
                      <m:sSubPr>
                        <m:ctrlPr>
                          <w:rPr>
                            <w:rFonts w:ascii="Cambria Math" w:hAnsi="Cambria Math"/>
                            <w:i/>
                            <w:sz w:val="24"/>
                            <w:szCs w:val="24"/>
                            <w:lang w:val="fr-FR"/>
                          </w:rPr>
                        </m:ctrlPr>
                      </m:sSubPr>
                      <m:e>
                        <m:r>
                          <w:rPr>
                            <w:rFonts w:ascii="Cambria Math" w:hAnsi="Cambria Math"/>
                            <w:sz w:val="24"/>
                            <w:szCs w:val="24"/>
                            <w:lang w:val="fr-FR"/>
                          </w:rPr>
                          <m:t>LA</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num>
                  <m:den>
                    <m:sSub>
                      <m:sSubPr>
                        <m:ctrlPr>
                          <w:rPr>
                            <w:rFonts w:ascii="Cambria Math" w:hAnsi="Cambria Math"/>
                            <w:i/>
                            <w:sz w:val="24"/>
                            <w:szCs w:val="24"/>
                            <w:lang w:val="fr-FR"/>
                          </w:rPr>
                        </m:ctrlPr>
                      </m:sSubPr>
                      <m:e>
                        <m:r>
                          <w:rPr>
                            <w:rFonts w:ascii="Cambria Math" w:hAnsi="Cambria Math"/>
                            <w:sz w:val="24"/>
                            <w:szCs w:val="24"/>
                            <w:lang w:val="fr-FR"/>
                          </w:rPr>
                          <m:t>A</m:t>
                        </m:r>
                      </m:e>
                      <m:sub>
                        <m:r>
                          <w:rPr>
                            <w:rFonts w:ascii="Cambria Math" w:hAnsi="Cambria Math"/>
                            <w:sz w:val="24"/>
                            <w:szCs w:val="24"/>
                            <w:lang w:val="fr-FR"/>
                          </w:rPr>
                          <m:t>i</m:t>
                        </m:r>
                        <m:r>
                          <w:rPr>
                            <w:rFonts w:ascii="Cambria Math" w:hAnsi="Cambria Math"/>
                            <w:sz w:val="24"/>
                            <w:szCs w:val="24"/>
                          </w:rPr>
                          <m:t>,</m:t>
                        </m:r>
                        <m:r>
                          <w:rPr>
                            <w:rFonts w:ascii="Cambria Math" w:hAnsi="Cambria Math"/>
                            <w:sz w:val="24"/>
                            <w:szCs w:val="24"/>
                            <w:lang w:val="fr-FR"/>
                          </w:rPr>
                          <m:t>t</m:t>
                        </m:r>
                      </m:sub>
                    </m:sSub>
                  </m:den>
                </m:f>
              </m:e>
            </m:nary>
          </m:e>
        </m:d>
      </m:oMath>
      <w:r w:rsidRPr="00B57AB7">
        <w:rPr>
          <w:rFonts w:ascii="Garamond" w:hAnsi="Garamond"/>
          <w:sz w:val="24"/>
          <w:szCs w:val="24"/>
        </w:rPr>
        <w:t xml:space="preserve"> </w:t>
      </w:r>
      <w:r w:rsidR="002A0F4D">
        <w:rPr>
          <w:rFonts w:ascii="Garamond" w:hAnsi="Garamond"/>
          <w:sz w:val="24"/>
          <w:szCs w:val="24"/>
        </w:rPr>
        <w:tab/>
      </w:r>
      <w:r w:rsidR="002A0F4D">
        <w:rPr>
          <w:rFonts w:ascii="Garamond" w:hAnsi="Garamond"/>
          <w:sz w:val="24"/>
          <w:szCs w:val="24"/>
        </w:rPr>
        <w:tab/>
      </w:r>
      <w:r w:rsidR="002A0F4D">
        <w:rPr>
          <w:rFonts w:ascii="Garamond" w:hAnsi="Garamond"/>
          <w:sz w:val="24"/>
          <w:szCs w:val="24"/>
        </w:rPr>
        <w:tab/>
      </w:r>
      <w:r w:rsidR="002A0F4D">
        <w:rPr>
          <w:rFonts w:ascii="Garamond" w:hAnsi="Garamond"/>
          <w:sz w:val="24"/>
          <w:szCs w:val="24"/>
        </w:rPr>
        <w:tab/>
      </w:r>
      <w:r w:rsidRPr="00B57AB7">
        <w:rPr>
          <w:rFonts w:ascii="Garamond" w:hAnsi="Garamond"/>
          <w:sz w:val="24"/>
          <w:szCs w:val="24"/>
        </w:rPr>
        <w:t>(</w:t>
      </w:r>
      <w:r w:rsidR="00FE6FBA">
        <w:rPr>
          <w:rFonts w:ascii="Garamond" w:hAnsi="Garamond"/>
          <w:sz w:val="24"/>
          <w:szCs w:val="24"/>
        </w:rPr>
        <w:t>3)</w:t>
      </w:r>
    </w:p>
    <w:p w14:paraId="06327A08" w14:textId="77777777" w:rsidR="00AE7FD6" w:rsidRPr="00B57AB7" w:rsidRDefault="00AE7FD6" w:rsidP="00AE7FD6">
      <w:pPr>
        <w:autoSpaceDE w:val="0"/>
        <w:autoSpaceDN w:val="0"/>
        <w:adjustRightInd w:val="0"/>
        <w:spacing w:line="276" w:lineRule="auto"/>
        <w:jc w:val="both"/>
        <w:rPr>
          <w:rFonts w:ascii="Garamond" w:hAnsi="Garamond"/>
          <w:lang w:val="en-US"/>
        </w:rPr>
      </w:pPr>
    </w:p>
    <w:p w14:paraId="59804485" w14:textId="77777777" w:rsidR="00AE7FD6" w:rsidRPr="00B57AB7" w:rsidRDefault="00AE7FD6" w:rsidP="00AE7FD6">
      <w:pPr>
        <w:autoSpaceDE w:val="0"/>
        <w:autoSpaceDN w:val="0"/>
        <w:adjustRightInd w:val="0"/>
        <w:spacing w:line="276" w:lineRule="auto"/>
        <w:jc w:val="both"/>
        <w:rPr>
          <w:rFonts w:ascii="Garamond" w:hAnsi="Garamond"/>
          <w:lang w:val="en-US"/>
        </w:rPr>
      </w:pPr>
      <w:r w:rsidRPr="00B57AB7">
        <w:rPr>
          <w:rFonts w:ascii="Garamond" w:hAnsi="Garamond"/>
          <w:lang w:val="en-US"/>
        </w:rPr>
        <w:t xml:space="preserve">The variable is supposed to measure each bank's perception of its excess liquidity. The banks are supposed to have an internal evaluation of excess liquidity according to their balance sheet characteristics and risk perception. Thus,  the variable measures each bank’s estimated risk of not having sufficient liquidity to cope with the withdrawal of deposits and the insolvency risk. As </w:t>
      </w:r>
      <w:r w:rsidRPr="00B57AB7">
        <w:rPr>
          <w:rFonts w:ascii="Garamond" w:hAnsi="Garamond"/>
          <w:lang w:val="en-US"/>
        </w:rPr>
        <w:lastRenderedPageBreak/>
        <w:t xml:space="preserve">liquidity management is supposed to be one of the banking sector's most important functions, we expect liquid banks to perform better. On the other hand, </w:t>
      </w:r>
      <w:r w:rsidRPr="00B57AB7">
        <w:rPr>
          <w:rFonts w:ascii="Garamond" w:hAnsi="Garamond"/>
          <w:lang w:val="en-US"/>
        </w:rPr>
        <w:fldChar w:fldCharType="begin" w:fldLock="1"/>
      </w:r>
      <w:r w:rsidRPr="00B57AB7">
        <w:rPr>
          <w:rFonts w:ascii="Garamond" w:hAnsi="Garamond"/>
          <w:lang w:val="en-US"/>
        </w:rPr>
        <w:instrText>ADDIN CSL_CITATION {"citationItems":[{"id":"ITEM-1","itemData":{"DOI":"10.17512/pjms.2018.17.1.02","ISSN":"20817452","abstract":"This study is driven by a motivation to examine the key determinants of bank’s performance as proxied by bank’s liquidity (LR), non-performing loans (NPL), capital adequacy ratio (CAR), loan growth (FEXP) and default risk premium (FQL) within the framework of credit creation theory of banking. Using random effect model as an estimation tool on 93 banks in Middle East, Africa and Indian subcontinent over study period from 2009 through 2016, the findings reveal that there are significant relationships between bank’s performance and its loan growth. Both ROA and FEXP are also found to be positively correlated. In contrast, the NPL and CAR are found to be negatively correlated with ROA. As a whole, it is evident that loan growth plays a very important role in supporting bank’s long term performance.","author":[{"dropping-particle":"","family":"Abdul Hadi","given":"Abdul Razak","non-dropping-particle":"","parse-names":false,"suffix":""},{"dropping-particle":"","family":"Hussain","given":"Hafezali Iqbal","non-dropping-particle":"","parse-names":false,"suffix":""},{"dropping-particle":"","family":"Suryanto","given":"Tulus","non-dropping-particle":"","parse-names":false,"suffix":""},{"dropping-particle":"","family":"Eddy Yap","given":"Tat Hiung","non-dropping-particle":"","parse-names":false,"suffix":""}],"container-title":"Polish Journal of Management Studies","id":"ITEM-1","issue":"1","issued":{"date-parts":[["2018"]]},"note":"- Only bank specific factors\n- Methodology: Pooled reg, Hausman test, Breusch Pagan test","page":"17-26","title":"Bank’s performance and its determinants – Evidence from middle east, Indian sub-continent and African banks","type":"article-journal","volume":"17"},"uris":["http://www.mendeley.com/documents/?uuid=84c57539-7db3-4269-a441-1a5212b6339a"]}],"mendeley":{"formattedCitation":"(Abdul Hadi et al., 2018)","plainTextFormattedCitation":"(Abdul Hadi et al., 2018)","previouslyFormattedCitation":"(Abdul Hadi et al., 2018)"},"properties":{"noteIndex":0},"schema":"https://github.com/citation-style-language/schema/raw/master/csl-citation.json"}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(Abdul Hadi et al., 2018)</w:t>
      </w:r>
      <w:r w:rsidRPr="00B57AB7">
        <w:rPr>
          <w:rFonts w:ascii="Garamond" w:hAnsi="Garamond"/>
          <w:lang w:val="en-US"/>
        </w:rPr>
        <w:fldChar w:fldCharType="end"/>
      </w:r>
      <w:r w:rsidRPr="00B57AB7">
        <w:rPr>
          <w:rFonts w:ascii="Garamond" w:hAnsi="Garamond"/>
          <w:lang w:val="en-US"/>
        </w:rPr>
        <w:t xml:space="preserve"> argued that there is a positive opportunity cost for holding excess liquidity. Illiquid investment yields in general higher returns. Thus, banks that hold more excess liquidity can be less profitable.</w:t>
      </w:r>
    </w:p>
    <w:p w14:paraId="03AC1747" w14:textId="4F041039" w:rsidR="00AE7FD6" w:rsidRDefault="00AE7FD6" w:rsidP="004A3A66">
      <w:pPr>
        <w:spacing w:before="120" w:after="120" w:line="276" w:lineRule="auto"/>
        <w:jc w:val="both"/>
        <w:rPr>
          <w:rFonts w:ascii="Garamond" w:hAnsi="Garamond"/>
          <w:lang w:val="en-US"/>
        </w:rPr>
      </w:pPr>
      <w:r>
        <w:rPr>
          <w:rFonts w:ascii="Garamond" w:hAnsi="Garamond"/>
          <w:lang w:val="en-US"/>
        </w:rPr>
        <w:t>As per the</w:t>
      </w:r>
      <w:r w:rsidRPr="00B57AB7">
        <w:rPr>
          <w:rFonts w:ascii="Garamond" w:hAnsi="Garamond"/>
          <w:lang w:val="en-US"/>
        </w:rPr>
        <w:t xml:space="preserve"> external determinants of bank performance</w:t>
      </w:r>
      <w:r>
        <w:rPr>
          <w:rFonts w:ascii="Garamond" w:hAnsi="Garamond"/>
          <w:lang w:val="en-US"/>
        </w:rPr>
        <w:t>,</w:t>
      </w:r>
      <w:r w:rsidRPr="00B57AB7">
        <w:rPr>
          <w:rFonts w:ascii="Garamond" w:hAnsi="Garamond"/>
          <w:lang w:val="en-US"/>
        </w:rPr>
        <w:t xml:space="preserve"> </w:t>
      </w:r>
      <w:r w:rsidR="00646153" w:rsidRPr="00646153">
        <w:rPr>
          <w:rFonts w:ascii="Garamond" w:hAnsi="Garamond"/>
          <w:lang w:val="en-US"/>
        </w:rPr>
        <w:t xml:space="preserve">we included a set of key macroeconomic factors that reflect the specificities of </w:t>
      </w:r>
      <w:r w:rsidR="00646153">
        <w:rPr>
          <w:rFonts w:ascii="Garamond" w:hAnsi="Garamond"/>
          <w:lang w:val="en-US"/>
        </w:rPr>
        <w:t>MENA</w:t>
      </w:r>
      <w:r w:rsidR="00646153" w:rsidRPr="00646153">
        <w:rPr>
          <w:rFonts w:ascii="Garamond" w:hAnsi="Garamond"/>
          <w:lang w:val="en-US"/>
        </w:rPr>
        <w:t xml:space="preserve"> countries. </w:t>
      </w:r>
      <w:r w:rsidR="00646153">
        <w:rPr>
          <w:rFonts w:ascii="Garamond" w:hAnsi="Garamond"/>
          <w:lang w:val="en-US"/>
        </w:rPr>
        <w:t>I</w:t>
      </w:r>
      <w:r w:rsidR="00646153" w:rsidRPr="00646153">
        <w:rPr>
          <w:rFonts w:ascii="Garamond" w:hAnsi="Garamond"/>
          <w:lang w:val="en-US"/>
        </w:rPr>
        <w:t>n line with a parsimonious specification, we used three variables, namely</w:t>
      </w:r>
      <w:r w:rsidR="0031703F">
        <w:rPr>
          <w:rFonts w:ascii="Garamond" w:hAnsi="Garamond"/>
          <w:lang w:val="en-US"/>
        </w:rPr>
        <w:t xml:space="preserve">, real GDP growth, </w:t>
      </w:r>
      <w:r w:rsidR="0031703F" w:rsidRPr="00646153">
        <w:rPr>
          <w:rFonts w:ascii="Garamond" w:hAnsi="Garamond"/>
          <w:lang w:val="en-US"/>
        </w:rPr>
        <w:t>interest rate</w:t>
      </w:r>
      <w:r w:rsidR="00BD2132">
        <w:rPr>
          <w:rFonts w:ascii="Garamond" w:hAnsi="Garamond"/>
          <w:lang w:val="en-US"/>
        </w:rPr>
        <w:t>,</w:t>
      </w:r>
      <w:r w:rsidR="0031703F" w:rsidRPr="00646153">
        <w:rPr>
          <w:rFonts w:ascii="Garamond" w:hAnsi="Garamond"/>
          <w:lang w:val="en-US"/>
        </w:rPr>
        <w:t xml:space="preserve"> </w:t>
      </w:r>
      <w:r w:rsidR="00646153" w:rsidRPr="00646153">
        <w:rPr>
          <w:rFonts w:ascii="Garamond" w:hAnsi="Garamond"/>
          <w:lang w:val="en-US"/>
        </w:rPr>
        <w:t xml:space="preserve">and Inflation. </w:t>
      </w:r>
      <w:r w:rsidRPr="00B57AB7">
        <w:rPr>
          <w:rFonts w:ascii="Garamond" w:hAnsi="Garamond"/>
          <w:lang w:val="en-US"/>
        </w:rPr>
        <w:t xml:space="preserve">GDP growth {GDPG} is the year-to-year growth of </w:t>
      </w:r>
      <w:r w:rsidR="0031703F">
        <w:rPr>
          <w:rFonts w:ascii="Garamond" w:hAnsi="Garamond"/>
          <w:lang w:val="en-US"/>
        </w:rPr>
        <w:t>real</w:t>
      </w:r>
      <w:r w:rsidRPr="00B57AB7">
        <w:rPr>
          <w:rFonts w:ascii="Garamond" w:hAnsi="Garamond"/>
          <w:lang w:val="en-US"/>
        </w:rPr>
        <w:t xml:space="preserve"> gross domestic product and is expected to be positively related to bank performance as a rise in economic activity indicate higher aggregate demand for </w:t>
      </w:r>
      <w:proofErr w:type="spellStart"/>
      <w:r w:rsidRPr="00B57AB7">
        <w:rPr>
          <w:rFonts w:ascii="Garamond" w:hAnsi="Garamond"/>
          <w:lang w:val="en-US"/>
        </w:rPr>
        <w:t>good</w:t>
      </w:r>
      <w:proofErr w:type="spellEnd"/>
      <w:r w:rsidRPr="00B57AB7">
        <w:rPr>
          <w:rFonts w:ascii="Garamond" w:hAnsi="Garamond"/>
          <w:lang w:val="en-US"/>
        </w:rPr>
        <w:t xml:space="preserve"> and services including financing and financial intermediation. The inflation rate {INFL} </w:t>
      </w:r>
      <w:r w:rsidRPr="00B57AB7">
        <w:rPr>
          <w:rFonts w:ascii="Garamond" w:eastAsiaTheme="minorHAnsi" w:hAnsi="Garamond" w:cstheme="majorBidi"/>
          <w:sz w:val="26"/>
          <w:szCs w:val="26"/>
          <w:lang w:val="en-US"/>
        </w:rPr>
        <w:t xml:space="preserve">is </w:t>
      </w:r>
      <w:r w:rsidRPr="00B57AB7">
        <w:rPr>
          <w:rFonts w:ascii="Garamond" w:hAnsi="Garamond"/>
          <w:lang w:val="en-US"/>
        </w:rPr>
        <w:t xml:space="preserve">the year-to-year growth rate of the consumer price index. A rise in inflation could negatively harm aggregate demand by increasing uncertainty and the operating cost of firms </w:t>
      </w:r>
      <w:r w:rsidRPr="00B57AB7">
        <w:rPr>
          <w:rFonts w:ascii="Garamond" w:hAnsi="Garamond"/>
          <w:lang w:val="en-US"/>
        </w:rPr>
        <w:fldChar w:fldCharType="begin" w:fldLock="1"/>
      </w:r>
      <w:r w:rsidRPr="00B57AB7">
        <w:rPr>
          <w:rFonts w:ascii="Garamond" w:hAnsi="Garamond"/>
          <w:lang w:val="en-US"/>
        </w:rPr>
        <w:instrText>ADDIN CSL_CITATION {"citationItems":[{"id":"ITEM-1","itemData":{"DOI":"10.1108/ARLA-04-2013-0030","ISSN":"20565127","abstract":"Purpose – The purpose of this paper is to analyze the impact of macroeconomic</w:instrText>
      </w:r>
      <w:r w:rsidRPr="00B57AB7">
        <w:rPr>
          <w:lang w:val="en-US"/>
        </w:rPr>
        <w:instrText>‐</w:instrText>
      </w:r>
      <w:r w:rsidRPr="00B57AB7">
        <w:rPr>
          <w:rFonts w:ascii="Garamond" w:hAnsi="Garamond"/>
          <w:lang w:val="en-US"/>
        </w:rPr>
        <w:instrText>industrial and bank</w:instrText>
      </w:r>
      <w:r w:rsidRPr="00B57AB7">
        <w:rPr>
          <w:lang w:val="en-US"/>
        </w:rPr>
        <w:instrText>‐</w:instrText>
      </w:r>
      <w:r w:rsidRPr="00B57AB7">
        <w:rPr>
          <w:rFonts w:ascii="Garamond" w:hAnsi="Garamond"/>
          <w:lang w:val="en-US"/>
        </w:rPr>
        <w:instrText>specific factors on Latin American banks</w:instrText>
      </w:r>
      <w:r w:rsidRPr="00B57AB7">
        <w:rPr>
          <w:rFonts w:ascii="Garamond" w:hAnsi="Garamond" w:cs="Garamond"/>
          <w:lang w:val="en-US"/>
        </w:rPr>
        <w:instrText>’</w:instrText>
      </w:r>
      <w:r w:rsidRPr="00B57AB7">
        <w:rPr>
          <w:rFonts w:ascii="Garamond" w:hAnsi="Garamond"/>
          <w:lang w:val="en-US"/>
        </w:rPr>
        <w:instrText xml:space="preserve"> performance. Design/methodology/approach – Using the data panel system estimator version of the generalized method of moments, the authors estimate the determinants of return on assets and interest margin for a sample of 78 commercial banks from Argentina, Brazil, Chile, Colombia, México, Paraguay, Peru, and Venezuela over the period from 1995 to 2010. Findings – On the one hand, the results show that bank performance is positively related to both idiosyncratic factors, such as service diversification, size, capital ratio, and specialization degree, and to macroeconomic</w:instrText>
      </w:r>
      <w:r w:rsidRPr="00B57AB7">
        <w:rPr>
          <w:lang w:val="en-US"/>
        </w:rPr>
        <w:instrText>‐</w:instrText>
      </w:r>
      <w:r w:rsidRPr="00B57AB7">
        <w:rPr>
          <w:rFonts w:ascii="Garamond" w:hAnsi="Garamond"/>
          <w:lang w:val="en-US"/>
        </w:rPr>
        <w:instrText>industrial factors such as economic growth, inflation, and bank concentration. On the other hand, the results show that bank performance is negatively related to credit risk, liquidity risk, and operational inefficiencies. Originality/value – The authors provide new evidence from the Latin American bank industry and incorporate the effect of diversification through noninterest activities.","author":[{"dropping-particle":"","family":"Jara</w:instrText>
      </w:r>
      <w:r w:rsidRPr="00B57AB7">
        <w:rPr>
          <w:lang w:val="en-US"/>
        </w:rPr>
        <w:instrText>‐</w:instrText>
      </w:r>
      <w:r w:rsidRPr="00B57AB7">
        <w:rPr>
          <w:rFonts w:ascii="Garamond" w:hAnsi="Garamond"/>
          <w:lang w:val="en-US"/>
        </w:rPr>
        <w:instrText>Bertin","given":"Mauricio","non-dropping-particle":"","parse-names":false,"suffix":""},{"dropping-particle":"","family":"Arias Moya","given":"José","non-dropping-particle":"","parse-names":false,"suffix":""},{"dropping-particle":"","family":"Rodríguez Perales","given":"Arturo","non-dropping-particle":"","parse-names":false,"suffix":""}],"container-title":"Academia Revista Latinoamericana de Administracion","id":"ITEM-1","issue":"2","issued":{"date-parts":[["2014"]]},"page":"164-182","title":"Determinants of bank performance: evidence for Latin America","type":"article-journal","volume":"27"},"uris":["http://www.mendeley.com/documents/?uuid=b1845d3c-1ce7-41c2-89d6-0e6d6721427d"]},{"id":"ITEM-2","itemData":{"ISSN":"2146-4138","abstract":"The banking sector in Tunisia has undergone, in the past decades, numerous structural changes which have affected the banking industry in particular and the economy as whole. This paper studies the internal and external determinants of bank performance in Tunisia during the period after financial reforms. We used regression analysis and panel data technique with the linear model of Bourke (1989) and followed the methodology employed by Demirgüç-Kunt and Huizinga (1999) and Dietrich and Wanzenried (2011) in order to address the issue. The empirical results showed that bank performance is positively related with capitalization, privatization and quotation. While, bank size, concentration index and efficiency are negatively related with performance indicators (measured by net interest margin, LIQ, return on assets and return on equity). As for the macroeconomic determinants, our analysis showed that the business cycle, measured by the growth of the gross domes</w:instrText>
      </w:r>
      <w:r w:rsidRPr="00885ABC">
        <w:rPr>
          <w:rFonts w:ascii="Garamond" w:hAnsi="Garamond"/>
        </w:rPr>
        <w:instrText>tic product is supposed to be favorable to the improvement of the performance of the banks and negative relationship was found with inflation rate.Those variables have to arouse the interest of the decision-makers of economic and restructuring policies to direct their strategies and aiming corrective actions to promote the performance of banking and financial systems.","author":[{"dropping-particle":"","family":"Nouaili","given":"Makram","non-dropping-particle":"","parse-names":false,"suffix":""},{"dropping-particle":"","family":"Abaoub","given":"Ezzeddine","non-dropping-particle":"","parse-names":false,"suffix":""},{"dropping-particle":"","family":"Ochi","given":"Anis","non-dropping-particle":"","parse-names":false,"suffix":""}],"container-title":"International Journal of Economics and Financial Issues","id":"ITEM-2","issue":"2","issued":{"date-parts":[["2015"]]},"page":"410-417","title":"The Determinants of Banking Performance in Front of Financial Changes: Case of Trade Banks in Tunisia","type":"article-journal","volume":"5"},"uris":["http://www.mendeley.com/documents/?uuid=1b742fcf-9cef-4c6b-8ebd-883800fb8974"]}],"mendeley":{"formattedCitation":"(Jara</w:instrText>
      </w:r>
      <w:r w:rsidRPr="00885ABC">
        <w:instrText>‐</w:instrText>
      </w:r>
      <w:r w:rsidRPr="00885ABC">
        <w:rPr>
          <w:rFonts w:ascii="Garamond" w:hAnsi="Garamond"/>
        </w:rPr>
        <w:instrText>Bertin et al., 2014; Nouaili et al., 2015)","plainTextFormattedCitation":"(Jara</w:instrText>
      </w:r>
      <w:r w:rsidRPr="00885ABC">
        <w:instrText>‐</w:instrText>
      </w:r>
      <w:r w:rsidRPr="00885ABC">
        <w:rPr>
          <w:rFonts w:ascii="Garamond" w:hAnsi="Garamond"/>
        </w:rPr>
        <w:instrText>Bertin et al., 2014; Nouaili et al., 2015)","previouslyFormattedCitation":"(Jara</w:instrText>
      </w:r>
      <w:r w:rsidRPr="00885ABC">
        <w:instrText>‐</w:instrText>
      </w:r>
      <w:r w:rsidRPr="00885ABC">
        <w:rPr>
          <w:rFonts w:ascii="Garamond" w:hAnsi="Garamond"/>
        </w:rPr>
        <w:instrText>Bertin et al., 2014; Nouaili et al., 2015)"},"properties":{"noteIndex":0},"schema":"https://github.com/citation-style-language/schema/raw/master/csl-citation.json"}</w:instrText>
      </w:r>
      <w:r w:rsidRPr="00B57AB7">
        <w:rPr>
          <w:rFonts w:ascii="Garamond" w:hAnsi="Garamond"/>
          <w:lang w:val="en-US"/>
        </w:rPr>
        <w:fldChar w:fldCharType="separate"/>
      </w:r>
      <w:r w:rsidRPr="00885ABC">
        <w:rPr>
          <w:rFonts w:ascii="Garamond" w:hAnsi="Garamond"/>
          <w:noProof/>
        </w:rPr>
        <w:t>(Jara</w:t>
      </w:r>
      <w:r w:rsidRPr="00885ABC">
        <w:rPr>
          <w:noProof/>
        </w:rPr>
        <w:t>‐</w:t>
      </w:r>
      <w:r w:rsidRPr="00885ABC">
        <w:rPr>
          <w:rFonts w:ascii="Garamond" w:hAnsi="Garamond"/>
          <w:noProof/>
        </w:rPr>
        <w:t>Bertin et al., 2014; Nouaili et al., 2015)</w:t>
      </w:r>
      <w:r w:rsidRPr="00B57AB7">
        <w:rPr>
          <w:rFonts w:ascii="Garamond" w:hAnsi="Garamond"/>
          <w:lang w:val="en-US"/>
        </w:rPr>
        <w:fldChar w:fldCharType="end"/>
      </w:r>
      <w:r w:rsidRPr="00885ABC">
        <w:rPr>
          <w:rFonts w:ascii="Garamond" w:hAnsi="Garamond"/>
        </w:rPr>
        <w:t xml:space="preserve">. </w:t>
      </w:r>
      <w:proofErr w:type="spellStart"/>
      <w:r w:rsidRPr="004A3A66">
        <w:rPr>
          <w:rFonts w:ascii="Garamond" w:hAnsi="Garamond"/>
        </w:rPr>
        <w:t>However</w:t>
      </w:r>
      <w:proofErr w:type="spellEnd"/>
      <w:r w:rsidRPr="004A3A66">
        <w:rPr>
          <w:rFonts w:ascii="Garamond" w:hAnsi="Garamond"/>
        </w:rPr>
        <w:t xml:space="preserve">, </w:t>
      </w:r>
      <w:r>
        <w:rPr>
          <w:rFonts w:ascii="Garamond" w:hAnsi="Garamond"/>
          <w:lang w:val="en-US"/>
        </w:rPr>
        <w:fldChar w:fldCharType="begin" w:fldLock="1"/>
      </w:r>
      <w:r w:rsidR="00FE6FBA" w:rsidRPr="004A3A66">
        <w:rPr>
          <w:rFonts w:ascii="Garamond" w:hAnsi="Garamond"/>
        </w:rPr>
        <w:instrText>ADDIN CSL_CITATION {"citationItems":[{"id":"ITEM-1","itemData":{"DOI":"10.1016/j.ribaf.2016.03.015","ISSN":"02755319","abstract":"The aim of this paper is to investigate the determinants of bank profitability in the early transition countries of Central and Eastern Europe (CEE), and in the late transition countries of the former USSR. We apply a GMM technique for the period covering 2000–2013. The results show that profitability persists and the determinants of bank profitability vary across transition countries. Particularly, the banking sector of early transition countries is more competitive. However, the impact of credit risk on bank profitability is positive in early transition countries, but negative in late transition countries. Government spending and monetary freedom negatively influence bank profitability only in late transition countries. Moreover, better capitalised banks are more profitable in early transition countries implying that these banking sectors are more robust. A range of possible approaches that governments can take to further develop banking sectors are discussed.","author":[{"dropping-particle":"","family":"Djalilov","given":"Khurshid","non-dropping-particle":"","parse-names":false,"suffix":""},{"dropping-particle":"","family":"Piesse","given":"Jenifer","non-dropping-particle":"","parse-names":false,"suffix":""}],"container-title":"Research in International Business and Finance","id":"ITEM-1","issued":{"date-parts":[["2016"]]},"page":"69-82","publisher":"Elsevier B.V.","title":"Determinants of bank profitability in transition countries: What matters most?","type":"article-journal","volume":"38"},"uris":["http://www.mendeley.com/documents/?uuid=4686f32c-619a-4f92-acb8-6b6a46eeb71c"]}],"mendeley":{"formattedCitation":"(Djalilov &amp; Piesse, 2016)","plainTextFormattedCitation":"(Djalilov &amp; Piesse, 2016)","previouslyFormattedCitation":"(Djalilov &amp; Piesse, 2016)"},"properties":{"noteIndex":0},"schema":"https://github.com/citation-style-language/schema/raw/master/csl-citation.json"}</w:instrText>
      </w:r>
      <w:r>
        <w:rPr>
          <w:rFonts w:ascii="Garamond" w:hAnsi="Garamond"/>
          <w:lang w:val="en-US"/>
        </w:rPr>
        <w:fldChar w:fldCharType="separate"/>
      </w:r>
      <w:r w:rsidRPr="004A3A66">
        <w:rPr>
          <w:rFonts w:ascii="Garamond" w:hAnsi="Garamond"/>
          <w:noProof/>
        </w:rPr>
        <w:t>(Djalilov &amp; Piesse, 2016)</w:t>
      </w:r>
      <w:r>
        <w:rPr>
          <w:rFonts w:ascii="Garamond" w:hAnsi="Garamond"/>
          <w:lang w:val="en-US"/>
        </w:rPr>
        <w:fldChar w:fldCharType="end"/>
      </w:r>
      <w:r w:rsidRPr="004A3A66">
        <w:rPr>
          <w:rFonts w:ascii="Garamond" w:hAnsi="Garamond"/>
        </w:rPr>
        <w:t xml:space="preserve"> argue </w:t>
      </w:r>
      <w:proofErr w:type="spellStart"/>
      <w:r w:rsidRPr="004A3A66">
        <w:rPr>
          <w:rFonts w:ascii="Garamond" w:hAnsi="Garamond"/>
        </w:rPr>
        <w:t>that</w:t>
      </w:r>
      <w:proofErr w:type="spellEnd"/>
      <w:r w:rsidRPr="004A3A66">
        <w:rPr>
          <w:rFonts w:ascii="Garamond" w:hAnsi="Garamond"/>
        </w:rPr>
        <w:t xml:space="preserve"> by </w:t>
      </w:r>
      <w:proofErr w:type="spellStart"/>
      <w:r w:rsidRPr="004A3A66">
        <w:rPr>
          <w:rFonts w:ascii="Garamond" w:hAnsi="Garamond"/>
        </w:rPr>
        <w:t>anticipating</w:t>
      </w:r>
      <w:proofErr w:type="spellEnd"/>
      <w:r w:rsidRPr="004A3A66">
        <w:rPr>
          <w:rFonts w:ascii="Garamond" w:hAnsi="Garamond"/>
        </w:rPr>
        <w:t xml:space="preserve"> </w:t>
      </w:r>
      <w:proofErr w:type="spellStart"/>
      <w:r w:rsidRPr="004A3A66">
        <w:rPr>
          <w:rFonts w:ascii="Garamond" w:hAnsi="Garamond"/>
        </w:rPr>
        <w:t>its</w:t>
      </w:r>
      <w:proofErr w:type="spellEnd"/>
      <w:r w:rsidRPr="004A3A66">
        <w:rPr>
          <w:rFonts w:ascii="Garamond" w:hAnsi="Garamond"/>
        </w:rPr>
        <w:t xml:space="preserve"> </w:t>
      </w:r>
      <w:proofErr w:type="spellStart"/>
      <w:r w:rsidRPr="004A3A66">
        <w:rPr>
          <w:rFonts w:ascii="Garamond" w:hAnsi="Garamond"/>
        </w:rPr>
        <w:t>rise</w:t>
      </w:r>
      <w:proofErr w:type="spellEnd"/>
      <w:r w:rsidRPr="004A3A66">
        <w:rPr>
          <w:rFonts w:ascii="Garamond" w:hAnsi="Garamond"/>
        </w:rPr>
        <w:t xml:space="preserve">, </w:t>
      </w:r>
      <w:proofErr w:type="spellStart"/>
      <w:r w:rsidRPr="004A3A66">
        <w:rPr>
          <w:rFonts w:ascii="Garamond" w:hAnsi="Garamond"/>
        </w:rPr>
        <w:t>banks</w:t>
      </w:r>
      <w:proofErr w:type="spellEnd"/>
      <w:r w:rsidRPr="004A3A66">
        <w:rPr>
          <w:rFonts w:ascii="Garamond" w:hAnsi="Garamond"/>
        </w:rPr>
        <w:t xml:space="preserve"> can </w:t>
      </w:r>
      <w:proofErr w:type="spellStart"/>
      <w:r w:rsidRPr="004A3A66">
        <w:rPr>
          <w:rFonts w:ascii="Garamond" w:hAnsi="Garamond"/>
        </w:rPr>
        <w:t>adjust</w:t>
      </w:r>
      <w:proofErr w:type="spellEnd"/>
      <w:r w:rsidRPr="004A3A66">
        <w:rPr>
          <w:rFonts w:ascii="Garamond" w:hAnsi="Garamond"/>
        </w:rPr>
        <w:t xml:space="preserve"> </w:t>
      </w:r>
      <w:proofErr w:type="spellStart"/>
      <w:r w:rsidRPr="004A3A66">
        <w:rPr>
          <w:rFonts w:ascii="Garamond" w:hAnsi="Garamond"/>
        </w:rPr>
        <w:t>their</w:t>
      </w:r>
      <w:proofErr w:type="spellEnd"/>
      <w:r w:rsidRPr="004A3A66">
        <w:rPr>
          <w:rFonts w:ascii="Garamond" w:hAnsi="Garamond"/>
        </w:rPr>
        <w:t xml:space="preserve"> nominal </w:t>
      </w:r>
      <w:proofErr w:type="spellStart"/>
      <w:r w:rsidRPr="004A3A66">
        <w:rPr>
          <w:rFonts w:ascii="Garamond" w:hAnsi="Garamond"/>
        </w:rPr>
        <w:t>interest</w:t>
      </w:r>
      <w:proofErr w:type="spellEnd"/>
      <w:r w:rsidRPr="004A3A66">
        <w:rPr>
          <w:rFonts w:ascii="Garamond" w:hAnsi="Garamond"/>
        </w:rPr>
        <w:t xml:space="preserve"> rates to </w:t>
      </w:r>
      <w:proofErr w:type="spellStart"/>
      <w:r w:rsidRPr="004A3A66">
        <w:rPr>
          <w:rFonts w:ascii="Garamond" w:hAnsi="Garamond"/>
        </w:rPr>
        <w:t>keep</w:t>
      </w:r>
      <w:proofErr w:type="spellEnd"/>
      <w:r w:rsidRPr="004A3A66">
        <w:rPr>
          <w:rFonts w:ascii="Garamond" w:hAnsi="Garamond"/>
        </w:rPr>
        <w:t xml:space="preserve"> up </w:t>
      </w:r>
      <w:proofErr w:type="spellStart"/>
      <w:r w:rsidRPr="004A3A66">
        <w:rPr>
          <w:rFonts w:ascii="Garamond" w:hAnsi="Garamond"/>
        </w:rPr>
        <w:t>with</w:t>
      </w:r>
      <w:proofErr w:type="spellEnd"/>
      <w:r w:rsidRPr="004A3A66">
        <w:rPr>
          <w:rFonts w:ascii="Garamond" w:hAnsi="Garamond"/>
        </w:rPr>
        <w:t xml:space="preserve"> inflation and </w:t>
      </w:r>
      <w:proofErr w:type="spellStart"/>
      <w:r w:rsidRPr="004A3A66">
        <w:rPr>
          <w:rFonts w:ascii="Garamond" w:hAnsi="Garamond"/>
        </w:rPr>
        <w:t>improve</w:t>
      </w:r>
      <w:proofErr w:type="spellEnd"/>
      <w:r w:rsidRPr="004A3A66">
        <w:rPr>
          <w:rFonts w:ascii="Garamond" w:hAnsi="Garamond"/>
        </w:rPr>
        <w:t xml:space="preserve"> </w:t>
      </w:r>
      <w:proofErr w:type="spellStart"/>
      <w:r w:rsidRPr="004A3A66">
        <w:rPr>
          <w:rFonts w:ascii="Garamond" w:hAnsi="Garamond"/>
        </w:rPr>
        <w:t>their</w:t>
      </w:r>
      <w:proofErr w:type="spellEnd"/>
      <w:r w:rsidRPr="004A3A66">
        <w:rPr>
          <w:rFonts w:ascii="Garamond" w:hAnsi="Garamond"/>
        </w:rPr>
        <w:t xml:space="preserve"> </w:t>
      </w:r>
      <w:proofErr w:type="spellStart"/>
      <w:r w:rsidRPr="004A3A66">
        <w:rPr>
          <w:rFonts w:ascii="Garamond" w:hAnsi="Garamond"/>
        </w:rPr>
        <w:t>profitability</w:t>
      </w:r>
      <w:proofErr w:type="spellEnd"/>
      <w:r w:rsidRPr="004A3A66">
        <w:rPr>
          <w:rFonts w:ascii="Garamond" w:hAnsi="Garamond"/>
        </w:rPr>
        <w:t xml:space="preserve">. </w:t>
      </w:r>
      <w:r w:rsidRPr="00B57AB7">
        <w:rPr>
          <w:rFonts w:ascii="Garamond" w:hAnsi="Garamond"/>
          <w:lang w:val="en-US"/>
        </w:rPr>
        <w:t>Finally, the short-term lending interest {IR} rate is expected to be positively related to bank performance as it is positively related to earning on lending. However, excessively high</w:t>
      </w:r>
      <w:r>
        <w:rPr>
          <w:rFonts w:ascii="Garamond" w:hAnsi="Garamond"/>
          <w:lang w:val="en-US"/>
        </w:rPr>
        <w:t>-</w:t>
      </w:r>
      <w:r w:rsidRPr="00B57AB7">
        <w:rPr>
          <w:rFonts w:ascii="Garamond" w:hAnsi="Garamond"/>
          <w:lang w:val="en-US"/>
        </w:rPr>
        <w:t>interest rates could discourage credit demand and thus reduce bank performance.</w:t>
      </w:r>
    </w:p>
    <w:p w14:paraId="1ECCA91B" w14:textId="65188D39" w:rsidR="007E13B8" w:rsidRPr="004A3A66" w:rsidRDefault="0031703F" w:rsidP="00BD2132">
      <w:pPr>
        <w:spacing w:before="120" w:after="120" w:line="276" w:lineRule="auto"/>
        <w:jc w:val="both"/>
        <w:rPr>
          <w:rFonts w:ascii="Garamond" w:hAnsi="Garamond"/>
          <w:lang w:val="en-US"/>
        </w:rPr>
      </w:pPr>
      <w:r>
        <w:rPr>
          <w:rFonts w:ascii="Garamond" w:hAnsi="Garamond"/>
          <w:lang w:val="en-US"/>
        </w:rPr>
        <w:t>Concerning the</w:t>
      </w:r>
      <w:r w:rsidRPr="0031703F">
        <w:rPr>
          <w:rFonts w:ascii="Garamond" w:hAnsi="Garamond"/>
          <w:lang w:val="en-US"/>
        </w:rPr>
        <w:t xml:space="preserve"> government intervention indicators, we use three measures of government spending {GTS for total spending, GCS for current spending, and GKS for capital spending) expressed as ratios to GDP</w:t>
      </w:r>
      <w:r w:rsidR="001F23BA">
        <w:rPr>
          <w:rFonts w:ascii="Garamond" w:hAnsi="Garamond"/>
          <w:lang w:val="en-US"/>
        </w:rPr>
        <w:t>,</w:t>
      </w:r>
      <w:r w:rsidRPr="0031703F">
        <w:rPr>
          <w:rFonts w:ascii="Garamond" w:hAnsi="Garamond"/>
          <w:lang w:val="en-US"/>
        </w:rPr>
        <w:t xml:space="preserve"> to investigate the effect of the level and composition of government spending on bank perform</w:t>
      </w:r>
      <w:r>
        <w:rPr>
          <w:rFonts w:ascii="Garamond" w:hAnsi="Garamond"/>
          <w:lang w:val="en-US"/>
        </w:rPr>
        <w:t xml:space="preserve">ance. </w:t>
      </w:r>
      <w:r w:rsidRPr="0031703F">
        <w:rPr>
          <w:rFonts w:ascii="Garamond" w:hAnsi="Garamond"/>
          <w:lang w:val="en-US"/>
        </w:rPr>
        <w:t xml:space="preserve">Given the importance of public expenditures in financing investment and consumption activities, we distinguished in our paper between current and capital expenditures, to examine the effect of different channels through which government spending can contribute to bank performance. Finally, to check the robustness of our results, we include in our model the oil price, given the importance of the oil sector to the banking system in some of the MENA countries. </w:t>
      </w:r>
      <w:r w:rsidR="00BD2132">
        <w:rPr>
          <w:rFonts w:ascii="Garamond" w:hAnsi="Garamond"/>
          <w:lang w:val="en-US"/>
        </w:rPr>
        <w:t xml:space="preserve"> </w:t>
      </w:r>
      <w:r w:rsidR="007E13B8" w:rsidRPr="004A3A66">
        <w:rPr>
          <w:rFonts w:ascii="Garamond" w:hAnsi="Garamond"/>
          <w:lang w:val="en-US"/>
        </w:rPr>
        <w:t>It is worth noting that the stationarity of the adopted variables was tested using the Augmented Dickey-Fuller test (ADF), which indicates that all the series selected in this model are stationary</w:t>
      </w:r>
      <w:r w:rsidR="00BD2132" w:rsidRPr="004A3A66">
        <w:rPr>
          <w:rStyle w:val="FootnoteReference"/>
          <w:rFonts w:ascii="Garamond" w:hAnsi="Garamond"/>
          <w:lang w:val="en-US"/>
        </w:rPr>
        <w:footnoteReference w:id="5"/>
      </w:r>
      <w:r w:rsidR="007E13B8" w:rsidRPr="004A3A66">
        <w:rPr>
          <w:rFonts w:ascii="Garamond" w:hAnsi="Garamond"/>
          <w:lang w:val="en-US"/>
        </w:rPr>
        <w:t>.</w:t>
      </w:r>
    </w:p>
    <w:p w14:paraId="48BF9C9E" w14:textId="25A767E1" w:rsidR="00C85894" w:rsidRPr="00491595" w:rsidRDefault="0031703F" w:rsidP="00491595">
      <w:pPr>
        <w:spacing w:before="120" w:after="120" w:line="276" w:lineRule="auto"/>
        <w:jc w:val="both"/>
        <w:rPr>
          <w:rFonts w:ascii="Garamond" w:hAnsi="Garamond"/>
          <w:lang w:val="en-US"/>
        </w:rPr>
      </w:pPr>
      <w:r w:rsidRPr="0031703F">
        <w:rPr>
          <w:rFonts w:ascii="Garamond" w:hAnsi="Garamond"/>
          <w:lang w:val="en-US"/>
        </w:rPr>
        <w:t>To account for the fact that oil price shocks affect oil importers and exporters differently, we divided our sample into two subsamples.</w:t>
      </w:r>
      <w:r w:rsidR="00C3435A">
        <w:rPr>
          <w:rFonts w:ascii="Garamond" w:hAnsi="Garamond"/>
          <w:lang w:val="en-US"/>
        </w:rPr>
        <w:t xml:space="preserve"> </w:t>
      </w:r>
      <w:r w:rsidR="007E13B8">
        <w:rPr>
          <w:rFonts w:ascii="Garamond" w:hAnsi="Garamond"/>
          <w:lang w:val="en-US"/>
        </w:rPr>
        <w:t>Table 1</w:t>
      </w:r>
      <w:r w:rsidR="007E13B8" w:rsidRPr="007E13B8">
        <w:rPr>
          <w:lang w:val="en-US"/>
        </w:rPr>
        <w:t xml:space="preserve"> </w:t>
      </w:r>
      <w:r w:rsidR="007E13B8">
        <w:rPr>
          <w:rFonts w:ascii="Garamond" w:hAnsi="Garamond"/>
          <w:lang w:val="en-US"/>
        </w:rPr>
        <w:t>presents t</w:t>
      </w:r>
      <w:r w:rsidR="007E13B8" w:rsidRPr="007E13B8">
        <w:rPr>
          <w:rFonts w:ascii="Garamond" w:hAnsi="Garamond"/>
          <w:lang w:val="en-US"/>
        </w:rPr>
        <w:t>he number of banks and observations, as well as some descriptive statistics, showing interesting results.</w:t>
      </w:r>
    </w:p>
    <w:p w14:paraId="15B91DF1" w14:textId="1F6D8CCF" w:rsidR="007E13B8" w:rsidRPr="00B57AB7" w:rsidRDefault="007E13B8" w:rsidP="007E13B8">
      <w:pPr>
        <w:spacing w:line="276" w:lineRule="auto"/>
        <w:jc w:val="both"/>
        <w:rPr>
          <w:rFonts w:ascii="Garamond" w:hAnsi="Garamond"/>
          <w:b/>
          <w:bCs/>
          <w:lang w:val="en-US"/>
        </w:rPr>
      </w:pPr>
      <w:r w:rsidRPr="00B57AB7">
        <w:rPr>
          <w:rFonts w:ascii="Garamond" w:hAnsi="Garamond"/>
          <w:b/>
          <w:bCs/>
          <w:lang w:val="en-US"/>
        </w:rPr>
        <w:t>Table 1: Selected descriptive statistics of bank performance indicators in the MENA region</w:t>
      </w:r>
    </w:p>
    <w:tbl>
      <w:tblPr>
        <w:tblStyle w:val="TableGrid"/>
        <w:tblW w:w="0" w:type="auto"/>
        <w:jc w:val="center"/>
        <w:tblLook w:val="04A0" w:firstRow="1" w:lastRow="0" w:firstColumn="1" w:lastColumn="0" w:noHBand="0" w:noVBand="1"/>
      </w:tblPr>
      <w:tblGrid>
        <w:gridCol w:w="1494"/>
        <w:gridCol w:w="731"/>
        <w:gridCol w:w="794"/>
        <w:gridCol w:w="874"/>
        <w:gridCol w:w="731"/>
        <w:gridCol w:w="794"/>
        <w:gridCol w:w="874"/>
        <w:gridCol w:w="731"/>
        <w:gridCol w:w="794"/>
        <w:gridCol w:w="874"/>
      </w:tblGrid>
      <w:tr w:rsidR="007E13B8" w:rsidRPr="00B57AB7" w14:paraId="0720B50B" w14:textId="77777777" w:rsidTr="004A3A66">
        <w:trPr>
          <w:trHeight w:val="20"/>
          <w:jc w:val="center"/>
        </w:trPr>
        <w:tc>
          <w:tcPr>
            <w:tcW w:w="0" w:type="auto"/>
            <w:vMerge w:val="restart"/>
            <w:tcBorders>
              <w:top w:val="double" w:sz="4" w:space="0" w:color="auto"/>
              <w:right w:val="double" w:sz="4" w:space="0" w:color="auto"/>
            </w:tcBorders>
            <w:vAlign w:val="center"/>
          </w:tcPr>
          <w:p w14:paraId="79BE6E7B" w14:textId="77777777" w:rsidR="007E13B8" w:rsidRPr="001F23BA" w:rsidRDefault="007E13B8" w:rsidP="00491595">
            <w:pPr>
              <w:spacing w:before="120" w:after="120" w:line="240" w:lineRule="auto"/>
              <w:jc w:val="center"/>
              <w:rPr>
                <w:rFonts w:ascii="Garamond" w:hAnsi="Garamond"/>
                <w:b/>
                <w:bCs/>
                <w:lang w:val="en-US"/>
              </w:rPr>
            </w:pPr>
            <w:r w:rsidRPr="001F23BA">
              <w:rPr>
                <w:rFonts w:ascii="Garamond" w:hAnsi="Garamond"/>
                <w:b/>
                <w:bCs/>
                <w:lang w:val="en-US"/>
              </w:rPr>
              <w:t>Country</w:t>
            </w:r>
          </w:p>
        </w:tc>
        <w:tc>
          <w:tcPr>
            <w:tcW w:w="0" w:type="auto"/>
            <w:gridSpan w:val="3"/>
            <w:tcBorders>
              <w:top w:val="double" w:sz="4" w:space="0" w:color="auto"/>
              <w:left w:val="double" w:sz="4" w:space="0" w:color="auto"/>
              <w:right w:val="double" w:sz="4" w:space="0" w:color="auto"/>
            </w:tcBorders>
          </w:tcPr>
          <w:p w14:paraId="19A14CE9" w14:textId="77777777" w:rsidR="007E13B8" w:rsidRPr="001F23BA" w:rsidRDefault="007E13B8" w:rsidP="00491595">
            <w:pPr>
              <w:spacing w:before="120" w:after="120" w:line="240" w:lineRule="auto"/>
              <w:jc w:val="center"/>
              <w:rPr>
                <w:rFonts w:ascii="Garamond" w:hAnsi="Garamond"/>
                <w:b/>
                <w:bCs/>
                <w:lang w:val="en-US"/>
              </w:rPr>
            </w:pPr>
            <w:r w:rsidRPr="001F23BA">
              <w:rPr>
                <w:rFonts w:ascii="Garamond" w:hAnsi="Garamond"/>
                <w:b/>
                <w:bCs/>
                <w:lang w:val="en-US"/>
              </w:rPr>
              <w:t>Full sample</w:t>
            </w:r>
          </w:p>
        </w:tc>
        <w:tc>
          <w:tcPr>
            <w:tcW w:w="0" w:type="auto"/>
            <w:gridSpan w:val="3"/>
            <w:tcBorders>
              <w:top w:val="double" w:sz="4" w:space="0" w:color="auto"/>
              <w:left w:val="double" w:sz="4" w:space="0" w:color="auto"/>
              <w:right w:val="double" w:sz="4" w:space="0" w:color="auto"/>
            </w:tcBorders>
          </w:tcPr>
          <w:p w14:paraId="5C105398" w14:textId="77777777" w:rsidR="007E13B8" w:rsidRPr="001F23BA" w:rsidRDefault="007E13B8" w:rsidP="00491595">
            <w:pPr>
              <w:spacing w:before="120" w:after="120" w:line="240" w:lineRule="auto"/>
              <w:jc w:val="center"/>
              <w:rPr>
                <w:rFonts w:ascii="Garamond" w:hAnsi="Garamond"/>
                <w:b/>
                <w:bCs/>
                <w:lang w:val="en-US"/>
              </w:rPr>
            </w:pPr>
            <w:r w:rsidRPr="001F23BA">
              <w:rPr>
                <w:rFonts w:ascii="Garamond" w:hAnsi="Garamond"/>
                <w:b/>
                <w:bCs/>
                <w:lang w:val="en-US"/>
              </w:rPr>
              <w:t>Oil exporters</w:t>
            </w:r>
          </w:p>
        </w:tc>
        <w:tc>
          <w:tcPr>
            <w:tcW w:w="0" w:type="auto"/>
            <w:gridSpan w:val="3"/>
            <w:tcBorders>
              <w:top w:val="double" w:sz="4" w:space="0" w:color="auto"/>
              <w:left w:val="double" w:sz="4" w:space="0" w:color="auto"/>
              <w:right w:val="double" w:sz="4" w:space="0" w:color="auto"/>
            </w:tcBorders>
          </w:tcPr>
          <w:p w14:paraId="7963DCF6" w14:textId="77777777" w:rsidR="007E13B8" w:rsidRPr="001F23BA" w:rsidRDefault="007E13B8" w:rsidP="00491595">
            <w:pPr>
              <w:spacing w:before="120" w:after="120" w:line="240" w:lineRule="auto"/>
              <w:jc w:val="center"/>
              <w:rPr>
                <w:rFonts w:ascii="Garamond" w:hAnsi="Garamond"/>
                <w:b/>
                <w:bCs/>
                <w:lang w:val="en-US"/>
              </w:rPr>
            </w:pPr>
            <w:r w:rsidRPr="001F23BA">
              <w:rPr>
                <w:rFonts w:ascii="Garamond" w:hAnsi="Garamond"/>
                <w:b/>
                <w:bCs/>
                <w:lang w:val="en-US"/>
              </w:rPr>
              <w:t>Oil importers</w:t>
            </w:r>
          </w:p>
        </w:tc>
      </w:tr>
      <w:tr w:rsidR="007E13B8" w:rsidRPr="00B57AB7" w14:paraId="754FFBD5" w14:textId="77777777" w:rsidTr="004A3A66">
        <w:trPr>
          <w:trHeight w:val="20"/>
          <w:jc w:val="center"/>
        </w:trPr>
        <w:tc>
          <w:tcPr>
            <w:tcW w:w="0" w:type="auto"/>
            <w:vMerge/>
            <w:tcBorders>
              <w:bottom w:val="double" w:sz="4" w:space="0" w:color="auto"/>
              <w:right w:val="double" w:sz="4" w:space="0" w:color="auto"/>
            </w:tcBorders>
          </w:tcPr>
          <w:p w14:paraId="0CCE1B39" w14:textId="77777777" w:rsidR="007E13B8" w:rsidRPr="00B57AB7" w:rsidRDefault="007E13B8" w:rsidP="00491595">
            <w:pPr>
              <w:spacing w:before="120" w:after="120" w:line="240" w:lineRule="auto"/>
              <w:jc w:val="both"/>
              <w:rPr>
                <w:rFonts w:ascii="Garamond" w:hAnsi="Garamond"/>
                <w:lang w:val="en-US"/>
              </w:rPr>
            </w:pPr>
          </w:p>
        </w:tc>
        <w:tc>
          <w:tcPr>
            <w:tcW w:w="0" w:type="auto"/>
            <w:tcBorders>
              <w:left w:val="double" w:sz="4" w:space="0" w:color="auto"/>
              <w:bottom w:val="double" w:sz="4" w:space="0" w:color="auto"/>
            </w:tcBorders>
          </w:tcPr>
          <w:p w14:paraId="59F72456"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ROA</w:t>
            </w:r>
          </w:p>
        </w:tc>
        <w:tc>
          <w:tcPr>
            <w:tcW w:w="0" w:type="auto"/>
            <w:tcBorders>
              <w:bottom w:val="double" w:sz="4" w:space="0" w:color="auto"/>
            </w:tcBorders>
          </w:tcPr>
          <w:p w14:paraId="7939CDC8"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ROE</w:t>
            </w:r>
          </w:p>
        </w:tc>
        <w:tc>
          <w:tcPr>
            <w:tcW w:w="0" w:type="auto"/>
            <w:tcBorders>
              <w:bottom w:val="double" w:sz="4" w:space="0" w:color="auto"/>
              <w:right w:val="double" w:sz="4" w:space="0" w:color="auto"/>
            </w:tcBorders>
          </w:tcPr>
          <w:p w14:paraId="399869FE"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sz w:val="22"/>
                <w:szCs w:val="22"/>
                <w:lang w:val="en-US"/>
              </w:rPr>
              <w:t>LNDG</w:t>
            </w:r>
          </w:p>
        </w:tc>
        <w:tc>
          <w:tcPr>
            <w:tcW w:w="0" w:type="auto"/>
            <w:tcBorders>
              <w:left w:val="double" w:sz="4" w:space="0" w:color="auto"/>
              <w:bottom w:val="double" w:sz="4" w:space="0" w:color="auto"/>
            </w:tcBorders>
          </w:tcPr>
          <w:p w14:paraId="27270453"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ROA</w:t>
            </w:r>
          </w:p>
        </w:tc>
        <w:tc>
          <w:tcPr>
            <w:tcW w:w="0" w:type="auto"/>
            <w:tcBorders>
              <w:bottom w:val="double" w:sz="4" w:space="0" w:color="auto"/>
            </w:tcBorders>
          </w:tcPr>
          <w:p w14:paraId="1EDDAFD5"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ROE</w:t>
            </w:r>
          </w:p>
        </w:tc>
        <w:tc>
          <w:tcPr>
            <w:tcW w:w="0" w:type="auto"/>
            <w:tcBorders>
              <w:bottom w:val="double" w:sz="4" w:space="0" w:color="auto"/>
              <w:right w:val="double" w:sz="4" w:space="0" w:color="auto"/>
            </w:tcBorders>
          </w:tcPr>
          <w:p w14:paraId="39AF4363"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sz w:val="22"/>
                <w:szCs w:val="22"/>
                <w:lang w:val="en-US"/>
              </w:rPr>
              <w:t>LNDG</w:t>
            </w:r>
          </w:p>
        </w:tc>
        <w:tc>
          <w:tcPr>
            <w:tcW w:w="0" w:type="auto"/>
            <w:tcBorders>
              <w:left w:val="double" w:sz="4" w:space="0" w:color="auto"/>
              <w:bottom w:val="double" w:sz="4" w:space="0" w:color="auto"/>
            </w:tcBorders>
          </w:tcPr>
          <w:p w14:paraId="13B911F9"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ROA</w:t>
            </w:r>
          </w:p>
        </w:tc>
        <w:tc>
          <w:tcPr>
            <w:tcW w:w="0" w:type="auto"/>
            <w:tcBorders>
              <w:bottom w:val="double" w:sz="4" w:space="0" w:color="auto"/>
            </w:tcBorders>
          </w:tcPr>
          <w:p w14:paraId="3DF32B3D"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ROE</w:t>
            </w:r>
          </w:p>
        </w:tc>
        <w:tc>
          <w:tcPr>
            <w:tcW w:w="0" w:type="auto"/>
            <w:tcBorders>
              <w:bottom w:val="double" w:sz="4" w:space="0" w:color="auto"/>
              <w:right w:val="double" w:sz="4" w:space="0" w:color="auto"/>
            </w:tcBorders>
          </w:tcPr>
          <w:p w14:paraId="34CE9C53"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sz w:val="22"/>
                <w:szCs w:val="22"/>
                <w:lang w:val="en-US"/>
              </w:rPr>
              <w:t>LNDG</w:t>
            </w:r>
          </w:p>
        </w:tc>
      </w:tr>
      <w:tr w:rsidR="007E13B8" w:rsidRPr="00B57AB7" w14:paraId="74AA792D" w14:textId="77777777" w:rsidTr="004A3A66">
        <w:trPr>
          <w:trHeight w:val="20"/>
          <w:jc w:val="center"/>
        </w:trPr>
        <w:tc>
          <w:tcPr>
            <w:tcW w:w="0" w:type="auto"/>
            <w:tcBorders>
              <w:top w:val="double" w:sz="4" w:space="0" w:color="auto"/>
              <w:right w:val="double" w:sz="4" w:space="0" w:color="auto"/>
            </w:tcBorders>
          </w:tcPr>
          <w:p w14:paraId="187D18DC"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Total banks</w:t>
            </w:r>
          </w:p>
        </w:tc>
        <w:tc>
          <w:tcPr>
            <w:tcW w:w="0" w:type="auto"/>
            <w:tcBorders>
              <w:top w:val="double" w:sz="4" w:space="0" w:color="auto"/>
              <w:left w:val="double" w:sz="4" w:space="0" w:color="auto"/>
            </w:tcBorders>
          </w:tcPr>
          <w:p w14:paraId="122F7AC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179</w:t>
            </w:r>
          </w:p>
        </w:tc>
        <w:tc>
          <w:tcPr>
            <w:tcW w:w="0" w:type="auto"/>
            <w:tcBorders>
              <w:top w:val="double" w:sz="4" w:space="0" w:color="auto"/>
            </w:tcBorders>
          </w:tcPr>
          <w:p w14:paraId="4285E961"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179</w:t>
            </w:r>
          </w:p>
        </w:tc>
        <w:tc>
          <w:tcPr>
            <w:tcW w:w="0" w:type="auto"/>
            <w:tcBorders>
              <w:top w:val="double" w:sz="4" w:space="0" w:color="auto"/>
              <w:right w:val="double" w:sz="4" w:space="0" w:color="auto"/>
            </w:tcBorders>
          </w:tcPr>
          <w:p w14:paraId="2656F3D9"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179</w:t>
            </w:r>
          </w:p>
        </w:tc>
        <w:tc>
          <w:tcPr>
            <w:tcW w:w="0" w:type="auto"/>
            <w:tcBorders>
              <w:top w:val="double" w:sz="4" w:space="0" w:color="auto"/>
              <w:left w:val="double" w:sz="4" w:space="0" w:color="auto"/>
            </w:tcBorders>
          </w:tcPr>
          <w:p w14:paraId="70D59BDA"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88</w:t>
            </w:r>
          </w:p>
        </w:tc>
        <w:tc>
          <w:tcPr>
            <w:tcW w:w="0" w:type="auto"/>
            <w:tcBorders>
              <w:top w:val="double" w:sz="4" w:space="0" w:color="auto"/>
            </w:tcBorders>
          </w:tcPr>
          <w:p w14:paraId="4DC8FA19"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88</w:t>
            </w:r>
          </w:p>
        </w:tc>
        <w:tc>
          <w:tcPr>
            <w:tcW w:w="0" w:type="auto"/>
            <w:tcBorders>
              <w:top w:val="double" w:sz="4" w:space="0" w:color="auto"/>
              <w:right w:val="double" w:sz="4" w:space="0" w:color="auto"/>
            </w:tcBorders>
          </w:tcPr>
          <w:p w14:paraId="322F6D5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88</w:t>
            </w:r>
          </w:p>
        </w:tc>
        <w:tc>
          <w:tcPr>
            <w:tcW w:w="0" w:type="auto"/>
            <w:tcBorders>
              <w:top w:val="double" w:sz="4" w:space="0" w:color="auto"/>
              <w:left w:val="double" w:sz="4" w:space="0" w:color="auto"/>
            </w:tcBorders>
          </w:tcPr>
          <w:p w14:paraId="6081AD44"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91</w:t>
            </w:r>
          </w:p>
        </w:tc>
        <w:tc>
          <w:tcPr>
            <w:tcW w:w="0" w:type="auto"/>
            <w:tcBorders>
              <w:top w:val="double" w:sz="4" w:space="0" w:color="auto"/>
            </w:tcBorders>
          </w:tcPr>
          <w:p w14:paraId="69E0F8AB"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91</w:t>
            </w:r>
          </w:p>
        </w:tc>
        <w:tc>
          <w:tcPr>
            <w:tcW w:w="0" w:type="auto"/>
            <w:tcBorders>
              <w:top w:val="double" w:sz="4" w:space="0" w:color="auto"/>
              <w:right w:val="double" w:sz="4" w:space="0" w:color="auto"/>
            </w:tcBorders>
          </w:tcPr>
          <w:p w14:paraId="76B0B8B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91</w:t>
            </w:r>
          </w:p>
        </w:tc>
      </w:tr>
      <w:tr w:rsidR="007E13B8" w:rsidRPr="00B57AB7" w14:paraId="6615396C" w14:textId="77777777" w:rsidTr="004A3A66">
        <w:trPr>
          <w:trHeight w:val="20"/>
          <w:jc w:val="center"/>
        </w:trPr>
        <w:tc>
          <w:tcPr>
            <w:tcW w:w="0" w:type="auto"/>
            <w:tcBorders>
              <w:right w:val="double" w:sz="4" w:space="0" w:color="auto"/>
            </w:tcBorders>
          </w:tcPr>
          <w:p w14:paraId="4AF79E92"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 xml:space="preserve">observations </w:t>
            </w:r>
          </w:p>
        </w:tc>
        <w:tc>
          <w:tcPr>
            <w:tcW w:w="0" w:type="auto"/>
            <w:tcBorders>
              <w:left w:val="double" w:sz="4" w:space="0" w:color="auto"/>
            </w:tcBorders>
          </w:tcPr>
          <w:p w14:paraId="188B1E2F"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3315</w:t>
            </w:r>
          </w:p>
        </w:tc>
        <w:tc>
          <w:tcPr>
            <w:tcW w:w="0" w:type="auto"/>
          </w:tcPr>
          <w:p w14:paraId="2C11AE11"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3315</w:t>
            </w:r>
          </w:p>
        </w:tc>
        <w:tc>
          <w:tcPr>
            <w:tcW w:w="0" w:type="auto"/>
            <w:tcBorders>
              <w:right w:val="double" w:sz="4" w:space="0" w:color="auto"/>
            </w:tcBorders>
          </w:tcPr>
          <w:p w14:paraId="3D4F9678"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3142</w:t>
            </w:r>
          </w:p>
        </w:tc>
        <w:tc>
          <w:tcPr>
            <w:tcW w:w="0" w:type="auto"/>
            <w:tcBorders>
              <w:left w:val="double" w:sz="4" w:space="0" w:color="auto"/>
            </w:tcBorders>
          </w:tcPr>
          <w:p w14:paraId="314C60B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1623</w:t>
            </w:r>
          </w:p>
        </w:tc>
        <w:tc>
          <w:tcPr>
            <w:tcW w:w="0" w:type="auto"/>
          </w:tcPr>
          <w:p w14:paraId="5A26641B"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1623</w:t>
            </w:r>
          </w:p>
        </w:tc>
        <w:tc>
          <w:tcPr>
            <w:tcW w:w="0" w:type="auto"/>
            <w:tcBorders>
              <w:right w:val="double" w:sz="4" w:space="0" w:color="auto"/>
            </w:tcBorders>
          </w:tcPr>
          <w:p w14:paraId="0DDB38AD"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1537</w:t>
            </w:r>
          </w:p>
        </w:tc>
        <w:tc>
          <w:tcPr>
            <w:tcW w:w="0" w:type="auto"/>
            <w:tcBorders>
              <w:left w:val="double" w:sz="4" w:space="0" w:color="auto"/>
            </w:tcBorders>
          </w:tcPr>
          <w:p w14:paraId="2E1A08A9"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1692</w:t>
            </w:r>
          </w:p>
        </w:tc>
        <w:tc>
          <w:tcPr>
            <w:tcW w:w="0" w:type="auto"/>
          </w:tcPr>
          <w:p w14:paraId="37CAFDA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1692</w:t>
            </w:r>
          </w:p>
        </w:tc>
        <w:tc>
          <w:tcPr>
            <w:tcW w:w="0" w:type="auto"/>
            <w:tcBorders>
              <w:right w:val="double" w:sz="4" w:space="0" w:color="auto"/>
            </w:tcBorders>
          </w:tcPr>
          <w:p w14:paraId="0170F936"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1605</w:t>
            </w:r>
          </w:p>
        </w:tc>
      </w:tr>
      <w:tr w:rsidR="007E13B8" w:rsidRPr="00B57AB7" w14:paraId="128FD683" w14:textId="77777777" w:rsidTr="004A3A66">
        <w:trPr>
          <w:trHeight w:val="20"/>
          <w:jc w:val="center"/>
        </w:trPr>
        <w:tc>
          <w:tcPr>
            <w:tcW w:w="0" w:type="auto"/>
            <w:tcBorders>
              <w:right w:val="double" w:sz="4" w:space="0" w:color="auto"/>
            </w:tcBorders>
          </w:tcPr>
          <w:p w14:paraId="5748D5E7"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Mean</w:t>
            </w:r>
          </w:p>
        </w:tc>
        <w:tc>
          <w:tcPr>
            <w:tcW w:w="0" w:type="auto"/>
            <w:tcBorders>
              <w:left w:val="double" w:sz="4" w:space="0" w:color="auto"/>
            </w:tcBorders>
          </w:tcPr>
          <w:p w14:paraId="2042D2EA"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1.83</w:t>
            </w:r>
          </w:p>
        </w:tc>
        <w:tc>
          <w:tcPr>
            <w:tcW w:w="0" w:type="auto"/>
          </w:tcPr>
          <w:p w14:paraId="3EA2263C"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14.49</w:t>
            </w:r>
          </w:p>
        </w:tc>
        <w:tc>
          <w:tcPr>
            <w:tcW w:w="0" w:type="auto"/>
            <w:tcBorders>
              <w:right w:val="double" w:sz="4" w:space="0" w:color="auto"/>
            </w:tcBorders>
          </w:tcPr>
          <w:p w14:paraId="6DA1B3B8"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0.10</w:t>
            </w:r>
          </w:p>
        </w:tc>
        <w:tc>
          <w:tcPr>
            <w:tcW w:w="0" w:type="auto"/>
            <w:tcBorders>
              <w:left w:val="double" w:sz="4" w:space="0" w:color="auto"/>
            </w:tcBorders>
          </w:tcPr>
          <w:p w14:paraId="6F78979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2.06</w:t>
            </w:r>
          </w:p>
        </w:tc>
        <w:tc>
          <w:tcPr>
            <w:tcW w:w="0" w:type="auto"/>
          </w:tcPr>
          <w:p w14:paraId="005BB474"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13.49</w:t>
            </w:r>
          </w:p>
        </w:tc>
        <w:tc>
          <w:tcPr>
            <w:tcW w:w="0" w:type="auto"/>
            <w:tcBorders>
              <w:right w:val="double" w:sz="4" w:space="0" w:color="auto"/>
            </w:tcBorders>
          </w:tcPr>
          <w:p w14:paraId="592675B8"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0.11</w:t>
            </w:r>
          </w:p>
        </w:tc>
        <w:tc>
          <w:tcPr>
            <w:tcW w:w="0" w:type="auto"/>
            <w:tcBorders>
              <w:left w:val="double" w:sz="4" w:space="0" w:color="auto"/>
            </w:tcBorders>
          </w:tcPr>
          <w:p w14:paraId="337EFACC"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1.60</w:t>
            </w:r>
          </w:p>
        </w:tc>
        <w:tc>
          <w:tcPr>
            <w:tcW w:w="0" w:type="auto"/>
          </w:tcPr>
          <w:p w14:paraId="29683C01"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15.50</w:t>
            </w:r>
          </w:p>
        </w:tc>
        <w:tc>
          <w:tcPr>
            <w:tcW w:w="0" w:type="auto"/>
            <w:tcBorders>
              <w:right w:val="double" w:sz="4" w:space="0" w:color="auto"/>
            </w:tcBorders>
          </w:tcPr>
          <w:p w14:paraId="1ED2A850"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0.08</w:t>
            </w:r>
          </w:p>
        </w:tc>
      </w:tr>
      <w:tr w:rsidR="007E13B8" w:rsidRPr="00B57AB7" w14:paraId="43912C34" w14:textId="77777777" w:rsidTr="004A3A66">
        <w:trPr>
          <w:trHeight w:val="20"/>
          <w:jc w:val="center"/>
        </w:trPr>
        <w:tc>
          <w:tcPr>
            <w:tcW w:w="0" w:type="auto"/>
            <w:tcBorders>
              <w:right w:val="double" w:sz="4" w:space="0" w:color="auto"/>
            </w:tcBorders>
          </w:tcPr>
          <w:p w14:paraId="33252413"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lastRenderedPageBreak/>
              <w:t>Median</w:t>
            </w:r>
          </w:p>
        </w:tc>
        <w:tc>
          <w:tcPr>
            <w:tcW w:w="0" w:type="auto"/>
            <w:tcBorders>
              <w:left w:val="double" w:sz="4" w:space="0" w:color="auto"/>
            </w:tcBorders>
          </w:tcPr>
          <w:p w14:paraId="32E5C77E"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1.71</w:t>
            </w:r>
          </w:p>
        </w:tc>
        <w:tc>
          <w:tcPr>
            <w:tcW w:w="0" w:type="auto"/>
          </w:tcPr>
          <w:p w14:paraId="3422F76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14.03</w:t>
            </w:r>
          </w:p>
        </w:tc>
        <w:tc>
          <w:tcPr>
            <w:tcW w:w="0" w:type="auto"/>
            <w:tcBorders>
              <w:right w:val="double" w:sz="4" w:space="0" w:color="auto"/>
            </w:tcBorders>
          </w:tcPr>
          <w:p w14:paraId="3C7A00F6"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0.07</w:t>
            </w:r>
          </w:p>
        </w:tc>
        <w:tc>
          <w:tcPr>
            <w:tcW w:w="0" w:type="auto"/>
            <w:tcBorders>
              <w:left w:val="double" w:sz="4" w:space="0" w:color="auto"/>
            </w:tcBorders>
          </w:tcPr>
          <w:p w14:paraId="2F83AF5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1.93</w:t>
            </w:r>
          </w:p>
        </w:tc>
        <w:tc>
          <w:tcPr>
            <w:tcW w:w="0" w:type="auto"/>
          </w:tcPr>
          <w:p w14:paraId="69EA6B81"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13.38</w:t>
            </w:r>
          </w:p>
        </w:tc>
        <w:tc>
          <w:tcPr>
            <w:tcW w:w="0" w:type="auto"/>
            <w:tcBorders>
              <w:right w:val="double" w:sz="4" w:space="0" w:color="auto"/>
            </w:tcBorders>
          </w:tcPr>
          <w:p w14:paraId="612B17F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0.08</w:t>
            </w:r>
          </w:p>
        </w:tc>
        <w:tc>
          <w:tcPr>
            <w:tcW w:w="0" w:type="auto"/>
            <w:tcBorders>
              <w:left w:val="double" w:sz="4" w:space="0" w:color="auto"/>
            </w:tcBorders>
          </w:tcPr>
          <w:p w14:paraId="4D435258"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1.40</w:t>
            </w:r>
          </w:p>
        </w:tc>
        <w:tc>
          <w:tcPr>
            <w:tcW w:w="0" w:type="auto"/>
          </w:tcPr>
          <w:p w14:paraId="2ABADE39"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14.64</w:t>
            </w:r>
          </w:p>
        </w:tc>
        <w:tc>
          <w:tcPr>
            <w:tcW w:w="0" w:type="auto"/>
            <w:tcBorders>
              <w:right w:val="double" w:sz="4" w:space="0" w:color="auto"/>
            </w:tcBorders>
          </w:tcPr>
          <w:p w14:paraId="5DEC0BE5"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0.06</w:t>
            </w:r>
          </w:p>
        </w:tc>
      </w:tr>
      <w:tr w:rsidR="007E13B8" w:rsidRPr="00B57AB7" w14:paraId="1C4A2182" w14:textId="77777777" w:rsidTr="004A3A66">
        <w:trPr>
          <w:trHeight w:val="20"/>
          <w:jc w:val="center"/>
        </w:trPr>
        <w:tc>
          <w:tcPr>
            <w:tcW w:w="0" w:type="auto"/>
            <w:tcBorders>
              <w:right w:val="double" w:sz="4" w:space="0" w:color="auto"/>
            </w:tcBorders>
          </w:tcPr>
          <w:p w14:paraId="3359A2D4"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Min</w:t>
            </w:r>
          </w:p>
        </w:tc>
        <w:tc>
          <w:tcPr>
            <w:tcW w:w="0" w:type="auto"/>
            <w:tcBorders>
              <w:left w:val="double" w:sz="4" w:space="0" w:color="auto"/>
            </w:tcBorders>
          </w:tcPr>
          <w:p w14:paraId="10C873FD"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-2.79</w:t>
            </w:r>
          </w:p>
        </w:tc>
        <w:tc>
          <w:tcPr>
            <w:tcW w:w="0" w:type="auto"/>
          </w:tcPr>
          <w:p w14:paraId="751663A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-21.42</w:t>
            </w:r>
          </w:p>
        </w:tc>
        <w:tc>
          <w:tcPr>
            <w:tcW w:w="0" w:type="auto"/>
            <w:tcBorders>
              <w:right w:val="double" w:sz="4" w:space="0" w:color="auto"/>
            </w:tcBorders>
          </w:tcPr>
          <w:p w14:paraId="76F93CED"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-0.68</w:t>
            </w:r>
          </w:p>
        </w:tc>
        <w:tc>
          <w:tcPr>
            <w:tcW w:w="0" w:type="auto"/>
            <w:tcBorders>
              <w:left w:val="double" w:sz="4" w:space="0" w:color="auto"/>
            </w:tcBorders>
          </w:tcPr>
          <w:p w14:paraId="52A352B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-3.22</w:t>
            </w:r>
          </w:p>
        </w:tc>
        <w:tc>
          <w:tcPr>
            <w:tcW w:w="0" w:type="auto"/>
          </w:tcPr>
          <w:p w14:paraId="5EA86794"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-20.91</w:t>
            </w:r>
          </w:p>
        </w:tc>
        <w:tc>
          <w:tcPr>
            <w:tcW w:w="0" w:type="auto"/>
            <w:tcBorders>
              <w:right w:val="double" w:sz="4" w:space="0" w:color="auto"/>
            </w:tcBorders>
          </w:tcPr>
          <w:p w14:paraId="7D9A8EB3"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-0.87</w:t>
            </w:r>
          </w:p>
        </w:tc>
        <w:tc>
          <w:tcPr>
            <w:tcW w:w="0" w:type="auto"/>
            <w:tcBorders>
              <w:left w:val="double" w:sz="4" w:space="0" w:color="auto"/>
            </w:tcBorders>
          </w:tcPr>
          <w:p w14:paraId="2D61657C"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-2.67</w:t>
            </w:r>
          </w:p>
        </w:tc>
        <w:tc>
          <w:tcPr>
            <w:tcW w:w="0" w:type="auto"/>
          </w:tcPr>
          <w:p w14:paraId="0C7F14A6"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-23.43</w:t>
            </w:r>
          </w:p>
        </w:tc>
        <w:tc>
          <w:tcPr>
            <w:tcW w:w="0" w:type="auto"/>
            <w:tcBorders>
              <w:right w:val="double" w:sz="4" w:space="0" w:color="auto"/>
            </w:tcBorders>
          </w:tcPr>
          <w:p w14:paraId="0247EC8A"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-0.62</w:t>
            </w:r>
          </w:p>
        </w:tc>
      </w:tr>
      <w:tr w:rsidR="007E13B8" w:rsidRPr="00B57AB7" w14:paraId="109C8939" w14:textId="77777777" w:rsidTr="004A3A66">
        <w:trPr>
          <w:trHeight w:val="20"/>
          <w:jc w:val="center"/>
        </w:trPr>
        <w:tc>
          <w:tcPr>
            <w:tcW w:w="0" w:type="auto"/>
            <w:tcBorders>
              <w:bottom w:val="single" w:sz="4" w:space="0" w:color="auto"/>
              <w:right w:val="double" w:sz="4" w:space="0" w:color="auto"/>
            </w:tcBorders>
          </w:tcPr>
          <w:p w14:paraId="62F4349F"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Max</w:t>
            </w:r>
          </w:p>
        </w:tc>
        <w:tc>
          <w:tcPr>
            <w:tcW w:w="0" w:type="auto"/>
            <w:tcBorders>
              <w:left w:val="double" w:sz="4" w:space="0" w:color="auto"/>
              <w:bottom w:val="single" w:sz="4" w:space="0" w:color="auto"/>
            </w:tcBorders>
          </w:tcPr>
          <w:p w14:paraId="4D9391AD"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7.50</w:t>
            </w:r>
          </w:p>
        </w:tc>
        <w:tc>
          <w:tcPr>
            <w:tcW w:w="0" w:type="auto"/>
            <w:tcBorders>
              <w:bottom w:val="single" w:sz="4" w:space="0" w:color="auto"/>
            </w:tcBorders>
          </w:tcPr>
          <w:p w14:paraId="3148727D"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61.83</w:t>
            </w:r>
          </w:p>
        </w:tc>
        <w:tc>
          <w:tcPr>
            <w:tcW w:w="0" w:type="auto"/>
            <w:tcBorders>
              <w:bottom w:val="single" w:sz="4" w:space="0" w:color="auto"/>
              <w:right w:val="double" w:sz="4" w:space="0" w:color="auto"/>
            </w:tcBorders>
          </w:tcPr>
          <w:p w14:paraId="435CFAAE"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0.97</w:t>
            </w:r>
          </w:p>
        </w:tc>
        <w:tc>
          <w:tcPr>
            <w:tcW w:w="0" w:type="auto"/>
            <w:tcBorders>
              <w:left w:val="double" w:sz="4" w:space="0" w:color="auto"/>
              <w:bottom w:val="single" w:sz="4" w:space="0" w:color="auto"/>
            </w:tcBorders>
          </w:tcPr>
          <w:p w14:paraId="6109B3CF"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7.55</w:t>
            </w:r>
          </w:p>
        </w:tc>
        <w:tc>
          <w:tcPr>
            <w:tcW w:w="0" w:type="auto"/>
            <w:tcBorders>
              <w:bottom w:val="single" w:sz="4" w:space="0" w:color="auto"/>
            </w:tcBorders>
          </w:tcPr>
          <w:p w14:paraId="4C43FACB"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44.55</w:t>
            </w:r>
          </w:p>
        </w:tc>
        <w:tc>
          <w:tcPr>
            <w:tcW w:w="0" w:type="auto"/>
            <w:tcBorders>
              <w:bottom w:val="single" w:sz="4" w:space="0" w:color="auto"/>
              <w:right w:val="double" w:sz="4" w:space="0" w:color="auto"/>
            </w:tcBorders>
          </w:tcPr>
          <w:p w14:paraId="66F91B7B"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1.13</w:t>
            </w:r>
          </w:p>
        </w:tc>
        <w:tc>
          <w:tcPr>
            <w:tcW w:w="0" w:type="auto"/>
            <w:tcBorders>
              <w:left w:val="double" w:sz="4" w:space="0" w:color="auto"/>
              <w:bottom w:val="single" w:sz="4" w:space="0" w:color="auto"/>
            </w:tcBorders>
          </w:tcPr>
          <w:p w14:paraId="7DA02070"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7.42</w:t>
            </w:r>
          </w:p>
        </w:tc>
        <w:tc>
          <w:tcPr>
            <w:tcW w:w="0" w:type="auto"/>
            <w:tcBorders>
              <w:bottom w:val="single" w:sz="4" w:space="0" w:color="auto"/>
            </w:tcBorders>
          </w:tcPr>
          <w:p w14:paraId="030951F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67.00</w:t>
            </w:r>
          </w:p>
        </w:tc>
        <w:tc>
          <w:tcPr>
            <w:tcW w:w="0" w:type="auto"/>
            <w:tcBorders>
              <w:bottom w:val="single" w:sz="4" w:space="0" w:color="auto"/>
              <w:right w:val="double" w:sz="4" w:space="0" w:color="auto"/>
            </w:tcBorders>
          </w:tcPr>
          <w:p w14:paraId="179A2C2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0.70</w:t>
            </w:r>
          </w:p>
        </w:tc>
      </w:tr>
      <w:tr w:rsidR="007E13B8" w:rsidRPr="00B57AB7" w14:paraId="6640C5E6" w14:textId="77777777" w:rsidTr="004A3A66">
        <w:trPr>
          <w:trHeight w:val="20"/>
          <w:jc w:val="center"/>
        </w:trPr>
        <w:tc>
          <w:tcPr>
            <w:tcW w:w="0" w:type="auto"/>
            <w:tcBorders>
              <w:bottom w:val="double" w:sz="4" w:space="0" w:color="auto"/>
              <w:right w:val="double" w:sz="4" w:space="0" w:color="auto"/>
            </w:tcBorders>
          </w:tcPr>
          <w:p w14:paraId="60490AE6" w14:textId="77777777" w:rsidR="007E13B8" w:rsidRPr="00F608C8" w:rsidRDefault="007E13B8" w:rsidP="00491595">
            <w:pPr>
              <w:spacing w:before="120" w:after="120" w:line="240" w:lineRule="auto"/>
              <w:jc w:val="both"/>
              <w:rPr>
                <w:rFonts w:ascii="Garamond" w:hAnsi="Garamond"/>
                <w:b/>
                <w:bCs/>
                <w:lang w:val="en-US"/>
              </w:rPr>
            </w:pPr>
            <w:r w:rsidRPr="00F608C8">
              <w:rPr>
                <w:rFonts w:ascii="Garamond" w:hAnsi="Garamond"/>
                <w:b/>
                <w:bCs/>
                <w:lang w:val="en-US"/>
              </w:rPr>
              <w:t>Std. Dev.</w:t>
            </w:r>
          </w:p>
        </w:tc>
        <w:tc>
          <w:tcPr>
            <w:tcW w:w="0" w:type="auto"/>
            <w:tcBorders>
              <w:left w:val="double" w:sz="4" w:space="0" w:color="auto"/>
              <w:bottom w:val="double" w:sz="4" w:space="0" w:color="auto"/>
            </w:tcBorders>
          </w:tcPr>
          <w:p w14:paraId="6D34066C"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1.36</w:t>
            </w:r>
          </w:p>
        </w:tc>
        <w:tc>
          <w:tcPr>
            <w:tcW w:w="0" w:type="auto"/>
            <w:tcBorders>
              <w:bottom w:val="double" w:sz="4" w:space="0" w:color="auto"/>
            </w:tcBorders>
          </w:tcPr>
          <w:p w14:paraId="7FE75A83"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10.37</w:t>
            </w:r>
          </w:p>
        </w:tc>
        <w:tc>
          <w:tcPr>
            <w:tcW w:w="0" w:type="auto"/>
            <w:tcBorders>
              <w:bottom w:val="double" w:sz="4" w:space="0" w:color="auto"/>
              <w:right w:val="double" w:sz="4" w:space="0" w:color="auto"/>
            </w:tcBorders>
          </w:tcPr>
          <w:p w14:paraId="6988486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0.18</w:t>
            </w:r>
          </w:p>
        </w:tc>
        <w:tc>
          <w:tcPr>
            <w:tcW w:w="0" w:type="auto"/>
            <w:tcBorders>
              <w:left w:val="double" w:sz="4" w:space="0" w:color="auto"/>
              <w:bottom w:val="double" w:sz="4" w:space="0" w:color="auto"/>
            </w:tcBorders>
          </w:tcPr>
          <w:p w14:paraId="2C4E782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1.38</w:t>
            </w:r>
          </w:p>
        </w:tc>
        <w:tc>
          <w:tcPr>
            <w:tcW w:w="0" w:type="auto"/>
            <w:tcBorders>
              <w:bottom w:val="double" w:sz="4" w:space="0" w:color="auto"/>
            </w:tcBorders>
          </w:tcPr>
          <w:p w14:paraId="596436C0"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8.72</w:t>
            </w:r>
          </w:p>
        </w:tc>
        <w:tc>
          <w:tcPr>
            <w:tcW w:w="0" w:type="auto"/>
            <w:tcBorders>
              <w:bottom w:val="double" w:sz="4" w:space="0" w:color="auto"/>
              <w:right w:val="double" w:sz="4" w:space="0" w:color="auto"/>
            </w:tcBorders>
          </w:tcPr>
          <w:p w14:paraId="749541A2"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0.21</w:t>
            </w:r>
          </w:p>
        </w:tc>
        <w:tc>
          <w:tcPr>
            <w:tcW w:w="0" w:type="auto"/>
            <w:tcBorders>
              <w:left w:val="double" w:sz="4" w:space="0" w:color="auto"/>
              <w:bottom w:val="double" w:sz="4" w:space="0" w:color="auto"/>
            </w:tcBorders>
          </w:tcPr>
          <w:p w14:paraId="1D03D48C"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1.31</w:t>
            </w:r>
          </w:p>
        </w:tc>
        <w:tc>
          <w:tcPr>
            <w:tcW w:w="0" w:type="auto"/>
            <w:tcBorders>
              <w:bottom w:val="double" w:sz="4" w:space="0" w:color="auto"/>
            </w:tcBorders>
          </w:tcPr>
          <w:p w14:paraId="36FDB987"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11.90</w:t>
            </w:r>
          </w:p>
        </w:tc>
        <w:tc>
          <w:tcPr>
            <w:tcW w:w="0" w:type="auto"/>
            <w:tcBorders>
              <w:bottom w:val="double" w:sz="4" w:space="0" w:color="auto"/>
              <w:right w:val="double" w:sz="4" w:space="0" w:color="auto"/>
            </w:tcBorders>
          </w:tcPr>
          <w:p w14:paraId="3EC35280" w14:textId="77777777" w:rsidR="007E13B8" w:rsidRPr="00B57AB7" w:rsidRDefault="007E13B8" w:rsidP="00491595">
            <w:pPr>
              <w:spacing w:before="120" w:after="120" w:line="240" w:lineRule="auto"/>
              <w:jc w:val="center"/>
              <w:rPr>
                <w:rFonts w:ascii="Garamond" w:hAnsi="Garamond"/>
                <w:lang w:val="en-US"/>
              </w:rPr>
            </w:pPr>
            <w:r w:rsidRPr="00B57AB7">
              <w:rPr>
                <w:rFonts w:ascii="Garamond" w:hAnsi="Garamond"/>
                <w:lang w:val="en-US"/>
              </w:rPr>
              <w:t>0.17</w:t>
            </w:r>
          </w:p>
        </w:tc>
      </w:tr>
    </w:tbl>
    <w:p w14:paraId="17A7C48E" w14:textId="7CFD520C" w:rsidR="00B078AA" w:rsidRPr="00ED588F" w:rsidRDefault="00ED588F" w:rsidP="00ED588F">
      <w:pPr>
        <w:pStyle w:val="Heading2"/>
        <w:rPr>
          <w:i w:val="0"/>
          <w:iCs w:val="0"/>
          <w:szCs w:val="24"/>
          <w:lang w:val="en-US"/>
        </w:rPr>
      </w:pPr>
      <w:r w:rsidRPr="00C81351">
        <w:rPr>
          <w:i w:val="0"/>
          <w:iCs w:val="0"/>
          <w:szCs w:val="24"/>
          <w:lang w:val="en-US"/>
        </w:rPr>
        <w:t>I</w:t>
      </w:r>
      <w:r>
        <w:rPr>
          <w:i w:val="0"/>
          <w:iCs w:val="0"/>
          <w:szCs w:val="24"/>
          <w:lang w:val="en-US"/>
        </w:rPr>
        <w:t>II.2</w:t>
      </w:r>
      <w:r w:rsidRPr="00C81351">
        <w:rPr>
          <w:i w:val="0"/>
          <w:iCs w:val="0"/>
          <w:szCs w:val="24"/>
          <w:lang w:val="en-US"/>
        </w:rPr>
        <w:t xml:space="preserve">. </w:t>
      </w:r>
      <w:r>
        <w:rPr>
          <w:i w:val="0"/>
          <w:iCs w:val="0"/>
          <w:szCs w:val="24"/>
          <w:lang w:val="en-US"/>
        </w:rPr>
        <w:t>S</w:t>
      </w:r>
      <w:r w:rsidRPr="00C81351">
        <w:rPr>
          <w:i w:val="0"/>
          <w:iCs w:val="0"/>
          <w:szCs w:val="24"/>
          <w:lang w:val="en-US"/>
        </w:rPr>
        <w:t>tylized facts</w:t>
      </w:r>
    </w:p>
    <w:p w14:paraId="73C0350A" w14:textId="4EBCEAFF" w:rsidR="00EE37E4" w:rsidRPr="00B57AB7" w:rsidRDefault="00E44DEF" w:rsidP="007E13B8">
      <w:pPr>
        <w:spacing w:before="120" w:after="120" w:line="276" w:lineRule="auto"/>
        <w:jc w:val="both"/>
        <w:rPr>
          <w:rFonts w:ascii="Garamond" w:hAnsi="Garamond"/>
          <w:lang w:val="en-US"/>
        </w:rPr>
      </w:pPr>
      <w:r w:rsidRPr="00E44DEF">
        <w:rPr>
          <w:rFonts w:ascii="Garamond" w:hAnsi="Garamond"/>
          <w:lang w:val="en-US"/>
        </w:rPr>
        <w:t xml:space="preserve">After describing all the collected data and the selected samples of counties, a brief statistical analysis is important </w:t>
      </w:r>
      <w:r w:rsidR="00C81351">
        <w:rPr>
          <w:rFonts w:ascii="Garamond" w:hAnsi="Garamond"/>
          <w:lang w:val="en-US"/>
        </w:rPr>
        <w:t>to</w:t>
      </w:r>
      <w:r w:rsidRPr="00E44DEF">
        <w:rPr>
          <w:rFonts w:ascii="Garamond" w:hAnsi="Garamond"/>
          <w:lang w:val="en-US"/>
        </w:rPr>
        <w:t xml:space="preserve"> understand</w:t>
      </w:r>
      <w:r w:rsidR="00C81351">
        <w:rPr>
          <w:rFonts w:ascii="Garamond" w:hAnsi="Garamond"/>
          <w:lang w:val="en-US"/>
        </w:rPr>
        <w:t xml:space="preserve"> how banks</w:t>
      </w:r>
      <w:r w:rsidR="00E244E2">
        <w:rPr>
          <w:rFonts w:ascii="Garamond" w:hAnsi="Garamond"/>
          <w:lang w:val="en-US"/>
        </w:rPr>
        <w:t>’</w:t>
      </w:r>
      <w:r w:rsidR="00C81351">
        <w:rPr>
          <w:rFonts w:ascii="Garamond" w:hAnsi="Garamond"/>
          <w:lang w:val="en-US"/>
        </w:rPr>
        <w:t xml:space="preserve"> performance </w:t>
      </w:r>
      <w:r w:rsidR="00E244E2" w:rsidRPr="00E244E2">
        <w:rPr>
          <w:rFonts w:ascii="Garamond" w:hAnsi="Garamond"/>
          <w:lang w:val="en-US"/>
        </w:rPr>
        <w:t>differ</w:t>
      </w:r>
      <w:r w:rsidR="00E244E2">
        <w:rPr>
          <w:rFonts w:ascii="Garamond" w:hAnsi="Garamond"/>
          <w:lang w:val="en-US"/>
        </w:rPr>
        <w:t>s</w:t>
      </w:r>
      <w:r w:rsidR="00E244E2" w:rsidRPr="00E244E2">
        <w:rPr>
          <w:rFonts w:ascii="Garamond" w:hAnsi="Garamond"/>
          <w:lang w:val="en-US"/>
        </w:rPr>
        <w:t xml:space="preserve"> from a group of countries to another </w:t>
      </w:r>
      <w:r>
        <w:rPr>
          <w:rFonts w:ascii="Garamond" w:hAnsi="Garamond"/>
          <w:lang w:val="en-US"/>
        </w:rPr>
        <w:t>in the MENA region.</w:t>
      </w:r>
      <w:r w:rsidRPr="00E44DEF">
        <w:rPr>
          <w:rFonts w:ascii="Garamond" w:hAnsi="Garamond"/>
          <w:lang w:val="en-US"/>
        </w:rPr>
        <w:t xml:space="preserve"> </w:t>
      </w:r>
    </w:p>
    <w:p w14:paraId="49B8A28E" w14:textId="77777777" w:rsidR="00F608C8" w:rsidRPr="004A3A66" w:rsidRDefault="00F608C8" w:rsidP="004A3A66">
      <w:pPr>
        <w:spacing w:before="120" w:line="240" w:lineRule="auto"/>
        <w:jc w:val="center"/>
        <w:rPr>
          <w:rFonts w:ascii="Garamond" w:hAnsi="Garamond"/>
          <w:b/>
          <w:bCs/>
          <w:sz w:val="22"/>
          <w:szCs w:val="22"/>
          <w:lang w:val="en-US"/>
        </w:rPr>
      </w:pPr>
      <w:r w:rsidRPr="004A3A66">
        <w:rPr>
          <w:rFonts w:ascii="Garamond" w:hAnsi="Garamond"/>
          <w:b/>
          <w:bCs/>
          <w:sz w:val="22"/>
          <w:szCs w:val="22"/>
          <w:lang w:val="en-US"/>
        </w:rPr>
        <w:t>Figure 1</w:t>
      </w:r>
      <w:r w:rsidR="00A828F6" w:rsidRPr="004A3A66">
        <w:rPr>
          <w:rFonts w:ascii="Garamond" w:hAnsi="Garamond"/>
          <w:b/>
          <w:bCs/>
          <w:sz w:val="22"/>
          <w:szCs w:val="22"/>
          <w:lang w:val="en-US"/>
        </w:rPr>
        <w:t xml:space="preserve">: </w:t>
      </w:r>
      <w:r w:rsidR="00CA49AC" w:rsidRPr="004A3A66">
        <w:rPr>
          <w:rFonts w:ascii="Garamond" w:hAnsi="Garamond"/>
          <w:b/>
          <w:bCs/>
          <w:sz w:val="22"/>
          <w:szCs w:val="22"/>
          <w:lang w:val="en-US"/>
        </w:rPr>
        <w:t xml:space="preserve">The differences in the </w:t>
      </w:r>
      <w:r w:rsidR="00A828F6" w:rsidRPr="004A3A66">
        <w:rPr>
          <w:rFonts w:ascii="Garamond" w:hAnsi="Garamond"/>
          <w:b/>
          <w:bCs/>
          <w:sz w:val="22"/>
          <w:szCs w:val="22"/>
          <w:lang w:val="en-US"/>
        </w:rPr>
        <w:t xml:space="preserve">median </w:t>
      </w:r>
      <w:r w:rsidR="00CA49AC" w:rsidRPr="004A3A66">
        <w:rPr>
          <w:rFonts w:ascii="Garamond" w:hAnsi="Garamond"/>
          <w:b/>
          <w:bCs/>
          <w:sz w:val="22"/>
          <w:szCs w:val="22"/>
          <w:lang w:val="en-US"/>
        </w:rPr>
        <w:t xml:space="preserve">of </w:t>
      </w:r>
      <w:r w:rsidR="00A828F6" w:rsidRPr="004A3A66">
        <w:rPr>
          <w:rFonts w:ascii="Garamond" w:hAnsi="Garamond"/>
          <w:b/>
          <w:bCs/>
          <w:sz w:val="22"/>
          <w:szCs w:val="22"/>
          <w:lang w:val="en-US"/>
        </w:rPr>
        <w:t>bank performance indicators</w:t>
      </w:r>
      <w:r w:rsidR="00CA49AC" w:rsidRPr="004A3A66">
        <w:rPr>
          <w:rFonts w:ascii="Garamond" w:hAnsi="Garamond"/>
          <w:b/>
          <w:bCs/>
          <w:sz w:val="22"/>
          <w:szCs w:val="22"/>
          <w:lang w:val="en-US"/>
        </w:rPr>
        <w:t xml:space="preserve"> based on oil dependency</w:t>
      </w:r>
    </w:p>
    <w:p w14:paraId="34496BD4" w14:textId="764C32A5" w:rsidR="00F608C8" w:rsidRDefault="00F608C8" w:rsidP="00F608C8">
      <w:pPr>
        <w:spacing w:before="120" w:after="120" w:line="276" w:lineRule="auto"/>
        <w:jc w:val="center"/>
        <w:rPr>
          <w:rFonts w:ascii="Garamond" w:hAnsi="Garamond"/>
        </w:rPr>
      </w:pPr>
      <w:r w:rsidRPr="00B57AB7">
        <w:rPr>
          <w:rFonts w:ascii="Garamond" w:hAnsi="Garamond"/>
        </w:rPr>
        <w:object w:dxaOrig="8736" w:dyaOrig="5988" w14:anchorId="7FBA6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8pt;height:232.8pt" o:ole="">
            <v:imagedata r:id="rId8" o:title=""/>
          </v:shape>
          <o:OLEObject Type="Embed" ProgID="EViews.Workfile.2" ShapeID="_x0000_i1025" DrawAspect="Content" ObjectID="_1702034711" r:id="rId9"/>
        </w:object>
      </w:r>
    </w:p>
    <w:p w14:paraId="643FECD5" w14:textId="0D6316D6" w:rsidR="00BD2132" w:rsidRPr="004A3A66" w:rsidRDefault="00BD2132" w:rsidP="004A3A66">
      <w:pPr>
        <w:spacing w:after="240" w:line="240" w:lineRule="auto"/>
        <w:ind w:left="708" w:firstLine="708"/>
        <w:rPr>
          <w:rFonts w:ascii="Garamond" w:hAnsi="Garamond"/>
          <w:sz w:val="20"/>
          <w:szCs w:val="20"/>
          <w:lang w:val="en-US"/>
        </w:rPr>
      </w:pPr>
      <w:r w:rsidRPr="004A3A66">
        <w:rPr>
          <w:rFonts w:ascii="Garamond" w:hAnsi="Garamond"/>
          <w:sz w:val="20"/>
          <w:szCs w:val="20"/>
          <w:lang w:val="en-US"/>
        </w:rPr>
        <w:t>Source: the panel dataset used in this paper</w:t>
      </w:r>
    </w:p>
    <w:p w14:paraId="70E2FC3D" w14:textId="0FC0A7E9" w:rsidR="00DF1172" w:rsidRDefault="00F608C8" w:rsidP="002A0F4D">
      <w:pPr>
        <w:spacing w:before="120" w:after="120" w:line="276" w:lineRule="auto"/>
        <w:jc w:val="both"/>
        <w:rPr>
          <w:rFonts w:ascii="Garamond" w:hAnsi="Garamond"/>
          <w:lang w:val="en-US"/>
        </w:rPr>
      </w:pPr>
      <w:r>
        <w:rPr>
          <w:rFonts w:ascii="Garamond" w:hAnsi="Garamond"/>
          <w:lang w:val="en-US"/>
        </w:rPr>
        <w:t>Figure 1 shows clearly the significa</w:t>
      </w:r>
      <w:r w:rsidR="00BD2132">
        <w:rPr>
          <w:rFonts w:ascii="Garamond" w:hAnsi="Garamond"/>
          <w:lang w:val="en-US"/>
        </w:rPr>
        <w:t>n</w:t>
      </w:r>
      <w:r>
        <w:rPr>
          <w:rFonts w:ascii="Garamond" w:hAnsi="Garamond"/>
          <w:lang w:val="en-US"/>
        </w:rPr>
        <w:t xml:space="preserve">t difference between </w:t>
      </w:r>
      <w:r w:rsidRPr="00F608C8">
        <w:rPr>
          <w:rFonts w:ascii="Garamond" w:hAnsi="Garamond"/>
          <w:lang w:val="en-US"/>
        </w:rPr>
        <w:t>banks’ performance</w:t>
      </w:r>
      <w:r>
        <w:rPr>
          <w:rFonts w:ascii="Garamond" w:hAnsi="Garamond"/>
          <w:lang w:val="en-US"/>
        </w:rPr>
        <w:t xml:space="preserve"> indicators in the </w:t>
      </w:r>
      <w:r w:rsidR="00BD2132">
        <w:rPr>
          <w:rFonts w:ascii="Garamond" w:hAnsi="Garamond"/>
          <w:lang w:val="en-US"/>
        </w:rPr>
        <w:t>oil-</w:t>
      </w:r>
      <w:r>
        <w:rPr>
          <w:rFonts w:ascii="Garamond" w:hAnsi="Garamond"/>
          <w:lang w:val="en-US"/>
        </w:rPr>
        <w:t xml:space="preserve">exporting countries and those in </w:t>
      </w:r>
      <w:r w:rsidR="00BD2132">
        <w:rPr>
          <w:rFonts w:ascii="Garamond" w:hAnsi="Garamond"/>
          <w:lang w:val="en-US"/>
        </w:rPr>
        <w:t>oil-</w:t>
      </w:r>
      <w:r>
        <w:rPr>
          <w:rFonts w:ascii="Garamond" w:hAnsi="Garamond"/>
          <w:lang w:val="en-US"/>
        </w:rPr>
        <w:t>importing co</w:t>
      </w:r>
      <w:r w:rsidR="00DF1172">
        <w:rPr>
          <w:rFonts w:ascii="Garamond" w:hAnsi="Garamond"/>
          <w:lang w:val="en-US"/>
        </w:rPr>
        <w:t>u</w:t>
      </w:r>
      <w:r>
        <w:rPr>
          <w:rFonts w:ascii="Garamond" w:hAnsi="Garamond"/>
          <w:lang w:val="en-US"/>
        </w:rPr>
        <w:t xml:space="preserve">ntries. This </w:t>
      </w:r>
      <w:r w:rsidR="00B57AB7">
        <w:rPr>
          <w:rFonts w:ascii="Garamond" w:hAnsi="Garamond"/>
          <w:lang w:val="en-US"/>
        </w:rPr>
        <w:t>can be attributed to inherent differences in economic structure and the development of financial systems.</w:t>
      </w:r>
      <w:r w:rsidR="009043A5">
        <w:rPr>
          <w:rFonts w:ascii="Garamond" w:hAnsi="Garamond"/>
          <w:lang w:val="en-US"/>
        </w:rPr>
        <w:t xml:space="preserve"> </w:t>
      </w:r>
      <w:r w:rsidR="007E13B8" w:rsidRPr="007E13B8">
        <w:rPr>
          <w:rFonts w:ascii="Garamond" w:hAnsi="Garamond"/>
          <w:lang w:val="en-US"/>
        </w:rPr>
        <w:t xml:space="preserve">In fact, given that economic activity </w:t>
      </w:r>
      <w:r w:rsidR="007E13B8">
        <w:rPr>
          <w:rFonts w:ascii="Garamond" w:hAnsi="Garamond"/>
          <w:lang w:val="en-US"/>
        </w:rPr>
        <w:t xml:space="preserve">in </w:t>
      </w:r>
      <w:r w:rsidR="00BD2132">
        <w:rPr>
          <w:rFonts w:ascii="Garamond" w:hAnsi="Garamond"/>
          <w:lang w:val="en-US"/>
        </w:rPr>
        <w:t>oil-</w:t>
      </w:r>
      <w:r w:rsidR="007E13B8">
        <w:rPr>
          <w:rFonts w:ascii="Garamond" w:hAnsi="Garamond"/>
          <w:lang w:val="en-US"/>
        </w:rPr>
        <w:t xml:space="preserve">exporting countries </w:t>
      </w:r>
      <w:r w:rsidR="007E13B8" w:rsidRPr="007E13B8">
        <w:rPr>
          <w:rFonts w:ascii="Garamond" w:hAnsi="Garamond"/>
          <w:lang w:val="en-US"/>
        </w:rPr>
        <w:t>is reliant on oil prices, higher oil revenue boosts government spending, which leads to abundant liquidity in the banking system and strong confidence in the private sector, resulting in higher deposits and credit in support of t</w:t>
      </w:r>
      <w:r w:rsidR="007E13B8">
        <w:rPr>
          <w:rFonts w:ascii="Garamond" w:hAnsi="Garamond"/>
          <w:lang w:val="en-US"/>
        </w:rPr>
        <w:t xml:space="preserve">he growth of the non-oil sector, </w:t>
      </w:r>
      <w:r w:rsidR="00DF1172">
        <w:rPr>
          <w:rFonts w:ascii="Garamond" w:hAnsi="Garamond"/>
          <w:lang w:val="en-US"/>
        </w:rPr>
        <w:t xml:space="preserve">and </w:t>
      </w:r>
      <w:r w:rsidR="007E13B8" w:rsidRPr="007E13B8">
        <w:rPr>
          <w:rFonts w:ascii="Garamond" w:hAnsi="Garamond"/>
          <w:lang w:val="en-US"/>
        </w:rPr>
        <w:t>i</w:t>
      </w:r>
      <w:r w:rsidR="00DF1172">
        <w:rPr>
          <w:rFonts w:ascii="Garamond" w:hAnsi="Garamond"/>
          <w:lang w:val="en-US"/>
        </w:rPr>
        <w:t>mprov</w:t>
      </w:r>
      <w:r w:rsidR="007E13B8">
        <w:rPr>
          <w:rFonts w:ascii="Garamond" w:hAnsi="Garamond"/>
          <w:lang w:val="en-US"/>
        </w:rPr>
        <w:t>ing consequently the</w:t>
      </w:r>
      <w:r w:rsidR="007E13B8" w:rsidRPr="007E13B8">
        <w:rPr>
          <w:rFonts w:ascii="Garamond" w:hAnsi="Garamond"/>
          <w:lang w:val="en-US"/>
        </w:rPr>
        <w:t xml:space="preserve"> </w:t>
      </w:r>
      <w:r w:rsidR="007E13B8" w:rsidRPr="00F608C8">
        <w:rPr>
          <w:rFonts w:ascii="Garamond" w:hAnsi="Garamond"/>
          <w:lang w:val="en-US"/>
        </w:rPr>
        <w:t>banks’ performance</w:t>
      </w:r>
      <w:r w:rsidR="007E13B8">
        <w:rPr>
          <w:rFonts w:ascii="Garamond" w:hAnsi="Garamond"/>
          <w:lang w:val="en-US"/>
        </w:rPr>
        <w:t>.</w:t>
      </w:r>
      <w:r w:rsidR="00DF1172">
        <w:rPr>
          <w:rFonts w:ascii="Garamond" w:hAnsi="Garamond"/>
          <w:lang w:val="en-US"/>
        </w:rPr>
        <w:t xml:space="preserve"> However, a</w:t>
      </w:r>
      <w:r w:rsidR="00DF1172" w:rsidRPr="00DF1172">
        <w:rPr>
          <w:rFonts w:ascii="Garamond" w:hAnsi="Garamond"/>
          <w:lang w:val="en-US"/>
        </w:rPr>
        <w:t xml:space="preserve">ny rise in oil prices puts pressure on </w:t>
      </w:r>
      <w:r w:rsidR="002A0F4D">
        <w:rPr>
          <w:rFonts w:ascii="Garamond" w:hAnsi="Garamond"/>
          <w:lang w:val="en-US"/>
        </w:rPr>
        <w:t>net</w:t>
      </w:r>
      <w:r w:rsidR="002A0F4D" w:rsidRPr="00DF1172">
        <w:rPr>
          <w:rFonts w:ascii="Garamond" w:hAnsi="Garamond"/>
          <w:lang w:val="en-US"/>
        </w:rPr>
        <w:t xml:space="preserve"> </w:t>
      </w:r>
      <w:r w:rsidR="00BD2132">
        <w:rPr>
          <w:rFonts w:ascii="Garamond" w:hAnsi="Garamond"/>
          <w:lang w:val="en-US"/>
        </w:rPr>
        <w:t>oil</w:t>
      </w:r>
      <w:r w:rsidR="002A0F4D">
        <w:rPr>
          <w:rFonts w:ascii="Garamond" w:hAnsi="Garamond"/>
          <w:lang w:val="en-US"/>
        </w:rPr>
        <w:t>-</w:t>
      </w:r>
      <w:r w:rsidR="00DF1172" w:rsidRPr="00DF1172">
        <w:rPr>
          <w:rFonts w:ascii="Garamond" w:hAnsi="Garamond"/>
          <w:lang w:val="en-US"/>
        </w:rPr>
        <w:t>importers</w:t>
      </w:r>
      <w:r w:rsidR="00DF1172">
        <w:rPr>
          <w:rFonts w:ascii="Garamond" w:hAnsi="Garamond"/>
          <w:lang w:val="en-US"/>
        </w:rPr>
        <w:t xml:space="preserve">, </w:t>
      </w:r>
      <w:r w:rsidR="0096727D">
        <w:rPr>
          <w:rFonts w:ascii="Garamond" w:hAnsi="Garamond"/>
          <w:lang w:val="en-US"/>
        </w:rPr>
        <w:t xml:space="preserve">by </w:t>
      </w:r>
      <w:r w:rsidR="00DF1172">
        <w:rPr>
          <w:rFonts w:ascii="Garamond" w:hAnsi="Garamond"/>
          <w:lang w:val="en-US"/>
        </w:rPr>
        <w:t xml:space="preserve">causing </w:t>
      </w:r>
      <w:r w:rsidR="0096727D">
        <w:rPr>
          <w:rFonts w:ascii="Garamond" w:hAnsi="Garamond"/>
          <w:lang w:val="en-US"/>
        </w:rPr>
        <w:t>a</w:t>
      </w:r>
      <w:r w:rsidR="00DF1172" w:rsidRPr="00DF1172">
        <w:rPr>
          <w:rFonts w:ascii="Garamond" w:hAnsi="Garamond"/>
          <w:lang w:val="en-US"/>
        </w:rPr>
        <w:t xml:space="preserve"> decline in government spending and slower growth of monetary aggregates, liquidity, deposits, and credit,</w:t>
      </w:r>
      <w:r w:rsidR="0096727D">
        <w:rPr>
          <w:rFonts w:ascii="Garamond" w:hAnsi="Garamond"/>
          <w:lang w:val="en-US"/>
        </w:rPr>
        <w:t xml:space="preserve"> which harm </w:t>
      </w:r>
      <w:r w:rsidR="0096727D" w:rsidRPr="00F608C8">
        <w:rPr>
          <w:rFonts w:ascii="Garamond" w:hAnsi="Garamond"/>
          <w:lang w:val="en-US"/>
        </w:rPr>
        <w:t>banks’ performance</w:t>
      </w:r>
      <w:r w:rsidR="0096727D">
        <w:rPr>
          <w:rFonts w:ascii="Garamond" w:hAnsi="Garamond"/>
          <w:lang w:val="en-US"/>
        </w:rPr>
        <w:t xml:space="preserve"> in those countries.</w:t>
      </w:r>
    </w:p>
    <w:p w14:paraId="52768344" w14:textId="59BBAF57" w:rsidR="00E82432" w:rsidRPr="00E82432" w:rsidRDefault="00DF1172" w:rsidP="00AB18FF">
      <w:pPr>
        <w:spacing w:before="120" w:after="120" w:line="276" w:lineRule="auto"/>
        <w:jc w:val="both"/>
        <w:rPr>
          <w:rFonts w:ascii="Garamond" w:hAnsi="Garamond"/>
          <w:lang w:val="en-US"/>
        </w:rPr>
      </w:pPr>
      <w:r>
        <w:rPr>
          <w:rFonts w:ascii="Garamond" w:hAnsi="Garamond"/>
          <w:lang w:val="en-US"/>
        </w:rPr>
        <w:t xml:space="preserve">For more details, </w:t>
      </w:r>
      <w:r w:rsidR="00E21FF1">
        <w:rPr>
          <w:rFonts w:ascii="Garamond" w:hAnsi="Garamond"/>
          <w:lang w:val="en-US"/>
        </w:rPr>
        <w:t xml:space="preserve">Appendix </w:t>
      </w:r>
      <w:r w:rsidR="00CA49AC">
        <w:rPr>
          <w:rFonts w:ascii="Garamond" w:hAnsi="Garamond"/>
          <w:lang w:val="en-US"/>
        </w:rPr>
        <w:t>C</w:t>
      </w:r>
      <w:r w:rsidR="00E21FF1">
        <w:rPr>
          <w:rFonts w:ascii="Garamond" w:hAnsi="Garamond"/>
          <w:lang w:val="en-US"/>
        </w:rPr>
        <w:t xml:space="preserve"> </w:t>
      </w:r>
      <w:r w:rsidR="0096727D">
        <w:rPr>
          <w:rFonts w:ascii="Garamond" w:hAnsi="Garamond"/>
          <w:lang w:val="en-US"/>
        </w:rPr>
        <w:t xml:space="preserve">presents three panels that </w:t>
      </w:r>
      <w:r w:rsidR="00E21FF1">
        <w:rPr>
          <w:rFonts w:ascii="Garamond" w:hAnsi="Garamond"/>
          <w:lang w:val="en-US"/>
        </w:rPr>
        <w:t xml:space="preserve">show some examples of the key differences in macroeconomic structure between the two subsamples of countries included in our study. </w:t>
      </w:r>
      <w:r w:rsidR="0096727D">
        <w:rPr>
          <w:rFonts w:ascii="Garamond" w:hAnsi="Garamond"/>
          <w:lang w:val="en-US"/>
        </w:rPr>
        <w:t>O</w:t>
      </w:r>
      <w:r w:rsidR="009043A5">
        <w:rPr>
          <w:rFonts w:ascii="Garamond" w:hAnsi="Garamond"/>
          <w:lang w:val="en-US"/>
        </w:rPr>
        <w:t xml:space="preserve">il exporters experienced </w:t>
      </w:r>
      <w:r w:rsidR="00E21FF1">
        <w:rPr>
          <w:rFonts w:ascii="Garamond" w:hAnsi="Garamond"/>
          <w:lang w:val="en-US"/>
        </w:rPr>
        <w:t xml:space="preserve">during the study period </w:t>
      </w:r>
      <w:r w:rsidR="009043A5">
        <w:rPr>
          <w:rFonts w:ascii="Garamond" w:hAnsi="Garamond"/>
          <w:lang w:val="en-US"/>
        </w:rPr>
        <w:t>higher levels</w:t>
      </w:r>
      <w:r w:rsidR="00D67AEC">
        <w:rPr>
          <w:rFonts w:ascii="Garamond" w:hAnsi="Garamond"/>
          <w:lang w:val="en-US"/>
        </w:rPr>
        <w:t xml:space="preserve"> of economic growth, investment</w:t>
      </w:r>
      <w:r w:rsidR="00731A6A">
        <w:rPr>
          <w:rFonts w:ascii="Garamond" w:hAnsi="Garamond"/>
          <w:lang w:val="en-US"/>
        </w:rPr>
        <w:t>,</w:t>
      </w:r>
      <w:r w:rsidR="00D67AEC">
        <w:rPr>
          <w:rFonts w:ascii="Garamond" w:hAnsi="Garamond"/>
          <w:lang w:val="en-US"/>
        </w:rPr>
        <w:t xml:space="preserve"> and </w:t>
      </w:r>
      <w:r w:rsidR="00D67AEC">
        <w:rPr>
          <w:rFonts w:ascii="Garamond" w:hAnsi="Garamond"/>
          <w:lang w:val="en-US"/>
        </w:rPr>
        <w:lastRenderedPageBreak/>
        <w:t>price stability (panel 1)</w:t>
      </w:r>
      <w:r w:rsidR="0096727D">
        <w:rPr>
          <w:rFonts w:ascii="Garamond" w:hAnsi="Garamond"/>
          <w:lang w:val="en-US"/>
        </w:rPr>
        <w:t xml:space="preserve"> compared to oil importers</w:t>
      </w:r>
      <w:r w:rsidR="00D67AEC">
        <w:rPr>
          <w:rFonts w:ascii="Garamond" w:hAnsi="Garamond"/>
          <w:lang w:val="en-US"/>
        </w:rPr>
        <w:t xml:space="preserve">. </w:t>
      </w:r>
      <w:r w:rsidR="00E82432">
        <w:rPr>
          <w:rFonts w:ascii="Garamond" w:hAnsi="Garamond"/>
          <w:lang w:val="en-US"/>
        </w:rPr>
        <w:t>Panel 2 highlights the difference in levels of government spending, as</w:t>
      </w:r>
      <w:r w:rsidR="00D67AEC">
        <w:rPr>
          <w:rFonts w:ascii="Garamond" w:hAnsi="Garamond"/>
          <w:lang w:val="en-US"/>
        </w:rPr>
        <w:t xml:space="preserve"> countries with abundant natural resources </w:t>
      </w:r>
      <w:r w:rsidR="00E82432">
        <w:rPr>
          <w:rFonts w:ascii="Garamond" w:hAnsi="Garamond"/>
          <w:lang w:val="en-US"/>
        </w:rPr>
        <w:t xml:space="preserve">benefit from higher revenues. Finally, given the </w:t>
      </w:r>
      <w:r w:rsidR="00E82432" w:rsidRPr="00E82432">
        <w:rPr>
          <w:rFonts w:ascii="Garamond" w:hAnsi="Garamond"/>
          <w:lang w:val="en-US"/>
        </w:rPr>
        <w:t>differing trends in terms of oil and fiscal balance dependency, as well as with different levels of economic and institution</w:t>
      </w:r>
      <w:r w:rsidR="00AB18FF">
        <w:rPr>
          <w:rFonts w:ascii="Garamond" w:hAnsi="Garamond"/>
          <w:lang w:val="en-US"/>
        </w:rPr>
        <w:t>al development, Panel 3</w:t>
      </w:r>
      <w:r w:rsidR="00AB18FF" w:rsidRPr="00AB18FF">
        <w:rPr>
          <w:rFonts w:ascii="Garamond" w:hAnsi="Garamond"/>
          <w:lang w:val="en-US"/>
        </w:rPr>
        <w:t xml:space="preserve"> </w:t>
      </w:r>
      <w:r w:rsidR="00AB18FF">
        <w:rPr>
          <w:rFonts w:ascii="Garamond" w:hAnsi="Garamond"/>
          <w:lang w:val="en-US"/>
        </w:rPr>
        <w:t>show</w:t>
      </w:r>
      <w:r w:rsidR="00BD2132">
        <w:rPr>
          <w:rFonts w:ascii="Garamond" w:hAnsi="Garamond"/>
          <w:lang w:val="en-US"/>
        </w:rPr>
        <w:t>s</w:t>
      </w:r>
      <w:r w:rsidR="00AB18FF">
        <w:rPr>
          <w:rFonts w:ascii="Garamond" w:hAnsi="Garamond"/>
          <w:lang w:val="en-US"/>
        </w:rPr>
        <w:t xml:space="preserve"> that oil exporters are net lenders and have less government debt compared to</w:t>
      </w:r>
      <w:r w:rsidR="00AB18FF" w:rsidRPr="00AB18FF">
        <w:rPr>
          <w:rFonts w:ascii="Garamond" w:hAnsi="Garamond"/>
          <w:lang w:val="en-US"/>
        </w:rPr>
        <w:t xml:space="preserve"> </w:t>
      </w:r>
      <w:r w:rsidR="00AB18FF">
        <w:rPr>
          <w:rFonts w:ascii="Garamond" w:hAnsi="Garamond"/>
          <w:lang w:val="en-US"/>
        </w:rPr>
        <w:t>oil importers.</w:t>
      </w:r>
    </w:p>
    <w:p w14:paraId="0B64BCE0" w14:textId="3EEE4BBD" w:rsidR="00731A6A" w:rsidRDefault="00AB18FF" w:rsidP="00AB18FF">
      <w:pPr>
        <w:spacing w:before="120" w:after="120" w:line="276" w:lineRule="auto"/>
        <w:jc w:val="both"/>
        <w:rPr>
          <w:rFonts w:ascii="Garamond" w:hAnsi="Garamond"/>
          <w:lang w:val="en-US"/>
        </w:rPr>
      </w:pPr>
      <w:r>
        <w:rPr>
          <w:rFonts w:ascii="Garamond" w:hAnsi="Garamond"/>
          <w:lang w:val="en-US"/>
        </w:rPr>
        <w:t>Regarding banks’ indicators, o</w:t>
      </w:r>
      <w:r w:rsidR="00731A6A">
        <w:rPr>
          <w:rFonts w:ascii="Garamond" w:hAnsi="Garamond"/>
          <w:lang w:val="en-US"/>
        </w:rPr>
        <w:t xml:space="preserve">il dependency </w:t>
      </w:r>
      <w:r w:rsidR="00B7563A">
        <w:rPr>
          <w:rFonts w:ascii="Garamond" w:hAnsi="Garamond"/>
          <w:lang w:val="en-US"/>
        </w:rPr>
        <w:t>can also have</w:t>
      </w:r>
      <w:r w:rsidR="00731A6A">
        <w:rPr>
          <w:rFonts w:ascii="Garamond" w:hAnsi="Garamond"/>
          <w:lang w:val="en-US"/>
        </w:rPr>
        <w:t xml:space="preserve"> a lasting impact on the structure and the performance of the banking sector. </w:t>
      </w:r>
      <w:r w:rsidR="00B7563A">
        <w:rPr>
          <w:rFonts w:ascii="Garamond" w:hAnsi="Garamond"/>
          <w:lang w:val="en-US"/>
        </w:rPr>
        <w:t xml:space="preserve">Comparing some baking development indicator for the two subsamples in Appendix </w:t>
      </w:r>
      <w:r w:rsidR="00CA49AC">
        <w:rPr>
          <w:rFonts w:ascii="Garamond" w:hAnsi="Garamond"/>
          <w:lang w:val="en-US"/>
        </w:rPr>
        <w:t>D</w:t>
      </w:r>
      <w:r w:rsidR="00B7563A">
        <w:rPr>
          <w:rFonts w:ascii="Garamond" w:hAnsi="Garamond"/>
          <w:lang w:val="en-US"/>
        </w:rPr>
        <w:t xml:space="preserve"> show that the banking sectors in oil-importing countries are bigger and have access to more clients but are less capitalized more exposed to systematic and </w:t>
      </w:r>
      <w:r w:rsidR="00B7563A" w:rsidRPr="00B7563A">
        <w:rPr>
          <w:rFonts w:ascii="Garamond" w:hAnsi="Garamond"/>
          <w:lang w:val="en-US"/>
        </w:rPr>
        <w:t>diversifiable risk</w:t>
      </w:r>
      <w:r w:rsidR="00B7563A">
        <w:rPr>
          <w:rFonts w:ascii="Garamond" w:hAnsi="Garamond"/>
          <w:lang w:val="en-US"/>
        </w:rPr>
        <w:t>. These differences in both the macroeconomic environment and balance sheet constraints should make banks in the two subsamples exhibit measurable differences in investment strategies, assets management, and risk tolerance.</w:t>
      </w:r>
      <w:r w:rsidR="00CA49AC">
        <w:rPr>
          <w:rFonts w:ascii="Garamond" w:hAnsi="Garamond"/>
          <w:lang w:val="en-US"/>
        </w:rPr>
        <w:t xml:space="preserve"> </w:t>
      </w:r>
    </w:p>
    <w:p w14:paraId="74C80472" w14:textId="0D2800D4" w:rsidR="007C45B8" w:rsidRDefault="00B7563A" w:rsidP="00AB18FF">
      <w:pPr>
        <w:spacing w:before="120" w:after="120" w:line="276" w:lineRule="auto"/>
        <w:jc w:val="both"/>
        <w:rPr>
          <w:rFonts w:ascii="Garamond" w:hAnsi="Garamond"/>
          <w:lang w:val="en-US"/>
        </w:rPr>
      </w:pPr>
      <w:r>
        <w:rPr>
          <w:rFonts w:ascii="Garamond" w:hAnsi="Garamond"/>
          <w:lang w:val="en-US"/>
        </w:rPr>
        <w:t>Based on these observations, we will estimate a baseline model for the full sample before dividing it into two subgroups and measuring the effect of oil price changes on bank performance in each subsample.</w:t>
      </w:r>
    </w:p>
    <w:p w14:paraId="7AAE80F2" w14:textId="09411FDB" w:rsidR="007C45B8" w:rsidRPr="00C81351" w:rsidRDefault="006E31F7" w:rsidP="007C45B8">
      <w:pPr>
        <w:pStyle w:val="Heading2"/>
        <w:rPr>
          <w:i w:val="0"/>
          <w:iCs w:val="0"/>
          <w:szCs w:val="24"/>
          <w:lang w:val="en-US"/>
        </w:rPr>
      </w:pPr>
      <w:r w:rsidRPr="00C81351">
        <w:rPr>
          <w:i w:val="0"/>
          <w:iCs w:val="0"/>
          <w:szCs w:val="24"/>
          <w:lang w:val="en-US"/>
        </w:rPr>
        <w:t>III.2. Model s</w:t>
      </w:r>
      <w:r w:rsidR="00A74E5B" w:rsidRPr="00C81351">
        <w:rPr>
          <w:i w:val="0"/>
          <w:iCs w:val="0"/>
          <w:szCs w:val="24"/>
          <w:lang w:val="en-US"/>
        </w:rPr>
        <w:t>pecification</w:t>
      </w:r>
    </w:p>
    <w:p w14:paraId="735E6FA6" w14:textId="7106F3A6" w:rsidR="00A74E5B" w:rsidRPr="00B57AB7" w:rsidRDefault="00987325" w:rsidP="00987325">
      <w:pPr>
        <w:spacing w:before="120" w:after="120" w:line="276" w:lineRule="auto"/>
        <w:jc w:val="both"/>
        <w:rPr>
          <w:rFonts w:ascii="Garamond" w:hAnsi="Garamond"/>
          <w:lang w:val="en-US"/>
        </w:rPr>
      </w:pPr>
      <w:r w:rsidRPr="00987325">
        <w:rPr>
          <w:rFonts w:ascii="Garamond" w:hAnsi="Garamond"/>
          <w:lang w:val="en-US"/>
        </w:rPr>
        <w:t xml:space="preserve">For the empirical investigation, </w:t>
      </w:r>
      <w:r>
        <w:rPr>
          <w:rFonts w:ascii="Garamond" w:hAnsi="Garamond"/>
          <w:lang w:val="en-US"/>
        </w:rPr>
        <w:t>o</w:t>
      </w:r>
      <w:r w:rsidR="00D85342" w:rsidRPr="00B57AB7">
        <w:rPr>
          <w:rFonts w:ascii="Garamond" w:hAnsi="Garamond"/>
          <w:lang w:val="en-US"/>
        </w:rPr>
        <w:t>ur</w:t>
      </w:r>
      <w:r w:rsidR="00CC117C" w:rsidRPr="00B57AB7">
        <w:rPr>
          <w:rFonts w:ascii="Garamond" w:hAnsi="Garamond"/>
          <w:lang w:val="en-US"/>
        </w:rPr>
        <w:t xml:space="preserve"> baseline parsimonious specification can be generally written as follow:</w:t>
      </w:r>
    </w:p>
    <w:p w14:paraId="5DF8AC4F" w14:textId="5ACD1A82" w:rsidR="00A74E5B" w:rsidRPr="00B57AB7" w:rsidRDefault="00CC117C" w:rsidP="00A74E5B">
      <w:pPr>
        <w:spacing w:before="120" w:after="120" w:line="276" w:lineRule="auto"/>
        <w:jc w:val="center"/>
        <w:rPr>
          <w:rFonts w:ascii="Garamond" w:hAnsi="Garamond"/>
          <w:i/>
          <w:lang w:val="en-US"/>
        </w:rPr>
      </w:pPr>
      <m:oMath>
        <m:r>
          <w:rPr>
            <w:rFonts w:ascii="Cambria Math" w:hAnsi="Cambria Math"/>
            <w:lang w:val="en-US"/>
          </w:rPr>
          <m:t>Perf=f(IF, XF, GS)</m:t>
        </m:r>
      </m:oMath>
      <w:r w:rsidR="00A74E5B" w:rsidRPr="00B57AB7">
        <w:rPr>
          <w:rFonts w:ascii="Garamond" w:hAnsi="Garamond"/>
          <w:i/>
          <w:lang w:val="en-US"/>
        </w:rPr>
        <w:t xml:space="preserve">  </w:t>
      </w:r>
      <w:r w:rsidR="00A74E5B" w:rsidRPr="002A0F4D">
        <w:rPr>
          <w:rFonts w:ascii="Garamond" w:hAnsi="Garamond"/>
          <w:iCs/>
          <w:lang w:val="en-US"/>
        </w:rPr>
        <w:t>(</w:t>
      </w:r>
      <w:r w:rsidR="00FE6FBA" w:rsidRPr="002A0F4D">
        <w:rPr>
          <w:rFonts w:ascii="Garamond" w:hAnsi="Garamond"/>
          <w:iCs/>
          <w:lang w:val="en-US"/>
        </w:rPr>
        <w:t>4</w:t>
      </w:r>
      <w:r w:rsidR="00A74E5B" w:rsidRPr="002A0F4D">
        <w:rPr>
          <w:rFonts w:ascii="Garamond" w:hAnsi="Garamond"/>
          <w:iCs/>
          <w:lang w:val="en-US"/>
        </w:rPr>
        <w:t>)</w:t>
      </w:r>
    </w:p>
    <w:p w14:paraId="35C5AED1" w14:textId="553FF733" w:rsidR="00CC117C" w:rsidRPr="00B57AB7" w:rsidRDefault="00A74E5B" w:rsidP="003636EC">
      <w:pPr>
        <w:spacing w:before="120" w:after="120" w:line="276" w:lineRule="auto"/>
        <w:jc w:val="both"/>
        <w:rPr>
          <w:rFonts w:ascii="Garamond" w:hAnsi="Garamond"/>
          <w:lang w:val="en-US"/>
        </w:rPr>
      </w:pPr>
      <w:r w:rsidRPr="00B57AB7">
        <w:rPr>
          <w:rFonts w:ascii="Garamond" w:hAnsi="Garamond"/>
          <w:lang w:val="en-US"/>
        </w:rPr>
        <w:t xml:space="preserve">Where </w:t>
      </w:r>
      <w:r w:rsidR="00CC117C" w:rsidRPr="00B57AB7">
        <w:rPr>
          <w:rFonts w:ascii="Garamond" w:hAnsi="Garamond"/>
          <w:i/>
          <w:iCs/>
          <w:lang w:val="en-US"/>
        </w:rPr>
        <w:t>Perf</w:t>
      </w:r>
      <w:r w:rsidRPr="00B57AB7">
        <w:rPr>
          <w:rFonts w:ascii="Garamond" w:hAnsi="Garamond"/>
          <w:lang w:val="en-US"/>
        </w:rPr>
        <w:t xml:space="preserve"> is a vector of </w:t>
      </w:r>
      <w:r w:rsidR="003636EC">
        <w:rPr>
          <w:rFonts w:ascii="Garamond" w:hAnsi="Garamond"/>
          <w:lang w:val="en-US"/>
        </w:rPr>
        <w:t>the</w:t>
      </w:r>
      <w:r w:rsidRPr="00B57AB7">
        <w:rPr>
          <w:rFonts w:ascii="Garamond" w:hAnsi="Garamond"/>
          <w:lang w:val="en-US"/>
        </w:rPr>
        <w:t xml:space="preserve"> bank performance indicators, </w:t>
      </w:r>
      <w:r w:rsidR="003636EC" w:rsidRPr="003636EC">
        <w:rPr>
          <w:rFonts w:ascii="Garamond" w:hAnsi="Garamond"/>
          <w:lang w:val="en-US"/>
        </w:rPr>
        <w:t>as measure</w:t>
      </w:r>
      <w:r w:rsidR="003636EC">
        <w:rPr>
          <w:rFonts w:ascii="Garamond" w:hAnsi="Garamond"/>
          <w:lang w:val="en-US"/>
        </w:rPr>
        <w:t>d</w:t>
      </w:r>
      <w:r w:rsidR="003636EC" w:rsidRPr="003636EC">
        <w:rPr>
          <w:rFonts w:ascii="Garamond" w:hAnsi="Garamond"/>
          <w:lang w:val="en-US"/>
        </w:rPr>
        <w:t xml:space="preserve"> by</w:t>
      </w:r>
      <w:r w:rsidR="003636EC">
        <w:rPr>
          <w:rFonts w:ascii="Garamond" w:hAnsi="Garamond"/>
          <w:lang w:val="en-US"/>
        </w:rPr>
        <w:t xml:space="preserve"> the Return on Assets (ROA), Return on Equity (ROE)</w:t>
      </w:r>
      <w:r w:rsidR="00BD2132">
        <w:rPr>
          <w:rFonts w:ascii="Garamond" w:hAnsi="Garamond"/>
          <w:lang w:val="en-US"/>
        </w:rPr>
        <w:t>,</w:t>
      </w:r>
      <w:r w:rsidR="003636EC">
        <w:rPr>
          <w:rFonts w:ascii="Garamond" w:hAnsi="Garamond"/>
          <w:lang w:val="en-US"/>
        </w:rPr>
        <w:t xml:space="preserve"> and the</w:t>
      </w:r>
      <w:r w:rsidR="003636EC" w:rsidRPr="003636EC">
        <w:rPr>
          <w:rFonts w:ascii="Garamond" w:hAnsi="Garamond"/>
          <w:lang w:val="en-US"/>
        </w:rPr>
        <w:t xml:space="preserve"> Lending growth</w:t>
      </w:r>
      <w:r w:rsidR="003636EC">
        <w:rPr>
          <w:rFonts w:ascii="Garamond" w:hAnsi="Garamond"/>
          <w:lang w:val="en-US"/>
        </w:rPr>
        <w:t xml:space="preserve"> (LNDG). </w:t>
      </w:r>
      <w:r w:rsidRPr="00B57AB7">
        <w:rPr>
          <w:rFonts w:ascii="Garamond" w:hAnsi="Garamond"/>
          <w:lang w:val="en-US"/>
        </w:rPr>
        <w:t>IF is a vector of internal determinants of bank performance</w:t>
      </w:r>
      <w:r w:rsidR="00CC117C" w:rsidRPr="00B57AB7">
        <w:rPr>
          <w:rFonts w:ascii="Garamond" w:hAnsi="Garamond"/>
          <w:lang w:val="en-US"/>
        </w:rPr>
        <w:t xml:space="preserve">, </w:t>
      </w:r>
      <w:r w:rsidR="003636EC" w:rsidRPr="003636EC">
        <w:rPr>
          <w:rFonts w:ascii="Garamond" w:hAnsi="Garamond"/>
          <w:lang w:val="en-US"/>
        </w:rPr>
        <w:t>which are the size (Size), liquidity (</w:t>
      </w:r>
      <w:proofErr w:type="spellStart"/>
      <w:r w:rsidR="003636EC" w:rsidRPr="003636EC">
        <w:rPr>
          <w:rFonts w:ascii="Garamond" w:hAnsi="Garamond"/>
          <w:lang w:val="en-US"/>
        </w:rPr>
        <w:t>Liq</w:t>
      </w:r>
      <w:proofErr w:type="spellEnd"/>
      <w:r w:rsidR="003636EC" w:rsidRPr="003636EC">
        <w:rPr>
          <w:rFonts w:ascii="Garamond" w:hAnsi="Garamond"/>
          <w:lang w:val="en-US"/>
        </w:rPr>
        <w:t>)</w:t>
      </w:r>
      <w:r w:rsidR="00BD2132">
        <w:rPr>
          <w:rFonts w:ascii="Garamond" w:hAnsi="Garamond"/>
          <w:lang w:val="en-US"/>
        </w:rPr>
        <w:t>,</w:t>
      </w:r>
      <w:r w:rsidR="003636EC" w:rsidRPr="003636EC">
        <w:rPr>
          <w:rFonts w:ascii="Garamond" w:hAnsi="Garamond"/>
          <w:lang w:val="en-US"/>
        </w:rPr>
        <w:t xml:space="preserve"> and capital adequacy (Cap)</w:t>
      </w:r>
      <w:r w:rsidR="003636EC">
        <w:rPr>
          <w:rFonts w:ascii="Garamond" w:hAnsi="Garamond"/>
          <w:lang w:val="en-US"/>
        </w:rPr>
        <w:t xml:space="preserve">. </w:t>
      </w:r>
      <w:r w:rsidR="003636EC" w:rsidRPr="003636EC">
        <w:rPr>
          <w:rFonts w:ascii="Garamond" w:hAnsi="Garamond"/>
          <w:lang w:val="en-US"/>
        </w:rPr>
        <w:t>It should be noticed that these characteristics are lagged one period, given that the bank’s characteristics are items of the bank balance sheet and, as such, could be highly correlated with the dependent variable.</w:t>
      </w:r>
      <w:r w:rsidR="003636EC">
        <w:rPr>
          <w:rFonts w:ascii="Garamond" w:hAnsi="Garamond"/>
          <w:lang w:val="en-US"/>
        </w:rPr>
        <w:t xml:space="preserve"> </w:t>
      </w:r>
      <w:r w:rsidRPr="00B57AB7">
        <w:rPr>
          <w:rFonts w:ascii="Garamond" w:hAnsi="Garamond"/>
          <w:lang w:val="en-US"/>
        </w:rPr>
        <w:t xml:space="preserve">XF is a vector of external macroeconomic determinants of bank performance, and GS is the measure of government spending.  </w:t>
      </w:r>
    </w:p>
    <w:p w14:paraId="7C3DCE1F" w14:textId="07864A77" w:rsidR="00CC117C" w:rsidRPr="00B57AB7" w:rsidRDefault="00543094" w:rsidP="00543094">
      <w:pPr>
        <w:spacing w:before="120" w:after="120" w:line="276" w:lineRule="auto"/>
        <w:jc w:val="both"/>
        <w:rPr>
          <w:rFonts w:ascii="Garamond" w:hAnsi="Garamond"/>
          <w:lang w:val="en-US"/>
        </w:rPr>
      </w:pPr>
      <w:r w:rsidRPr="00B57AB7">
        <w:rPr>
          <w:rFonts w:ascii="Garamond" w:hAnsi="Garamond"/>
          <w:lang w:val="en-US"/>
        </w:rPr>
        <w:t xml:space="preserve">Finally, we include an autoregressive component of the bank performance indicator, as bank profits persist over time </w:t>
      </w:r>
      <w:r w:rsidRPr="00B57AB7">
        <w:rPr>
          <w:rFonts w:ascii="Garamond" w:hAnsi="Garamond"/>
          <w:lang w:val="en-US"/>
        </w:rPr>
        <w:fldChar w:fldCharType="begin" w:fldLock="1"/>
      </w:r>
      <w:r w:rsidR="002F7A40" w:rsidRPr="00B57AB7">
        <w:rPr>
          <w:rFonts w:ascii="Garamond" w:hAnsi="Garamond"/>
          <w:lang w:val="en-US"/>
        </w:rPr>
        <w:instrText>ADDIN CSL_CITATION {"citationItems":[{"id":"ITEM-1","itemData":{"DOI":"10.1016/S0378-4266(99)00124-7","ISSN":"03784266","abstract":"We investigate how banking market competition, informational opacity, and sensitivity to shocks have changed over the last three decades by examining the persistence of firm-level rents. We develop propagation mechanisms with testable implications to isolate the sources of persistence. Our analysis suggests that different processes underlie persistence at the high and low ends of the performance distribution. Our tests suggest that impediments to competition and informational opacity continue to be strong determinants of persistence; that the reduction in geographic regulatory restrictions had little effect on competitiveness; and that persistence remains sensitive to regional/macroeconomic shocks. The findings also suggest reasons for the recent record profitability of the industry.","author":[{"dropping-particle":"","family":"Berger","given":"Allen N.","non-dropping-particle":"","parse-names":false,"suffix":""},{"dropping-particle":"","family":"Bonime","given":"Seth D.","non-dropping-particle":"","parse-names":false,"suffix":""},{"dropping-particle":"","family":"Covitz","given":"Daniel M.","non-dropping-particle":"","parse-names":false,"suffix":""},{"dropping-particle":"","family":"Hancock","given":"Diana","non-dropping-particle":"","parse-names":false,"suffix":""}],"container-title":"Journal of Banking and Finance","id":"ITEM-1","issue":"7","issued":{"date-parts":[["2000"]]},"page":"1203-1235","title":"Why are bank profits so persistent? The roles of product market competition, informational opacity, and regional/macroeconomic shocks","type":"article-journal","volume":"24"},"uris":["http://www.mendeley.com/documents/?uuid=c98519d4-95df-41b3-ae5e-7369109f1cc8"]},{"id":"ITEM-2","itemData":{"DOI":"10.1016/j.ribaf.2016.03.015","ISSN":"02755319","abstract":"The aim of this paper is to investigate the determinants of bank profitability in the early transition countries of Central and Eastern Europe (CEE), and in the late transition countries of the former USSR. We apply a GMM technique for the period covering 2000–2013. The results show that profitability persists and the determinants of bank profitability vary across transition countries. Particularly, the banking sector of early transition countries is more competitive. However, the impact of credit risk on bank profitability is positive in early transition countries, but negative in late transition countries. Government spending and monetary freedom negatively influence bank profitability only in late transition countries. Moreover, better capitalised banks are more profitable in early transition countries implying that these banking sectors are more robust. A range of possible approaches that governments can take to further develop banking sectors are discussed.","author":[{"dropping-particle":"","family":"Djalilov","given":"Khurshid","non-dropping-particle":"","parse-names":false,"suffix":""},{"dropping-particle":"","family":"Piesse","given":"Jenifer","non-dropping-particle":"","parse-names":false,"suffix":""}],"container-title":"Research in International Business and Finance","id":"ITEM-2","issued":{"date-parts":[["2016"]]},"page":"69-82","publisher":"Elsevier B.V.","title":"Determinants of bank profitability in transition countries: What matters most?","type":"article-journal","volume":"38"},"uris":["http://www.mendeley.com/documents/?uuid=4686f32c-619a-4f92-acb8-6b6a46eeb71c"]}],"mendeley":{"formattedCitation":"(Berger et al., 2000; Djalilov &amp; Piesse, 2016)","plainTextFormattedCitation":"(Berger et al., 2000; Djalilov &amp; Piesse, 2016)","previouslyFormattedCitation":"(Berger et al., 2000; Djalilov &amp; Piesse, 2016)"},"properties":{"noteIndex":0},"schema":"https://github.com/citation-style-language/schema/raw/master/csl-citation.json"}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(Berger et al., 2000; Djalilov &amp; Piesse, 2016)</w:t>
      </w:r>
      <w:r w:rsidRPr="00B57AB7">
        <w:rPr>
          <w:rFonts w:ascii="Garamond" w:hAnsi="Garamond"/>
          <w:lang w:val="en-US"/>
        </w:rPr>
        <w:fldChar w:fldCharType="end"/>
      </w:r>
      <w:r w:rsidRPr="00B57AB7">
        <w:rPr>
          <w:rFonts w:ascii="Garamond" w:hAnsi="Garamond"/>
          <w:lang w:val="en-US"/>
        </w:rPr>
        <w:t>. Thus, o</w:t>
      </w:r>
      <w:r w:rsidR="00CC117C" w:rsidRPr="00B57AB7">
        <w:rPr>
          <w:rFonts w:ascii="Garamond" w:hAnsi="Garamond"/>
          <w:lang w:val="en-US"/>
        </w:rPr>
        <w:t xml:space="preserve">ur baseline specification could be written as follow: </w:t>
      </w:r>
    </w:p>
    <w:p w14:paraId="50D7EAC6" w14:textId="1DE3B60C" w:rsidR="00CC117C" w:rsidRPr="00B57AB7" w:rsidRDefault="00F81936" w:rsidP="008D4112">
      <w:pPr>
        <w:spacing w:before="120" w:after="120" w:line="276" w:lineRule="auto"/>
        <w:jc w:val="center"/>
        <w:rPr>
          <w:rFonts w:ascii="Garamond" w:hAnsi="Garamond"/>
          <w:lang w:val="en-US"/>
        </w:rPr>
      </w:pPr>
      <m:oMath>
        <m:sSub>
          <m:sSubPr>
            <m:ctrlPr>
              <w:rPr>
                <w:rFonts w:ascii="Cambria Math" w:hAnsi="Cambria Math"/>
                <w:i/>
                <w:lang w:val="en-US"/>
              </w:rPr>
            </m:ctrlPr>
          </m:sSubPr>
          <m:e>
            <m:r>
              <w:rPr>
                <w:rFonts w:ascii="Cambria Math" w:hAnsi="Cambria Math"/>
                <w:lang w:val="en-US"/>
              </w:rPr>
              <m:t>Perf</m:t>
            </m:r>
          </m:e>
          <m:sub>
            <m:r>
              <w:rPr>
                <w:rFonts w:ascii="Cambria Math" w:hAnsi="Cambria Math"/>
                <w:lang w:val="en-US"/>
              </w:rPr>
              <m:t>itj</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Perf</m:t>
            </m:r>
          </m:e>
          <m:sub>
            <m:r>
              <w:rPr>
                <w:rFonts w:ascii="Cambria Math" w:hAnsi="Cambria Math"/>
                <w:lang w:val="en-US"/>
              </w:rPr>
              <m:t>itj-1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IF</m:t>
            </m:r>
          </m:e>
          <m:sub>
            <m:r>
              <w:rPr>
                <w:rFonts w:ascii="Cambria Math" w:hAnsi="Cambria Math"/>
                <w:lang w:val="en-US"/>
              </w:rPr>
              <m:t>itj-1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XF</m:t>
            </m:r>
          </m:e>
          <m:sub>
            <m:r>
              <w:rPr>
                <w:rFonts w:ascii="Cambria Math" w:hAnsi="Cambria Math"/>
                <w:lang w:val="en-US"/>
              </w:rPr>
              <m:t>itj</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GS</m:t>
            </m:r>
          </m:e>
          <m:sub>
            <m:r>
              <w:rPr>
                <w:rFonts w:ascii="Cambria Math" w:hAnsi="Cambria Math"/>
                <w:lang w:val="en-US"/>
              </w:rPr>
              <m:t>itj</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r>
          <w:rPr>
            <w:rFonts w:ascii="Cambria Math" w:hAnsi="Cambria Math"/>
            <w:lang w:val="en-US"/>
          </w:rPr>
          <m:t xml:space="preserve"> </m:t>
        </m:r>
      </m:oMath>
      <w:r w:rsidR="008D4112" w:rsidRPr="00B57AB7">
        <w:rPr>
          <w:rFonts w:ascii="Garamond" w:hAnsi="Garamond"/>
          <w:lang w:val="en-US"/>
        </w:rPr>
        <w:t>(5)</w:t>
      </w:r>
    </w:p>
    <w:p w14:paraId="6C447FD6" w14:textId="03DCADF0" w:rsidR="00CC117C" w:rsidRPr="00B57AB7" w:rsidRDefault="00CC117C" w:rsidP="003636EC">
      <w:pPr>
        <w:spacing w:before="120" w:after="120" w:line="276" w:lineRule="auto"/>
        <w:jc w:val="both"/>
        <w:rPr>
          <w:rFonts w:ascii="Garamond" w:hAnsi="Garamond"/>
          <w:lang w:val="en-US"/>
        </w:rPr>
      </w:pPr>
      <w:r w:rsidRPr="00B57AB7">
        <w:rPr>
          <w:rFonts w:ascii="Garamond" w:hAnsi="Garamond"/>
          <w:lang w:val="en-US"/>
        </w:rPr>
        <w:t xml:space="preserve">Where </w:t>
      </w:r>
      <m:oMath>
        <m:sSub>
          <m:sSubPr>
            <m:ctrlPr>
              <w:rPr>
                <w:rFonts w:ascii="Cambria Math" w:hAnsi="Cambria Math"/>
                <w:i/>
                <w:lang w:val="en-US"/>
              </w:rPr>
            </m:ctrlPr>
          </m:sSubPr>
          <m:e>
            <m:r>
              <w:rPr>
                <w:rFonts w:ascii="Cambria Math" w:hAnsi="Cambria Math"/>
                <w:lang w:val="en-US"/>
              </w:rPr>
              <m:t>Perf</m:t>
            </m:r>
          </m:e>
          <m:sub>
            <m:r>
              <w:rPr>
                <w:rFonts w:ascii="Cambria Math" w:hAnsi="Cambria Math"/>
                <w:lang w:val="en-US"/>
              </w:rPr>
              <m:t xml:space="preserve"> </m:t>
            </m:r>
          </m:sub>
        </m:sSub>
        <m:r>
          <w:rPr>
            <w:rFonts w:ascii="Cambria Math" w:hAnsi="Cambria Math"/>
            <w:lang w:val="en-US"/>
          </w:rPr>
          <m:t>:{ROA;ROE, LNDG}</m:t>
        </m:r>
      </m:oMath>
      <w:r w:rsidRPr="00B57AB7">
        <w:rPr>
          <w:rFonts w:ascii="Garamond" w:hAnsi="Garamond"/>
          <w:lang w:val="en-US"/>
        </w:rPr>
        <w:t xml:space="preserve"> are the dependent variable, </w:t>
      </w:r>
      <m:oMath>
        <m:sSub>
          <m:sSubPr>
            <m:ctrlPr>
              <w:rPr>
                <w:rFonts w:ascii="Cambria Math" w:hAnsi="Cambria Math"/>
                <w:i/>
                <w:lang w:val="en-US"/>
              </w:rPr>
            </m:ctrlPr>
          </m:sSubPr>
          <m:e>
            <m:r>
              <w:rPr>
                <w:rFonts w:ascii="Cambria Math" w:hAnsi="Cambria Math"/>
                <w:lang w:val="en-US"/>
              </w:rPr>
              <m:t>IF</m:t>
            </m:r>
          </m:e>
          <m:sub>
            <m:r>
              <w:rPr>
                <w:rFonts w:ascii="Cambria Math" w:hAnsi="Cambria Math"/>
                <w:lang w:val="en-US"/>
              </w:rPr>
              <m:t xml:space="preserve"> </m:t>
            </m:r>
          </m:sub>
        </m:sSub>
        <m:r>
          <w:rPr>
            <w:rFonts w:ascii="Cambria Math" w:hAnsi="Cambria Math"/>
            <w:lang w:val="en-US"/>
          </w:rPr>
          <m:t>:{Size;Cap; Liq}</m:t>
        </m:r>
      </m:oMath>
      <w:r w:rsidRPr="00B57AB7">
        <w:rPr>
          <w:rFonts w:ascii="Garamond" w:hAnsi="Garamond"/>
          <w:lang w:val="en-US"/>
        </w:rPr>
        <w:t xml:space="preserve"> are the bank-specific internal determinants of bank performance, </w:t>
      </w:r>
      <m:oMath>
        <m:sSub>
          <m:sSubPr>
            <m:ctrlPr>
              <w:rPr>
                <w:rFonts w:ascii="Cambria Math" w:hAnsi="Cambria Math"/>
                <w:i/>
                <w:lang w:val="en-US"/>
              </w:rPr>
            </m:ctrlPr>
          </m:sSubPr>
          <m:e>
            <m:r>
              <w:rPr>
                <w:rFonts w:ascii="Cambria Math" w:hAnsi="Cambria Math"/>
                <w:lang w:val="en-US"/>
              </w:rPr>
              <m:t>XF</m:t>
            </m:r>
          </m:e>
          <m:sub>
            <m:r>
              <w:rPr>
                <w:rFonts w:ascii="Cambria Math" w:hAnsi="Cambria Math"/>
                <w:lang w:val="en-US"/>
              </w:rPr>
              <m:t xml:space="preserve"> </m:t>
            </m:r>
          </m:sub>
        </m:sSub>
        <m:r>
          <w:rPr>
            <w:rFonts w:ascii="Cambria Math" w:hAnsi="Cambria Math"/>
            <w:lang w:val="en-US"/>
          </w:rPr>
          <m:t>:{GDPG;INF; IR}</m:t>
        </m:r>
      </m:oMath>
      <w:r w:rsidRPr="00B57AB7">
        <w:rPr>
          <w:rFonts w:ascii="Garamond" w:hAnsi="Garamond"/>
          <w:lang w:val="en-US"/>
        </w:rPr>
        <w:t xml:space="preserve"> are the country-specific external determinants of bank performance, </w:t>
      </w:r>
      <m:oMath>
        <m:sSub>
          <m:sSubPr>
            <m:ctrlPr>
              <w:rPr>
                <w:rFonts w:ascii="Cambria Math" w:hAnsi="Cambria Math"/>
                <w:i/>
                <w:lang w:val="en-US"/>
              </w:rPr>
            </m:ctrlPr>
          </m:sSubPr>
          <m:e>
            <m:r>
              <w:rPr>
                <w:rFonts w:ascii="Cambria Math" w:hAnsi="Cambria Math"/>
                <w:lang w:val="en-US"/>
              </w:rPr>
              <m:t>XF</m:t>
            </m:r>
          </m:e>
          <m:sub>
            <m:r>
              <w:rPr>
                <w:rFonts w:ascii="Cambria Math" w:hAnsi="Cambria Math"/>
                <w:lang w:val="en-US"/>
              </w:rPr>
              <m:t xml:space="preserve"> </m:t>
            </m:r>
          </m:sub>
        </m:sSub>
        <m:r>
          <w:rPr>
            <w:rFonts w:ascii="Cambria Math" w:hAnsi="Cambria Math"/>
            <w:lang w:val="en-US"/>
          </w:rPr>
          <m:t>:{GTS;GCS; GKS}</m:t>
        </m:r>
      </m:oMath>
      <w:r w:rsidRPr="00B57AB7">
        <w:rPr>
          <w:rFonts w:ascii="Garamond" w:hAnsi="Garamond"/>
          <w:lang w:val="en-US"/>
        </w:rPr>
        <w:t xml:space="preserve"> are the measures of government spending, </w:t>
      </w:r>
      <m:oMath>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it</m:t>
            </m:r>
          </m:sub>
        </m:sSub>
      </m:oMath>
      <w:r w:rsidRPr="00B57AB7">
        <w:rPr>
          <w:rFonts w:ascii="Garamond" w:hAnsi="Garamond"/>
          <w:lang w:val="en-US"/>
        </w:rPr>
        <w:t xml:space="preserve"> the unobserved country-specific effect and </w:t>
      </w:r>
      <m:oMath>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r w:rsidRPr="00B57AB7">
        <w:rPr>
          <w:rFonts w:ascii="Garamond" w:hAnsi="Garamond"/>
          <w:lang w:val="en-US"/>
        </w:rPr>
        <w:t xml:space="preserve"> is the error term.</w:t>
      </w:r>
    </w:p>
    <w:p w14:paraId="6C13A0A6" w14:textId="32C6E748" w:rsidR="000074AB" w:rsidRPr="00B57AB7" w:rsidRDefault="008D4112" w:rsidP="003844B7">
      <w:pPr>
        <w:spacing w:before="120" w:after="120" w:line="276" w:lineRule="auto"/>
        <w:jc w:val="both"/>
        <w:rPr>
          <w:rFonts w:ascii="Garamond" w:hAnsi="Garamond"/>
          <w:lang w:val="en-US"/>
        </w:rPr>
      </w:pPr>
      <w:r w:rsidRPr="00B57AB7">
        <w:rPr>
          <w:rFonts w:ascii="Garamond" w:hAnsi="Garamond"/>
          <w:lang w:val="en-US"/>
        </w:rPr>
        <w:t xml:space="preserve">To avoid the problem of endogeneity, we used two Generalized Method of Moments (GMM) estimation </w:t>
      </w:r>
      <w:r w:rsidR="003844B7">
        <w:rPr>
          <w:rFonts w:ascii="Garamond" w:hAnsi="Garamond"/>
          <w:lang w:val="en-US"/>
        </w:rPr>
        <w:t>methods</w:t>
      </w:r>
      <w:r w:rsidRPr="00B57AB7">
        <w:rPr>
          <w:rFonts w:ascii="Garamond" w:hAnsi="Garamond"/>
          <w:lang w:val="en-US"/>
        </w:rPr>
        <w:t xml:space="preserve"> proposed by (Arellano &amp; Bond, 1991).</w:t>
      </w:r>
      <w:r w:rsidR="00F21D2B" w:rsidRPr="00B57AB7">
        <w:rPr>
          <w:rFonts w:ascii="Garamond" w:hAnsi="Garamond"/>
          <w:lang w:val="en-US"/>
        </w:rPr>
        <w:t xml:space="preserve"> </w:t>
      </w:r>
      <w:r w:rsidR="000074AB" w:rsidRPr="00B57AB7">
        <w:rPr>
          <w:rFonts w:ascii="Garamond" w:hAnsi="Garamond"/>
          <w:lang w:val="en-US"/>
        </w:rPr>
        <w:t xml:space="preserve">One advantage of this estimation method is that it does not require complete information about the distribution of the data generation process </w:t>
      </w:r>
      <w:r w:rsidR="000074AB" w:rsidRPr="00B57AB7">
        <w:rPr>
          <w:rFonts w:ascii="Garamond" w:hAnsi="Garamond"/>
          <w:lang w:val="en-US"/>
        </w:rPr>
        <w:fldChar w:fldCharType="begin" w:fldLock="1"/>
      </w:r>
      <w:r w:rsidR="003D516A" w:rsidRPr="00B57AB7">
        <w:rPr>
          <w:rFonts w:ascii="Garamond" w:hAnsi="Garamond"/>
          <w:lang w:val="en-US"/>
        </w:rPr>
        <w:instrText>ADDIN CSL_CITATION {"citationItems":[{"id":"ITEM-1","itemData":{"DOI":"10.5539/ijef.v7n1p203","ISSN":"1916-971X","abstract":"Previous Ghanaian governments attempted to use Ghana's well-developed banking system to grow the economy. Bad loans caused the banks to suffer great losses during the late 1980s, and decline in the cedi value caused a rise in the banks external loans. In 1988, the government initiated financial reforms to strengthen the banking sector. The reforms aimed to improve profitability, efficiency and productivity of banks. In spite of these reforms in 1990s, banks' performance has remained poor with substantial gaps in service delivery to private agents. There is sufficient empirical evidence that poor performance is manifest in low performance of bank indicators, including: high levels of credit risk to private agents, poor quality loans, limited and or inadequate capitalization, operational inefficiencies, higher incidences of non-performing loans, higher levels of liquidity risk; among others. Empirical evidence clearly shows that studies focusing on Ghana's financial sector are still scanty and limited. The study seeks to investigate the determinants of banks' profitability in Ghana for the period 1988 to 2011 using Economic Value Added (EVA) technique to measure performance. The study evaluates two performance yardsticks to determine the best alternatives. The result of the study suggested economic value added as the best measurement as against the standard accounting measurement namely; ROA. Inflation was registered not to be affected Ghana's bank performance. The study results draw some implications for policy that helps to improve performance of the banking sector in Ghana.","author":[{"dropping-particle":"","family":"Owusu-Antwi","given":"George","non-dropping-particle":"","parse-names":false,"suffix":""},{"dropping-particle":"","family":"Mensah","given":"Lord","non-dropping-particle":"","parse-names":false,"suffix":""},{"dropping-particle":"","family":"Crabbe","given":"Margret","non-dropping-particle":"","parse-names":false,"suffix":""},{"dropping-particle":"","family":"Antwi","given":"James","non-dropping-particle":"","parse-names":false,"suffix":""}],"container-title":"International Journal of Economics and Finance","id":"ITEM-1","issue":"1","issued":{"date-parts":[["2014"]]},"page":"203-215","title":"Determinants of Bank Performance in Ghana, the Economic Value Added (EVA) Approach","type":"article-journal","volume":"7"},"uris":["http://www.mendeley.com/documents/?uuid=ea78217e-9fc4-438a-b0f3-5c22243bdbe5"]}],"mendeley":{"formattedCitation":"(Owusu-Antwi et al., 2014)","plainTextFormattedCitation":"(Owusu-Antwi et al., 2014)","previouslyFormattedCitation":"(Owusu-Antwi et al., 2014)"},"properties":{"noteIndex":0},"schema":"https://github.com/citation-style-language/schema/raw/master/csl-citation.json"}</w:instrText>
      </w:r>
      <w:r w:rsidR="000074AB" w:rsidRPr="00B57AB7">
        <w:rPr>
          <w:rFonts w:ascii="Garamond" w:hAnsi="Garamond"/>
          <w:lang w:val="en-US"/>
        </w:rPr>
        <w:fldChar w:fldCharType="separate"/>
      </w:r>
      <w:r w:rsidR="000074AB" w:rsidRPr="00B57AB7">
        <w:rPr>
          <w:rFonts w:ascii="Garamond" w:hAnsi="Garamond"/>
          <w:noProof/>
          <w:lang w:val="en-US"/>
        </w:rPr>
        <w:t>(Owusu-Antwi et al., 2014)</w:t>
      </w:r>
      <w:r w:rsidR="000074AB" w:rsidRPr="00B57AB7">
        <w:rPr>
          <w:rFonts w:ascii="Garamond" w:hAnsi="Garamond"/>
          <w:lang w:val="en-US"/>
        </w:rPr>
        <w:fldChar w:fldCharType="end"/>
      </w:r>
      <w:r w:rsidR="000074AB" w:rsidRPr="00B57AB7">
        <w:rPr>
          <w:rFonts w:ascii="Garamond" w:hAnsi="Garamond"/>
          <w:lang w:val="en-US"/>
        </w:rPr>
        <w:t>.</w:t>
      </w:r>
    </w:p>
    <w:p w14:paraId="782D52B3" w14:textId="03A18AEC" w:rsidR="00F21D2B" w:rsidRPr="00B57AB7" w:rsidRDefault="00F21D2B" w:rsidP="00F21D2B">
      <w:pPr>
        <w:spacing w:before="120" w:after="120" w:line="276" w:lineRule="auto"/>
        <w:jc w:val="both"/>
        <w:rPr>
          <w:rFonts w:ascii="Garamond" w:hAnsi="Garamond"/>
          <w:lang w:val="en-US"/>
        </w:rPr>
      </w:pPr>
      <w:r w:rsidRPr="00B57AB7">
        <w:rPr>
          <w:rFonts w:ascii="Garamond" w:hAnsi="Garamond"/>
          <w:lang w:val="en-US"/>
        </w:rPr>
        <w:lastRenderedPageBreak/>
        <w:t xml:space="preserve">The “First difference GMM” estimator was proposed by </w:t>
      </w:r>
      <w:r w:rsidRPr="00B57AB7">
        <w:rPr>
          <w:rFonts w:ascii="Garamond" w:hAnsi="Garamond"/>
          <w:lang w:val="en-US"/>
        </w:rPr>
        <w:fldChar w:fldCharType="begin" w:fldLock="1"/>
      </w:r>
      <w:r w:rsidRPr="00B57AB7">
        <w:rPr>
          <w:rFonts w:ascii="Garamond" w:hAnsi="Garamond"/>
          <w:lang w:val="en-US"/>
        </w:rPr>
        <w:instrText>ADDIN CSL_CITATION {"citationItems":[{"id":"ITEM-1","itemData":{"DOI":"10.2307/2297968","ISSN":"1467937X","abstract":"This paper presents specification tests that are applicable after estimating a dynamic model from panel data by the generalized method of moments (GMM), and studies the practical performance of these procedures using both generated and real data. Our GMM estimator optimally exploits all the linear moment restrictions that follow from the assumption of no serial correlation in the errors, in an equation which contains individual effects, lagged dependent variables and no strictly exogenous variables. We propose a test of serial correlation based on the GMM residuals and compare this with Sargan tests of over-identifying restrictions and Hausman specification tests. © 1991 The Review of Economic Studies Limited.","author":[{"dropping-particle":"","family":"Arellano","given":"Manuel","non-dropping-particle":"","parse-names":false,"suffix":""},{"dropping-particle":"","family":"Bond","given":"Stephen","non-dropping-particle":"","parse-names":false,"suffix":""}],"container-title":"Review of Economic Studies","id":"ITEM-1","issue":"2","issued":{"date-parts":[["1991"]]},"page":"277-297","title":"Some tests of specification for panel data:monte carlo evidence and an application to employment equations","type":"article-journal","volume":"58"},"uris":["http://www.mendeley.com/documents/?uuid=015ebc89-c5ac-4fff-ab2e-043fedd78994"]}],"mendeley":{"formattedCitation":"(Arellano &amp; Bond, 1991)","plainTextFormattedCitation":"(Arellano &amp; Bond, 1991)","previouslyFormattedCitation":"(Arellano &amp; Bond, 1991)"},"properties":{"noteIndex":0},"schema":"https://github.com/citation-style-language/schema/raw/master/csl-citation.json"}</w:instrText>
      </w:r>
      <w:r w:rsidRPr="00B57AB7">
        <w:rPr>
          <w:rFonts w:ascii="Garamond" w:hAnsi="Garamond"/>
          <w:lang w:val="en-US"/>
        </w:rPr>
        <w:fldChar w:fldCharType="separate"/>
      </w:r>
      <w:r w:rsidRPr="00B57AB7">
        <w:rPr>
          <w:rFonts w:ascii="Garamond" w:hAnsi="Garamond"/>
          <w:noProof/>
          <w:lang w:val="en-US"/>
        </w:rPr>
        <w:t>(Arellano &amp; Bond, 1991)</w:t>
      </w:r>
      <w:r w:rsidRPr="00B57AB7">
        <w:rPr>
          <w:rFonts w:ascii="Garamond" w:hAnsi="Garamond"/>
          <w:lang w:val="en-US"/>
        </w:rPr>
        <w:fldChar w:fldCharType="end"/>
      </w:r>
      <w:r w:rsidRPr="00B57AB7">
        <w:rPr>
          <w:rFonts w:ascii="Garamond" w:hAnsi="Garamond"/>
          <w:lang w:val="en-US"/>
        </w:rPr>
        <w:t xml:space="preserve"> to estimate dynamic panel data models that contain the lag of the dependent variable and a set of non-strictly exogenous independent variables. To account for endogeneity (e.g. the correlation between the lagged value of the dependent variable and the country-specific effect) (Arellano &amp; Bond, 1991) proposed differencing the explanatory variables and thus removing the time-invariant fixed effect from the error term. The first difference GMM estimator is valid under the assumption that the lagged value</w:t>
      </w:r>
      <w:r w:rsidR="001F0036" w:rsidRPr="00B57AB7">
        <w:rPr>
          <w:rFonts w:ascii="Garamond" w:hAnsi="Garamond"/>
          <w:lang w:val="en-US"/>
        </w:rPr>
        <w:t>s</w:t>
      </w:r>
      <w:r w:rsidRPr="00B57AB7">
        <w:rPr>
          <w:rFonts w:ascii="Garamond" w:hAnsi="Garamond"/>
          <w:lang w:val="en-US"/>
        </w:rPr>
        <w:t xml:space="preserve"> of the independent variables are valid instruments and that there is no serial correlation among the errors. The first difference GMM specification could be written as follow: </w:t>
      </w:r>
    </w:p>
    <w:p w14:paraId="78332CBA" w14:textId="62FFFBFD" w:rsidR="00F21D2B" w:rsidRPr="00B57AB7" w:rsidRDefault="00F21D2B" w:rsidP="00BE442C">
      <w:pPr>
        <w:spacing w:before="120" w:after="120" w:line="276" w:lineRule="auto"/>
        <w:jc w:val="right"/>
        <w:rPr>
          <w:rFonts w:ascii="Garamond" w:hAnsi="Garamond"/>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 α</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it-1</m:t>
            </m:r>
          </m:sub>
        </m:sSub>
        <m:r>
          <w:rPr>
            <w:rFonts w:ascii="Cambria Math" w:hAnsi="Cambria Math"/>
            <w:lang w:val="en-US"/>
          </w:rPr>
          <m:t>+ β</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it</m:t>
            </m:r>
          </m:sub>
        </m:sSub>
      </m:oMath>
      <w:r w:rsidR="00FE6FBA">
        <w:rPr>
          <w:rFonts w:ascii="Garamond" w:hAnsi="Garamond"/>
          <w:lang w:val="en-US"/>
        </w:rPr>
        <w:t xml:space="preserve"> </w:t>
      </w:r>
      <w:r w:rsidR="00BE442C">
        <w:rPr>
          <w:rFonts w:ascii="Garamond" w:hAnsi="Garamond"/>
          <w:lang w:val="en-US"/>
        </w:rPr>
        <w:tab/>
      </w:r>
      <w:r w:rsidR="00BE442C">
        <w:rPr>
          <w:rFonts w:ascii="Garamond" w:hAnsi="Garamond"/>
          <w:lang w:val="en-US"/>
        </w:rPr>
        <w:tab/>
      </w:r>
      <w:r w:rsidR="00BE442C">
        <w:rPr>
          <w:rFonts w:ascii="Garamond" w:hAnsi="Garamond"/>
          <w:lang w:val="en-US"/>
        </w:rPr>
        <w:tab/>
      </w:r>
      <w:r w:rsidR="00BE442C">
        <w:rPr>
          <w:rFonts w:ascii="Garamond" w:hAnsi="Garamond"/>
          <w:lang w:val="en-US"/>
        </w:rPr>
        <w:tab/>
      </w:r>
      <w:r w:rsidR="00FE6FBA">
        <w:rPr>
          <w:rFonts w:ascii="Garamond" w:hAnsi="Garamond"/>
          <w:lang w:val="en-US"/>
        </w:rPr>
        <w:t>(6)</w:t>
      </w:r>
    </w:p>
    <w:p w14:paraId="4A1544EC" w14:textId="17D9D188" w:rsidR="00F9332A" w:rsidRPr="00B57AB7" w:rsidRDefault="00EE37E4" w:rsidP="00F9332A">
      <w:pPr>
        <w:spacing w:before="120" w:after="120" w:line="276" w:lineRule="auto"/>
        <w:jc w:val="both"/>
        <w:rPr>
          <w:rFonts w:ascii="Garamond" w:hAnsi="Garamond"/>
          <w:lang w:val="en-US"/>
        </w:rPr>
      </w:pPr>
      <w:r w:rsidRPr="00B57AB7">
        <w:rPr>
          <w:rFonts w:ascii="Garamond" w:hAnsi="Garamond"/>
          <w:lang w:val="en-US"/>
        </w:rPr>
        <w:t>To test the validity of our models we use the (Arellano &amp; Bond, 1991) tests of</w:t>
      </w:r>
      <w:r w:rsidR="003D516A" w:rsidRPr="00B57AB7">
        <w:rPr>
          <w:rFonts w:ascii="Garamond" w:hAnsi="Garamond"/>
          <w:lang w:val="en-US"/>
        </w:rPr>
        <w:t xml:space="preserve"> second</w:t>
      </w:r>
      <w:r w:rsidR="00183E4D" w:rsidRPr="00B57AB7">
        <w:rPr>
          <w:rFonts w:ascii="Garamond" w:hAnsi="Garamond"/>
          <w:lang w:val="en-US"/>
        </w:rPr>
        <w:t>-</w:t>
      </w:r>
      <w:r w:rsidR="003D516A" w:rsidRPr="00B57AB7">
        <w:rPr>
          <w:rFonts w:ascii="Garamond" w:hAnsi="Garamond"/>
          <w:lang w:val="en-US"/>
        </w:rPr>
        <w:t>order</w:t>
      </w:r>
      <w:r w:rsidRPr="00B57AB7">
        <w:rPr>
          <w:rFonts w:ascii="Garamond" w:hAnsi="Garamond"/>
          <w:lang w:val="en-US"/>
        </w:rPr>
        <w:t xml:space="preserve"> serial correlation and the </w:t>
      </w:r>
      <w:r w:rsidR="00183E4D" w:rsidRPr="00B57AB7">
        <w:rPr>
          <w:rFonts w:ascii="Garamond" w:hAnsi="Garamond"/>
          <w:lang w:val="en-US"/>
        </w:rPr>
        <w:fldChar w:fldCharType="begin" w:fldLock="1"/>
      </w:r>
      <w:r w:rsidR="00183E4D" w:rsidRPr="00B57AB7">
        <w:rPr>
          <w:rFonts w:ascii="Garamond" w:hAnsi="Garamond"/>
          <w:lang w:val="en-US"/>
        </w:rPr>
        <w:instrText>ADDIN CSL_CITATION {"citationItems":[{"id":"ITEM-1","itemData":{"author":[{"dropping-particle":"","family":"Sargan","given":"Denis","non-dropping-particle":"","parse-names":false,"suffix":""}],"container-title":"Econometrica","id":"ITEM-1","issue":"3","issued":{"date-parts":[["1958"]]},"page":"393-415","title":"The Estimation of Economic Relationships using Instrumental Variables","type":"article-journal","volume":"26"},"uris":["http://www.mendeley.com/documents/?uuid=795f41f0-9349-48d0-b455-57fee12f8e6c"]}],"mendeley":{"formattedCitation":"(Sargan, 1958)","plainTextFormattedCitation":"(Sargan, 1958)","previouslyFormattedCitation":"(Sargan, 1958)"},"properties":{"noteIndex":0},"schema":"https://github.com/citation-style-language/schema/raw/master/csl-citation.json"}</w:instrText>
      </w:r>
      <w:r w:rsidR="00183E4D" w:rsidRPr="00B57AB7">
        <w:rPr>
          <w:rFonts w:ascii="Garamond" w:hAnsi="Garamond"/>
          <w:lang w:val="en-US"/>
        </w:rPr>
        <w:fldChar w:fldCharType="separate"/>
      </w:r>
      <w:r w:rsidR="00183E4D" w:rsidRPr="00B57AB7">
        <w:rPr>
          <w:rFonts w:ascii="Garamond" w:hAnsi="Garamond"/>
          <w:noProof/>
          <w:lang w:val="en-US"/>
        </w:rPr>
        <w:t>(Sargan, 1958)</w:t>
      </w:r>
      <w:r w:rsidR="00183E4D" w:rsidRPr="00B57AB7">
        <w:rPr>
          <w:rFonts w:ascii="Garamond" w:hAnsi="Garamond"/>
          <w:lang w:val="en-US"/>
        </w:rPr>
        <w:fldChar w:fldCharType="end"/>
      </w:r>
      <w:r w:rsidR="00183E4D" w:rsidRPr="00B57AB7">
        <w:rPr>
          <w:rFonts w:ascii="Garamond" w:hAnsi="Garamond"/>
          <w:lang w:val="en-US"/>
        </w:rPr>
        <w:t xml:space="preserve"> </w:t>
      </w:r>
      <w:r w:rsidRPr="00B57AB7">
        <w:rPr>
          <w:rFonts w:ascii="Garamond" w:hAnsi="Garamond"/>
          <w:lang w:val="en-US"/>
        </w:rPr>
        <w:t xml:space="preserve">test of instruments validity. </w:t>
      </w:r>
    </w:p>
    <w:p w14:paraId="09A2F4A3" w14:textId="696C833D" w:rsidR="006310E4" w:rsidRDefault="00EF267B" w:rsidP="003636EC">
      <w:pPr>
        <w:pStyle w:val="Heading1"/>
        <w:numPr>
          <w:ilvl w:val="0"/>
          <w:numId w:val="12"/>
        </w:numPr>
        <w:tabs>
          <w:tab w:val="left" w:pos="630"/>
        </w:tabs>
        <w:spacing w:before="240" w:after="120" w:line="276" w:lineRule="auto"/>
        <w:ind w:left="547" w:right="562" w:hanging="187"/>
        <w:contextualSpacing w:val="0"/>
        <w:jc w:val="both"/>
        <w:rPr>
          <w:szCs w:val="24"/>
          <w:lang w:val="en-US"/>
        </w:rPr>
      </w:pPr>
      <w:r>
        <w:rPr>
          <w:szCs w:val="24"/>
          <w:lang w:val="en-US"/>
        </w:rPr>
        <w:t>Empirical r</w:t>
      </w:r>
      <w:r w:rsidR="006310E4" w:rsidRPr="00B57AB7">
        <w:rPr>
          <w:szCs w:val="24"/>
          <w:lang w:val="en-US"/>
        </w:rPr>
        <w:t>esults</w:t>
      </w:r>
    </w:p>
    <w:p w14:paraId="686C148B" w14:textId="7EB6F41F" w:rsidR="007A262E" w:rsidRPr="00F9332A" w:rsidRDefault="00F9332A" w:rsidP="00EF0439">
      <w:pPr>
        <w:pStyle w:val="Newparagraph"/>
        <w:spacing w:before="120" w:after="120" w:line="276" w:lineRule="auto"/>
        <w:ind w:firstLine="0"/>
        <w:jc w:val="both"/>
        <w:rPr>
          <w:rFonts w:ascii="Garamond" w:hAnsi="Garamond"/>
          <w:lang w:val="en-US"/>
        </w:rPr>
      </w:pPr>
      <w:r w:rsidRPr="00F9332A">
        <w:rPr>
          <w:rFonts w:ascii="Garamond" w:hAnsi="Garamond"/>
          <w:lang w:val="en-US"/>
        </w:rPr>
        <w:t xml:space="preserve">Taking the structural differences between the ecosystems of the banking industries in oil-importing and oil-exporting countries. It is reasonable to assume </w:t>
      </w:r>
      <w:r w:rsidR="00987325">
        <w:rPr>
          <w:rFonts w:ascii="Garamond" w:hAnsi="Garamond"/>
          <w:lang w:val="en-US"/>
        </w:rPr>
        <w:t xml:space="preserve">that </w:t>
      </w:r>
      <w:r w:rsidRPr="00F9332A">
        <w:rPr>
          <w:rFonts w:ascii="Garamond" w:hAnsi="Garamond"/>
          <w:lang w:val="en-US"/>
        </w:rPr>
        <w:t>banks in the two samples react differently to their macroeconomic environment and are thus affected by the regressors differently. Furthermore, we</w:t>
      </w:r>
      <w:r w:rsidR="007A262E" w:rsidRPr="00F9332A">
        <w:rPr>
          <w:rFonts w:ascii="Garamond" w:hAnsi="Garamond"/>
          <w:lang w:val="en-US"/>
        </w:rPr>
        <w:t xml:space="preserve"> argue that </w:t>
      </w:r>
      <w:r w:rsidR="00EF0439" w:rsidRPr="00F9332A">
        <w:rPr>
          <w:rFonts w:ascii="Garamond" w:hAnsi="Garamond"/>
          <w:lang w:val="en-US"/>
        </w:rPr>
        <w:t xml:space="preserve">each </w:t>
      </w:r>
      <w:r w:rsidR="00EF0439">
        <w:rPr>
          <w:rFonts w:ascii="Garamond" w:hAnsi="Garamond"/>
          <w:lang w:val="en-US"/>
        </w:rPr>
        <w:t>of the adopted indicator</w:t>
      </w:r>
      <w:r w:rsidR="00491595">
        <w:rPr>
          <w:rFonts w:ascii="Garamond" w:hAnsi="Garamond"/>
          <w:lang w:val="en-US"/>
        </w:rPr>
        <w:t>s</w:t>
      </w:r>
      <w:r w:rsidR="00EF0439">
        <w:rPr>
          <w:rFonts w:ascii="Garamond" w:hAnsi="Garamond"/>
          <w:lang w:val="en-US"/>
        </w:rPr>
        <w:t xml:space="preserve">, namely, </w:t>
      </w:r>
      <w:r w:rsidR="007A262E" w:rsidRPr="00F9332A">
        <w:rPr>
          <w:rFonts w:ascii="Garamond" w:hAnsi="Garamond"/>
          <w:lang w:val="en-US"/>
        </w:rPr>
        <w:t>the return on assets, the return on equity, and credit growth measures different aspects of banking performance</w:t>
      </w:r>
      <w:r w:rsidR="00AB18FF">
        <w:rPr>
          <w:rFonts w:ascii="Garamond" w:hAnsi="Garamond"/>
          <w:lang w:val="en-US"/>
        </w:rPr>
        <w:t>,</w:t>
      </w:r>
      <w:r w:rsidR="007A262E" w:rsidRPr="00F9332A">
        <w:rPr>
          <w:rFonts w:ascii="Garamond" w:hAnsi="Garamond"/>
          <w:lang w:val="en-US"/>
        </w:rPr>
        <w:t xml:space="preserve"> which we will call henceforth, investment efficiency, leverage efficiency, and ou</w:t>
      </w:r>
      <w:r w:rsidR="00EF0439">
        <w:rPr>
          <w:rFonts w:ascii="Garamond" w:hAnsi="Garamond"/>
          <w:lang w:val="en-US"/>
        </w:rPr>
        <w:t xml:space="preserve">tput intensity. </w:t>
      </w:r>
      <w:r w:rsidR="007A262E" w:rsidRPr="00F9332A">
        <w:rPr>
          <w:rFonts w:ascii="Garamond" w:hAnsi="Garamond"/>
          <w:lang w:val="en-US"/>
        </w:rPr>
        <w:t>We also argue that the three aspects of bank performance are not necessarily correlated</w:t>
      </w:r>
      <w:r w:rsidR="00EF0439">
        <w:rPr>
          <w:rFonts w:ascii="Garamond" w:hAnsi="Garamond"/>
          <w:lang w:val="en-US"/>
        </w:rPr>
        <w:t>.</w:t>
      </w:r>
      <w:r w:rsidR="007A262E" w:rsidRPr="00F9332A">
        <w:rPr>
          <w:rFonts w:ascii="Garamond" w:hAnsi="Garamond"/>
          <w:lang w:val="en-US"/>
        </w:rPr>
        <w:t xml:space="preserve"> This can be illustrated by comparing the correlation coefficients between the independent variables across our two subsamples</w:t>
      </w:r>
      <w:r w:rsidR="00EF0439">
        <w:rPr>
          <w:rFonts w:ascii="Garamond" w:hAnsi="Garamond"/>
          <w:lang w:val="en-US"/>
        </w:rPr>
        <w:t xml:space="preserve"> (see a</w:t>
      </w:r>
      <w:r w:rsidR="00EF0439" w:rsidRPr="0001451F">
        <w:rPr>
          <w:rFonts w:ascii="Garamond" w:hAnsi="Garamond"/>
          <w:lang w:val="en-US"/>
        </w:rPr>
        <w:t>ppendix</w:t>
      </w:r>
      <w:r w:rsidR="00EF0439">
        <w:rPr>
          <w:rFonts w:ascii="Garamond" w:hAnsi="Garamond"/>
          <w:lang w:val="en-US"/>
        </w:rPr>
        <w:t xml:space="preserve"> E)</w:t>
      </w:r>
      <w:r w:rsidR="007A262E" w:rsidRPr="00F9332A">
        <w:rPr>
          <w:rFonts w:ascii="Garamond" w:hAnsi="Garamond"/>
          <w:lang w:val="en-US"/>
        </w:rPr>
        <w:t xml:space="preserve">. For instance, while the correlation between ROA and lending growth in the full sample is 0.12, its value is 0.24 for oil exporters and practically 0 for oil importers. </w:t>
      </w:r>
    </w:p>
    <w:p w14:paraId="2B422DF9" w14:textId="6B5C63A4" w:rsidR="007A262E" w:rsidRDefault="007A262E" w:rsidP="00987325">
      <w:pPr>
        <w:pStyle w:val="Newparagraph"/>
        <w:spacing w:before="120" w:after="120" w:line="276" w:lineRule="auto"/>
        <w:ind w:firstLine="0"/>
        <w:jc w:val="both"/>
        <w:rPr>
          <w:rFonts w:ascii="Garamond" w:hAnsi="Garamond"/>
          <w:lang w:val="en-US"/>
        </w:rPr>
      </w:pPr>
      <w:r>
        <w:rPr>
          <w:rFonts w:ascii="Garamond" w:hAnsi="Garamond"/>
          <w:lang w:val="en-US"/>
        </w:rPr>
        <w:t xml:space="preserve">To take these considerations into account, we rearrange our results in Tables </w:t>
      </w:r>
      <w:r w:rsidR="00987325">
        <w:rPr>
          <w:rFonts w:ascii="Garamond" w:hAnsi="Garamond"/>
          <w:lang w:val="en-US"/>
        </w:rPr>
        <w:t>2</w:t>
      </w:r>
      <w:r>
        <w:rPr>
          <w:rFonts w:ascii="Garamond" w:hAnsi="Garamond"/>
          <w:lang w:val="en-US"/>
        </w:rPr>
        <w:t xml:space="preserve"> through </w:t>
      </w:r>
      <w:r w:rsidR="00987325">
        <w:rPr>
          <w:rFonts w:ascii="Garamond" w:hAnsi="Garamond"/>
          <w:lang w:val="en-US"/>
        </w:rPr>
        <w:t>4</w:t>
      </w:r>
      <w:r>
        <w:rPr>
          <w:rFonts w:ascii="Garamond" w:hAnsi="Garamond"/>
          <w:lang w:val="en-US"/>
        </w:rPr>
        <w:t xml:space="preserve">  to analyze the determinants of investment efficiency, leverage efficiency, and output intensity across our samples.</w:t>
      </w:r>
    </w:p>
    <w:p w14:paraId="078AE3DF" w14:textId="0797C17B" w:rsidR="00CA49AC" w:rsidRPr="00CA49AC" w:rsidRDefault="00CA49AC" w:rsidP="00EF0439">
      <w:pPr>
        <w:pStyle w:val="Paragraph"/>
        <w:spacing w:line="240" w:lineRule="auto"/>
        <w:jc w:val="center"/>
        <w:rPr>
          <w:rFonts w:ascii="Garamond" w:hAnsi="Garamond"/>
          <w:b/>
          <w:bCs/>
          <w:lang w:val="en-US"/>
        </w:rPr>
      </w:pPr>
      <w:r w:rsidRPr="00B57AB7">
        <w:rPr>
          <w:rFonts w:ascii="Garamond" w:hAnsi="Garamond"/>
          <w:b/>
          <w:bCs/>
          <w:lang w:val="en-US"/>
        </w:rPr>
        <w:t xml:space="preserve">Table </w:t>
      </w:r>
      <w:r w:rsidR="007A262E">
        <w:rPr>
          <w:rFonts w:ascii="Garamond" w:hAnsi="Garamond"/>
          <w:b/>
          <w:bCs/>
          <w:lang w:val="en-US"/>
        </w:rPr>
        <w:t>2</w:t>
      </w:r>
      <w:r w:rsidRPr="00B57AB7">
        <w:rPr>
          <w:rFonts w:ascii="Garamond" w:hAnsi="Garamond"/>
          <w:b/>
          <w:bCs/>
          <w:lang w:val="en-US"/>
        </w:rPr>
        <w:t>: The estimation results for the ROA models</w:t>
      </w:r>
    </w:p>
    <w:tbl>
      <w:tblPr>
        <w:tblStyle w:val="TableGrid"/>
        <w:tblW w:w="0" w:type="auto"/>
        <w:jc w:val="center"/>
        <w:tblLook w:val="04A0" w:firstRow="1" w:lastRow="0" w:firstColumn="1" w:lastColumn="0" w:noHBand="0" w:noVBand="1"/>
      </w:tblPr>
      <w:tblGrid>
        <w:gridCol w:w="906"/>
        <w:gridCol w:w="729"/>
        <w:gridCol w:w="698"/>
        <w:gridCol w:w="729"/>
        <w:gridCol w:w="885"/>
        <w:gridCol w:w="885"/>
        <w:gridCol w:w="885"/>
        <w:gridCol w:w="729"/>
        <w:gridCol w:w="729"/>
        <w:gridCol w:w="729"/>
      </w:tblGrid>
      <w:tr w:rsidR="00CA49AC" w:rsidRPr="00B57AB7" w14:paraId="412E9C1F" w14:textId="77777777" w:rsidTr="00491595">
        <w:trPr>
          <w:jc w:val="center"/>
        </w:trPr>
        <w:tc>
          <w:tcPr>
            <w:tcW w:w="0" w:type="auto"/>
            <w:shd w:val="clear" w:color="auto" w:fill="auto"/>
            <w:vAlign w:val="center"/>
          </w:tcPr>
          <w:p w14:paraId="5E360755"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gridSpan w:val="3"/>
            <w:shd w:val="clear" w:color="auto" w:fill="auto"/>
            <w:vAlign w:val="center"/>
          </w:tcPr>
          <w:p w14:paraId="59C42A8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Full sample</w:t>
            </w:r>
          </w:p>
        </w:tc>
        <w:tc>
          <w:tcPr>
            <w:tcW w:w="0" w:type="auto"/>
            <w:gridSpan w:val="3"/>
            <w:shd w:val="clear" w:color="auto" w:fill="auto"/>
            <w:vAlign w:val="center"/>
          </w:tcPr>
          <w:p w14:paraId="55A1924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Oil importers</w:t>
            </w:r>
          </w:p>
        </w:tc>
        <w:tc>
          <w:tcPr>
            <w:tcW w:w="0" w:type="auto"/>
            <w:gridSpan w:val="3"/>
            <w:shd w:val="clear" w:color="auto" w:fill="auto"/>
            <w:vAlign w:val="center"/>
          </w:tcPr>
          <w:p w14:paraId="3274AD7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Oil exporters</w:t>
            </w:r>
          </w:p>
        </w:tc>
      </w:tr>
      <w:tr w:rsidR="00CA49AC" w:rsidRPr="00B57AB7" w14:paraId="0AE39F5F" w14:textId="77777777" w:rsidTr="00491595">
        <w:trPr>
          <w:jc w:val="center"/>
        </w:trPr>
        <w:tc>
          <w:tcPr>
            <w:tcW w:w="0" w:type="auto"/>
            <w:shd w:val="clear" w:color="auto" w:fill="auto"/>
            <w:vAlign w:val="center"/>
          </w:tcPr>
          <w:p w14:paraId="34282376"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02E52350"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w:t>
            </w:r>
          </w:p>
        </w:tc>
        <w:tc>
          <w:tcPr>
            <w:tcW w:w="0" w:type="auto"/>
            <w:shd w:val="clear" w:color="auto" w:fill="auto"/>
            <w:vAlign w:val="center"/>
          </w:tcPr>
          <w:p w14:paraId="2B886571"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(2)</w:t>
            </w:r>
          </w:p>
        </w:tc>
        <w:tc>
          <w:tcPr>
            <w:tcW w:w="0" w:type="auto"/>
            <w:shd w:val="clear" w:color="auto" w:fill="auto"/>
            <w:vAlign w:val="center"/>
          </w:tcPr>
          <w:p w14:paraId="2AA86E6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w:t>
            </w:r>
          </w:p>
        </w:tc>
        <w:tc>
          <w:tcPr>
            <w:tcW w:w="0" w:type="auto"/>
            <w:shd w:val="clear" w:color="auto" w:fill="auto"/>
            <w:vAlign w:val="center"/>
          </w:tcPr>
          <w:p w14:paraId="1AA13C4B"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(4)</w:t>
            </w:r>
          </w:p>
        </w:tc>
        <w:tc>
          <w:tcPr>
            <w:tcW w:w="0" w:type="auto"/>
            <w:shd w:val="clear" w:color="auto" w:fill="auto"/>
            <w:vAlign w:val="center"/>
          </w:tcPr>
          <w:p w14:paraId="3692C3E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w:t>
            </w:r>
          </w:p>
        </w:tc>
        <w:tc>
          <w:tcPr>
            <w:tcW w:w="0" w:type="auto"/>
            <w:shd w:val="clear" w:color="auto" w:fill="auto"/>
            <w:vAlign w:val="center"/>
          </w:tcPr>
          <w:p w14:paraId="3772CA77"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w:t>
            </w:r>
          </w:p>
        </w:tc>
        <w:tc>
          <w:tcPr>
            <w:tcW w:w="0" w:type="auto"/>
            <w:shd w:val="clear" w:color="auto" w:fill="auto"/>
            <w:vAlign w:val="center"/>
          </w:tcPr>
          <w:p w14:paraId="49CE04A2"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(7)</w:t>
            </w:r>
          </w:p>
        </w:tc>
        <w:tc>
          <w:tcPr>
            <w:tcW w:w="0" w:type="auto"/>
            <w:shd w:val="clear" w:color="auto" w:fill="auto"/>
            <w:vAlign w:val="center"/>
          </w:tcPr>
          <w:p w14:paraId="7F9486A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(8)</w:t>
            </w:r>
          </w:p>
        </w:tc>
        <w:tc>
          <w:tcPr>
            <w:tcW w:w="0" w:type="auto"/>
            <w:shd w:val="clear" w:color="auto" w:fill="auto"/>
            <w:vAlign w:val="center"/>
          </w:tcPr>
          <w:p w14:paraId="7FFF9427"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(9)</w:t>
            </w:r>
          </w:p>
        </w:tc>
      </w:tr>
      <w:tr w:rsidR="00D062DE" w:rsidRPr="00B57AB7" w14:paraId="7945479C" w14:textId="77777777" w:rsidTr="00491595">
        <w:trPr>
          <w:jc w:val="center"/>
        </w:trPr>
        <w:tc>
          <w:tcPr>
            <w:tcW w:w="0" w:type="auto"/>
            <w:shd w:val="clear" w:color="auto" w:fill="auto"/>
            <w:vAlign w:val="center"/>
          </w:tcPr>
          <w:p w14:paraId="5965B51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ROA(-1)</w:t>
            </w:r>
          </w:p>
        </w:tc>
        <w:tc>
          <w:tcPr>
            <w:tcW w:w="0" w:type="auto"/>
            <w:shd w:val="clear" w:color="auto" w:fill="auto"/>
            <w:vAlign w:val="center"/>
          </w:tcPr>
          <w:p w14:paraId="2DE0E1F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0.413</w:t>
            </w:r>
          </w:p>
          <w:p w14:paraId="2749737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7DF2838"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0.387</w:t>
            </w:r>
          </w:p>
          <w:p w14:paraId="5716C894"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019C69C"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0.384</w:t>
            </w:r>
          </w:p>
          <w:p w14:paraId="17E5174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ABAD902"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0.344</w:t>
            </w:r>
          </w:p>
          <w:p w14:paraId="7D23EFE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66B64F85"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0.364</w:t>
            </w:r>
          </w:p>
          <w:p w14:paraId="7B1597ED"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06724D8C"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0.369</w:t>
            </w:r>
          </w:p>
          <w:p w14:paraId="6A159D7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2036B8B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-0.064</w:t>
            </w:r>
          </w:p>
          <w:p w14:paraId="483AD3D4" w14:textId="6E592AD5"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w:t>
            </w:r>
          </w:p>
        </w:tc>
        <w:tc>
          <w:tcPr>
            <w:tcW w:w="0" w:type="auto"/>
            <w:shd w:val="clear" w:color="auto" w:fill="auto"/>
          </w:tcPr>
          <w:p w14:paraId="71BF714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-0.084</w:t>
            </w:r>
          </w:p>
          <w:p w14:paraId="2D267934" w14:textId="586A3192"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1BE7457"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-0.049</w:t>
            </w:r>
          </w:p>
          <w:p w14:paraId="20E12B42" w14:textId="0281EE93"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(0.08)</w:t>
            </w:r>
          </w:p>
        </w:tc>
      </w:tr>
      <w:tr w:rsidR="00D062DE" w:rsidRPr="00B57AB7" w14:paraId="22185E51" w14:textId="77777777" w:rsidTr="00491595">
        <w:trPr>
          <w:jc w:val="center"/>
        </w:trPr>
        <w:tc>
          <w:tcPr>
            <w:tcW w:w="0" w:type="auto"/>
            <w:shd w:val="clear" w:color="auto" w:fill="auto"/>
            <w:vAlign w:val="center"/>
          </w:tcPr>
          <w:p w14:paraId="71D9143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Size</w:t>
            </w:r>
          </w:p>
        </w:tc>
        <w:tc>
          <w:tcPr>
            <w:tcW w:w="0" w:type="auto"/>
            <w:shd w:val="clear" w:color="auto" w:fill="auto"/>
            <w:vAlign w:val="center"/>
          </w:tcPr>
          <w:p w14:paraId="2FE8AAFD" w14:textId="77777777" w:rsidR="00D062DE" w:rsidRPr="00B57AB7" w:rsidRDefault="00D062DE" w:rsidP="00491595">
            <w:pPr>
              <w:spacing w:line="240" w:lineRule="auto"/>
              <w:rPr>
                <w:rFonts w:ascii="Garamond" w:hAnsi="Garamond" w:cs="Calibri"/>
                <w:color w:val="000000"/>
                <w:sz w:val="20"/>
                <w:szCs w:val="20"/>
              </w:rPr>
            </w:pPr>
            <w:r w:rsidRPr="00B57AB7">
              <w:rPr>
                <w:rFonts w:ascii="Garamond" w:hAnsi="Garamond" w:cs="Calibri"/>
                <w:color w:val="000000"/>
                <w:sz w:val="20"/>
                <w:szCs w:val="20"/>
              </w:rPr>
              <w:t>-0.466</w:t>
            </w:r>
          </w:p>
          <w:p w14:paraId="0BF48A40"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sz w:val="20"/>
                <w:szCs w:val="20"/>
                <w:lang w:val="en-US"/>
              </w:rPr>
              <w:t>(0.00)</w:t>
            </w:r>
          </w:p>
        </w:tc>
        <w:tc>
          <w:tcPr>
            <w:tcW w:w="0" w:type="auto"/>
            <w:shd w:val="clear" w:color="auto" w:fill="auto"/>
            <w:vAlign w:val="center"/>
          </w:tcPr>
          <w:p w14:paraId="3F6860AA" w14:textId="77777777" w:rsidR="00D062DE" w:rsidRPr="00B57AB7" w:rsidRDefault="00D062DE" w:rsidP="00491595">
            <w:pPr>
              <w:pStyle w:val="Newparagraph"/>
              <w:spacing w:line="240" w:lineRule="auto"/>
              <w:ind w:firstLine="0"/>
              <w:rPr>
                <w:rFonts w:ascii="Garamond" w:hAnsi="Garamond"/>
                <w:sz w:val="20"/>
                <w:szCs w:val="20"/>
              </w:rPr>
            </w:pPr>
            <w:r w:rsidRPr="00B57AB7">
              <w:rPr>
                <w:rFonts w:ascii="Garamond" w:hAnsi="Garamond"/>
                <w:sz w:val="20"/>
                <w:szCs w:val="20"/>
              </w:rPr>
              <w:t>-0.543</w:t>
            </w:r>
          </w:p>
          <w:p w14:paraId="2251221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1D94A485"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-0.496</w:t>
            </w:r>
          </w:p>
          <w:p w14:paraId="6A783A9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16C7625"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-0.398</w:t>
            </w:r>
          </w:p>
          <w:p w14:paraId="58FD214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(0.37)</w:t>
            </w:r>
          </w:p>
        </w:tc>
        <w:tc>
          <w:tcPr>
            <w:tcW w:w="0" w:type="auto"/>
            <w:shd w:val="clear" w:color="auto" w:fill="auto"/>
            <w:vAlign w:val="center"/>
          </w:tcPr>
          <w:p w14:paraId="01F1ED8C"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-0.472</w:t>
            </w:r>
          </w:p>
          <w:p w14:paraId="3932BE0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(0.27)</w:t>
            </w:r>
          </w:p>
        </w:tc>
        <w:tc>
          <w:tcPr>
            <w:tcW w:w="0" w:type="auto"/>
            <w:shd w:val="clear" w:color="auto" w:fill="auto"/>
            <w:vAlign w:val="center"/>
          </w:tcPr>
          <w:p w14:paraId="6AB18FF3"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-0.241</w:t>
            </w:r>
          </w:p>
          <w:p w14:paraId="38EC59F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(0.56)</w:t>
            </w:r>
          </w:p>
        </w:tc>
        <w:tc>
          <w:tcPr>
            <w:tcW w:w="0" w:type="auto"/>
            <w:shd w:val="clear" w:color="auto" w:fill="auto"/>
          </w:tcPr>
          <w:p w14:paraId="122852AF" w14:textId="77777777" w:rsidR="00D062DE" w:rsidRPr="00B57AB7" w:rsidRDefault="00D062DE" w:rsidP="00491595">
            <w:pPr>
              <w:spacing w:line="240" w:lineRule="auto"/>
              <w:jc w:val="center"/>
              <w:rPr>
                <w:rFonts w:ascii="Garamond" w:hAnsi="Garamond"/>
                <w:sz w:val="20"/>
                <w:szCs w:val="20"/>
                <w:lang w:val="en-US"/>
              </w:rPr>
            </w:pPr>
            <w:r w:rsidRPr="00B57AB7">
              <w:rPr>
                <w:rFonts w:ascii="Garamond" w:hAnsi="Garamond"/>
                <w:sz w:val="20"/>
                <w:szCs w:val="20"/>
                <w:lang w:val="en-US"/>
              </w:rPr>
              <w:t>-1.133</w:t>
            </w:r>
          </w:p>
          <w:p w14:paraId="6F455096" w14:textId="2FF8B7CD"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41B401FD"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-1.149</w:t>
            </w:r>
          </w:p>
          <w:p w14:paraId="704192D8" w14:textId="31BD18F5"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6725FEF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-1.033</w:t>
            </w:r>
          </w:p>
          <w:p w14:paraId="313A3BE4" w14:textId="37B44A43"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D062DE" w:rsidRPr="00B57AB7" w14:paraId="025C70C2" w14:textId="77777777" w:rsidTr="00491595">
        <w:trPr>
          <w:jc w:val="center"/>
        </w:trPr>
        <w:tc>
          <w:tcPr>
            <w:tcW w:w="0" w:type="auto"/>
            <w:shd w:val="clear" w:color="auto" w:fill="auto"/>
            <w:vAlign w:val="center"/>
          </w:tcPr>
          <w:p w14:paraId="1BE6FDA7"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Liq</w:t>
            </w:r>
            <w:proofErr w:type="spellEnd"/>
          </w:p>
        </w:tc>
        <w:tc>
          <w:tcPr>
            <w:tcW w:w="0" w:type="auto"/>
            <w:shd w:val="clear" w:color="auto" w:fill="auto"/>
            <w:vAlign w:val="center"/>
          </w:tcPr>
          <w:p w14:paraId="079DBA4D"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cs="Calibri"/>
                <w:color w:val="000000"/>
                <w:sz w:val="20"/>
                <w:szCs w:val="20"/>
              </w:rPr>
              <w:t>-3.574</w:t>
            </w:r>
          </w:p>
          <w:p w14:paraId="4900CC27"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sz w:val="20"/>
                <w:szCs w:val="20"/>
                <w:lang w:val="en-US"/>
              </w:rPr>
              <w:t>(0.00)</w:t>
            </w:r>
          </w:p>
        </w:tc>
        <w:tc>
          <w:tcPr>
            <w:tcW w:w="0" w:type="auto"/>
            <w:shd w:val="clear" w:color="auto" w:fill="auto"/>
            <w:vAlign w:val="center"/>
          </w:tcPr>
          <w:p w14:paraId="3EA4C624"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-3.670</w:t>
            </w:r>
          </w:p>
          <w:p w14:paraId="525221FA"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33EE57ED"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-3.765</w:t>
            </w:r>
          </w:p>
          <w:p w14:paraId="59AFEC59"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D0AF696"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-0.966</w:t>
            </w:r>
          </w:p>
          <w:p w14:paraId="38A2B3A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54D3F639"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-0.734</w:t>
            </w:r>
          </w:p>
          <w:p w14:paraId="6299C4A4"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w:t>
            </w:r>
          </w:p>
        </w:tc>
        <w:tc>
          <w:tcPr>
            <w:tcW w:w="0" w:type="auto"/>
            <w:shd w:val="clear" w:color="auto" w:fill="auto"/>
            <w:vAlign w:val="center"/>
          </w:tcPr>
          <w:p w14:paraId="4019C2E9"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-0.724</w:t>
            </w:r>
          </w:p>
          <w:p w14:paraId="37573DBC"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w:t>
            </w:r>
          </w:p>
        </w:tc>
        <w:tc>
          <w:tcPr>
            <w:tcW w:w="0" w:type="auto"/>
            <w:shd w:val="clear" w:color="auto" w:fill="auto"/>
          </w:tcPr>
          <w:p w14:paraId="6675187C" w14:textId="77777777" w:rsidR="00D062DE" w:rsidRPr="00B57AB7" w:rsidRDefault="00D062DE" w:rsidP="00491595">
            <w:pPr>
              <w:spacing w:line="240" w:lineRule="auto"/>
              <w:jc w:val="center"/>
              <w:rPr>
                <w:rFonts w:ascii="Garamond" w:hAnsi="Garamond"/>
                <w:sz w:val="20"/>
                <w:szCs w:val="20"/>
                <w:lang w:val="en-US"/>
              </w:rPr>
            </w:pPr>
            <w:r w:rsidRPr="00B57AB7">
              <w:rPr>
                <w:rFonts w:ascii="Garamond" w:hAnsi="Garamond"/>
                <w:sz w:val="20"/>
                <w:szCs w:val="20"/>
                <w:lang w:val="en-US"/>
              </w:rPr>
              <w:t>-0.008</w:t>
            </w:r>
          </w:p>
          <w:p w14:paraId="6E3A0553" w14:textId="35392AEF"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(0.99)</w:t>
            </w:r>
          </w:p>
        </w:tc>
        <w:tc>
          <w:tcPr>
            <w:tcW w:w="0" w:type="auto"/>
            <w:shd w:val="clear" w:color="auto" w:fill="auto"/>
          </w:tcPr>
          <w:p w14:paraId="06A10234"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0.076</w:t>
            </w:r>
          </w:p>
          <w:p w14:paraId="53E9CC64" w14:textId="69DE410E"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(0.58)</w:t>
            </w:r>
          </w:p>
        </w:tc>
        <w:tc>
          <w:tcPr>
            <w:tcW w:w="0" w:type="auto"/>
            <w:shd w:val="clear" w:color="auto" w:fill="auto"/>
          </w:tcPr>
          <w:p w14:paraId="60F62FF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-0.611</w:t>
            </w:r>
          </w:p>
          <w:p w14:paraId="4A463497" w14:textId="5F9C1CF5"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(0.42)</w:t>
            </w:r>
          </w:p>
        </w:tc>
      </w:tr>
      <w:tr w:rsidR="00D062DE" w:rsidRPr="00B57AB7" w14:paraId="6D7052EC" w14:textId="77777777" w:rsidTr="00491595">
        <w:trPr>
          <w:jc w:val="center"/>
        </w:trPr>
        <w:tc>
          <w:tcPr>
            <w:tcW w:w="0" w:type="auto"/>
            <w:shd w:val="clear" w:color="auto" w:fill="auto"/>
            <w:vAlign w:val="center"/>
          </w:tcPr>
          <w:p w14:paraId="2F5E652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Cap</w:t>
            </w:r>
          </w:p>
        </w:tc>
        <w:tc>
          <w:tcPr>
            <w:tcW w:w="0" w:type="auto"/>
            <w:shd w:val="clear" w:color="auto" w:fill="auto"/>
            <w:vAlign w:val="center"/>
          </w:tcPr>
          <w:p w14:paraId="535C0048"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cs="Calibri"/>
                <w:color w:val="000000"/>
                <w:sz w:val="20"/>
                <w:szCs w:val="20"/>
              </w:rPr>
              <w:t>2.494</w:t>
            </w:r>
          </w:p>
          <w:p w14:paraId="0B83BCF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7F4743E"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1.390</w:t>
            </w:r>
          </w:p>
          <w:p w14:paraId="581C50A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14FFB1A"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1.574</w:t>
            </w:r>
          </w:p>
          <w:p w14:paraId="0460F0C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160113ED"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3.850</w:t>
            </w:r>
          </w:p>
          <w:p w14:paraId="42662F9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653C41B7"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3.650</w:t>
            </w:r>
          </w:p>
          <w:p w14:paraId="53B1FA79"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6DE2CA7F"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3.875</w:t>
            </w:r>
          </w:p>
          <w:p w14:paraId="307F6279"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0DB57D2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6.916</w:t>
            </w:r>
          </w:p>
          <w:p w14:paraId="4A6E9767" w14:textId="068FFB59"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A942064"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6.798</w:t>
            </w:r>
          </w:p>
          <w:p w14:paraId="69236B62" w14:textId="6FAB4E2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13E6320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8.810</w:t>
            </w:r>
          </w:p>
          <w:p w14:paraId="1727D057" w14:textId="0119D62B"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D062DE" w:rsidRPr="00B57AB7" w14:paraId="21DF7659" w14:textId="77777777" w:rsidTr="00491595">
        <w:trPr>
          <w:jc w:val="center"/>
        </w:trPr>
        <w:tc>
          <w:tcPr>
            <w:tcW w:w="0" w:type="auto"/>
            <w:shd w:val="clear" w:color="auto" w:fill="auto"/>
            <w:vAlign w:val="center"/>
          </w:tcPr>
          <w:p w14:paraId="092A2638"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Gdpg</w:t>
            </w:r>
            <w:proofErr w:type="spellEnd"/>
          </w:p>
        </w:tc>
        <w:tc>
          <w:tcPr>
            <w:tcW w:w="0" w:type="auto"/>
            <w:shd w:val="clear" w:color="auto" w:fill="auto"/>
            <w:vAlign w:val="center"/>
          </w:tcPr>
          <w:p w14:paraId="3108D6D6"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cs="Calibri"/>
                <w:color w:val="000000"/>
                <w:sz w:val="20"/>
                <w:szCs w:val="20"/>
              </w:rPr>
              <w:t>-0.003</w:t>
            </w:r>
          </w:p>
          <w:p w14:paraId="3B2694D4"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(0.11)</w:t>
            </w:r>
          </w:p>
        </w:tc>
        <w:tc>
          <w:tcPr>
            <w:tcW w:w="0" w:type="auto"/>
            <w:shd w:val="clear" w:color="auto" w:fill="auto"/>
            <w:vAlign w:val="center"/>
          </w:tcPr>
          <w:p w14:paraId="52284EA0"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-0.000</w:t>
            </w:r>
          </w:p>
          <w:p w14:paraId="6F5D202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(0.90)</w:t>
            </w:r>
          </w:p>
        </w:tc>
        <w:tc>
          <w:tcPr>
            <w:tcW w:w="0" w:type="auto"/>
            <w:shd w:val="clear" w:color="auto" w:fill="auto"/>
            <w:vAlign w:val="center"/>
          </w:tcPr>
          <w:p w14:paraId="62A72B58"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0.000</w:t>
            </w:r>
          </w:p>
          <w:p w14:paraId="4236AB3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(0.98)</w:t>
            </w:r>
          </w:p>
        </w:tc>
        <w:tc>
          <w:tcPr>
            <w:tcW w:w="0" w:type="auto"/>
            <w:shd w:val="clear" w:color="auto" w:fill="auto"/>
            <w:vAlign w:val="center"/>
          </w:tcPr>
          <w:p w14:paraId="4652DABC"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0.022</w:t>
            </w:r>
          </w:p>
          <w:p w14:paraId="739E26E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15474622"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0.022</w:t>
            </w:r>
          </w:p>
          <w:p w14:paraId="6A5A548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26689DA6"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0.025</w:t>
            </w:r>
          </w:p>
          <w:p w14:paraId="1674B96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60CA5EC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-0.011</w:t>
            </w:r>
          </w:p>
          <w:p w14:paraId="7D6D5023" w14:textId="4EA2BB6E"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w:t>
            </w:r>
          </w:p>
        </w:tc>
        <w:tc>
          <w:tcPr>
            <w:tcW w:w="0" w:type="auto"/>
            <w:shd w:val="clear" w:color="auto" w:fill="auto"/>
          </w:tcPr>
          <w:p w14:paraId="34D54EB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-0.026</w:t>
            </w:r>
          </w:p>
          <w:p w14:paraId="019E2517" w14:textId="7638F8D3"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07C45D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-0.028</w:t>
            </w:r>
          </w:p>
          <w:p w14:paraId="7604668F" w14:textId="3A8FBEC5"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D062DE" w:rsidRPr="00B57AB7" w14:paraId="0F2143FD" w14:textId="77777777" w:rsidTr="00491595">
        <w:trPr>
          <w:jc w:val="center"/>
        </w:trPr>
        <w:tc>
          <w:tcPr>
            <w:tcW w:w="0" w:type="auto"/>
            <w:shd w:val="clear" w:color="auto" w:fill="auto"/>
            <w:vAlign w:val="center"/>
          </w:tcPr>
          <w:p w14:paraId="14CBEFE7"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Infr</w:t>
            </w:r>
            <w:proofErr w:type="spellEnd"/>
          </w:p>
        </w:tc>
        <w:tc>
          <w:tcPr>
            <w:tcW w:w="0" w:type="auto"/>
            <w:shd w:val="clear" w:color="auto" w:fill="auto"/>
            <w:vAlign w:val="center"/>
          </w:tcPr>
          <w:p w14:paraId="6EBF33E7"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cs="Calibri"/>
                <w:color w:val="000000"/>
                <w:sz w:val="20"/>
                <w:szCs w:val="20"/>
              </w:rPr>
              <w:t>0.004</w:t>
            </w:r>
          </w:p>
          <w:p w14:paraId="38370D9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3311509E"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0.003</w:t>
            </w:r>
          </w:p>
          <w:p w14:paraId="3A4E936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737A376D"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0.004</w:t>
            </w:r>
          </w:p>
          <w:p w14:paraId="32AD3C5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3AF0DD9A"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0.016</w:t>
            </w:r>
          </w:p>
          <w:p w14:paraId="45722A6C"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47D24408"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0.013</w:t>
            </w:r>
          </w:p>
          <w:p w14:paraId="6888B5B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(0.02)</w:t>
            </w:r>
          </w:p>
        </w:tc>
        <w:tc>
          <w:tcPr>
            <w:tcW w:w="0" w:type="auto"/>
            <w:shd w:val="clear" w:color="auto" w:fill="auto"/>
            <w:vAlign w:val="center"/>
          </w:tcPr>
          <w:p w14:paraId="5FB0A411"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0.013</w:t>
            </w:r>
          </w:p>
          <w:p w14:paraId="169317EA"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(0.05)</w:t>
            </w:r>
          </w:p>
        </w:tc>
        <w:tc>
          <w:tcPr>
            <w:tcW w:w="0" w:type="auto"/>
            <w:shd w:val="clear" w:color="auto" w:fill="auto"/>
          </w:tcPr>
          <w:p w14:paraId="1D0DDDE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0.007</w:t>
            </w:r>
          </w:p>
          <w:p w14:paraId="0E8AD864" w14:textId="38065ADB"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(0.18)</w:t>
            </w:r>
          </w:p>
        </w:tc>
        <w:tc>
          <w:tcPr>
            <w:tcW w:w="0" w:type="auto"/>
            <w:shd w:val="clear" w:color="auto" w:fill="auto"/>
          </w:tcPr>
          <w:p w14:paraId="141C93E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0.013</w:t>
            </w:r>
          </w:p>
          <w:p w14:paraId="2819B432" w14:textId="27627BA1"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w:t>
            </w:r>
          </w:p>
        </w:tc>
        <w:tc>
          <w:tcPr>
            <w:tcW w:w="0" w:type="auto"/>
            <w:shd w:val="clear" w:color="auto" w:fill="auto"/>
          </w:tcPr>
          <w:p w14:paraId="57C36FD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0.002</w:t>
            </w:r>
          </w:p>
          <w:p w14:paraId="34C1F002" w14:textId="7FA6A920"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(0.75)</w:t>
            </w:r>
          </w:p>
        </w:tc>
      </w:tr>
      <w:tr w:rsidR="00D062DE" w:rsidRPr="00B57AB7" w14:paraId="15ECEBA1" w14:textId="77777777" w:rsidTr="00491595">
        <w:trPr>
          <w:jc w:val="center"/>
        </w:trPr>
        <w:tc>
          <w:tcPr>
            <w:tcW w:w="0" w:type="auto"/>
            <w:shd w:val="clear" w:color="auto" w:fill="auto"/>
            <w:vAlign w:val="center"/>
          </w:tcPr>
          <w:p w14:paraId="0A39EA6D"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ir</w:t>
            </w:r>
            <w:proofErr w:type="spellEnd"/>
          </w:p>
        </w:tc>
        <w:tc>
          <w:tcPr>
            <w:tcW w:w="0" w:type="auto"/>
            <w:shd w:val="clear" w:color="auto" w:fill="auto"/>
            <w:vAlign w:val="center"/>
          </w:tcPr>
          <w:p w14:paraId="6AE2FCD6"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cs="Calibri"/>
                <w:color w:val="000000"/>
                <w:sz w:val="20"/>
                <w:szCs w:val="20"/>
              </w:rPr>
              <w:t>0.016</w:t>
            </w:r>
          </w:p>
          <w:p w14:paraId="210A822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B2FAE91"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0.015</w:t>
            </w:r>
          </w:p>
          <w:p w14:paraId="5F48C47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05A5261B"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0.013</w:t>
            </w:r>
          </w:p>
          <w:p w14:paraId="2BB3815F"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076EFC2"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-0.107</w:t>
            </w:r>
          </w:p>
          <w:p w14:paraId="0DD89B94"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49D535C9"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-0.081</w:t>
            </w:r>
          </w:p>
          <w:p w14:paraId="137D42A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4771CF76"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-0.096</w:t>
            </w:r>
          </w:p>
          <w:p w14:paraId="7430CBD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70DAE16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-0.040</w:t>
            </w:r>
          </w:p>
          <w:p w14:paraId="3CDA7D8E" w14:textId="18055CD9"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(0.31)</w:t>
            </w:r>
          </w:p>
        </w:tc>
        <w:tc>
          <w:tcPr>
            <w:tcW w:w="0" w:type="auto"/>
            <w:shd w:val="clear" w:color="auto" w:fill="auto"/>
          </w:tcPr>
          <w:p w14:paraId="268CB5A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-0.076</w:t>
            </w:r>
          </w:p>
          <w:p w14:paraId="601EAAB1" w14:textId="7F216436"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w:t>
            </w:r>
          </w:p>
        </w:tc>
        <w:tc>
          <w:tcPr>
            <w:tcW w:w="0" w:type="auto"/>
            <w:shd w:val="clear" w:color="auto" w:fill="auto"/>
          </w:tcPr>
          <w:p w14:paraId="2878FB6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-0.064</w:t>
            </w:r>
          </w:p>
          <w:p w14:paraId="432FA580" w14:textId="4450AD4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w:t>
            </w:r>
          </w:p>
        </w:tc>
      </w:tr>
      <w:tr w:rsidR="00D062DE" w:rsidRPr="00B57AB7" w14:paraId="50FC0622" w14:textId="77777777" w:rsidTr="00491595">
        <w:trPr>
          <w:jc w:val="center"/>
        </w:trPr>
        <w:tc>
          <w:tcPr>
            <w:tcW w:w="0" w:type="auto"/>
            <w:shd w:val="clear" w:color="auto" w:fill="auto"/>
            <w:vAlign w:val="center"/>
          </w:tcPr>
          <w:p w14:paraId="3D1847F2" w14:textId="43A4F5F8"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∆Brent</w:t>
            </w:r>
          </w:p>
        </w:tc>
        <w:tc>
          <w:tcPr>
            <w:tcW w:w="0" w:type="auto"/>
            <w:shd w:val="clear" w:color="auto" w:fill="auto"/>
            <w:vAlign w:val="center"/>
          </w:tcPr>
          <w:p w14:paraId="678CDB30"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cs="Calibri"/>
                <w:color w:val="000000"/>
                <w:sz w:val="20"/>
                <w:szCs w:val="20"/>
              </w:rPr>
              <w:t>-</w:t>
            </w:r>
          </w:p>
        </w:tc>
        <w:tc>
          <w:tcPr>
            <w:tcW w:w="0" w:type="auto"/>
            <w:shd w:val="clear" w:color="auto" w:fill="auto"/>
            <w:vAlign w:val="center"/>
          </w:tcPr>
          <w:p w14:paraId="21C1BD32"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w:t>
            </w:r>
          </w:p>
        </w:tc>
        <w:tc>
          <w:tcPr>
            <w:tcW w:w="0" w:type="auto"/>
            <w:shd w:val="clear" w:color="auto" w:fill="auto"/>
            <w:vAlign w:val="center"/>
          </w:tcPr>
          <w:p w14:paraId="2083EB34"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w:t>
            </w:r>
          </w:p>
        </w:tc>
        <w:tc>
          <w:tcPr>
            <w:tcW w:w="0" w:type="auto"/>
            <w:shd w:val="clear" w:color="auto" w:fill="auto"/>
            <w:vAlign w:val="center"/>
          </w:tcPr>
          <w:p w14:paraId="7FE2DAAA"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-135.158</w:t>
            </w:r>
          </w:p>
          <w:p w14:paraId="3CEBB57A"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399DDDC4"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-121.862</w:t>
            </w:r>
          </w:p>
          <w:p w14:paraId="785176E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684A64EF"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-110.644</w:t>
            </w:r>
          </w:p>
          <w:p w14:paraId="090F24E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33B428E4" w14:textId="77777777" w:rsidR="00D062DE" w:rsidRPr="00B57AB7" w:rsidRDefault="00D062DE" w:rsidP="00491595">
            <w:pPr>
              <w:spacing w:line="240" w:lineRule="auto"/>
              <w:jc w:val="center"/>
              <w:rPr>
                <w:rFonts w:ascii="Garamond" w:hAnsi="Garamond"/>
                <w:sz w:val="20"/>
                <w:szCs w:val="20"/>
                <w:lang w:val="en-US"/>
              </w:rPr>
            </w:pPr>
            <w:r w:rsidRPr="00B57AB7">
              <w:rPr>
                <w:rFonts w:ascii="Garamond" w:hAnsi="Garamond"/>
                <w:sz w:val="20"/>
                <w:szCs w:val="20"/>
                <w:lang w:val="en-US"/>
              </w:rPr>
              <w:t>68.534</w:t>
            </w:r>
          </w:p>
          <w:p w14:paraId="07BAF698" w14:textId="21916F99"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4DD2C08F"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78.865</w:t>
            </w:r>
          </w:p>
          <w:p w14:paraId="5CB5ABAC" w14:textId="29320445"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20A55B9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67.813</w:t>
            </w:r>
          </w:p>
          <w:p w14:paraId="36DCD59F" w14:textId="02B8792B"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D062DE" w:rsidRPr="00B57AB7" w14:paraId="37E5B39D" w14:textId="77777777" w:rsidTr="00491595">
        <w:trPr>
          <w:jc w:val="center"/>
        </w:trPr>
        <w:tc>
          <w:tcPr>
            <w:tcW w:w="0" w:type="auto"/>
            <w:shd w:val="clear" w:color="auto" w:fill="auto"/>
            <w:vAlign w:val="center"/>
          </w:tcPr>
          <w:p w14:paraId="6F842A3A"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Gts</w:t>
            </w:r>
            <w:proofErr w:type="spellEnd"/>
          </w:p>
        </w:tc>
        <w:tc>
          <w:tcPr>
            <w:tcW w:w="0" w:type="auto"/>
            <w:shd w:val="clear" w:color="auto" w:fill="auto"/>
            <w:vAlign w:val="center"/>
          </w:tcPr>
          <w:p w14:paraId="3C54F825" w14:textId="77777777" w:rsidR="00D062DE" w:rsidRPr="00B57AB7" w:rsidRDefault="00D062DE" w:rsidP="00491595">
            <w:pPr>
              <w:spacing w:line="240" w:lineRule="auto"/>
              <w:jc w:val="center"/>
              <w:rPr>
                <w:rFonts w:ascii="Garamond" w:hAnsi="Garamond" w:cs="Calibri"/>
                <w:color w:val="000000"/>
                <w:sz w:val="20"/>
                <w:szCs w:val="20"/>
              </w:rPr>
            </w:pPr>
            <w:r w:rsidRPr="00B57AB7">
              <w:rPr>
                <w:rFonts w:ascii="Garamond" w:hAnsi="Garamond" w:cs="Calibri"/>
                <w:color w:val="000000"/>
                <w:sz w:val="20"/>
                <w:szCs w:val="20"/>
              </w:rPr>
              <w:t>-0.005</w:t>
            </w:r>
          </w:p>
          <w:p w14:paraId="22C06DB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B3D1FBA"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02F70927"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5A26C3D4"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0.022</w:t>
            </w:r>
          </w:p>
          <w:p w14:paraId="1C3391BC"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016A8B21" w14:textId="77777777" w:rsidR="00D062DE" w:rsidRPr="00B57AB7" w:rsidRDefault="00D062DE" w:rsidP="00491595">
            <w:pPr>
              <w:pStyle w:val="Newparagraph"/>
              <w:tabs>
                <w:tab w:val="left" w:pos="1089"/>
              </w:tabs>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6F681C7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tcPr>
          <w:p w14:paraId="65780E3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0.020</w:t>
            </w:r>
          </w:p>
          <w:p w14:paraId="21DFD29F" w14:textId="49C55B1F"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(0.01)</w:t>
            </w:r>
          </w:p>
        </w:tc>
        <w:tc>
          <w:tcPr>
            <w:tcW w:w="0" w:type="auto"/>
            <w:shd w:val="clear" w:color="auto" w:fill="auto"/>
          </w:tcPr>
          <w:p w14:paraId="229FF02F" w14:textId="77777777" w:rsidR="00D062DE" w:rsidRPr="00B57AB7" w:rsidRDefault="00D062DE" w:rsidP="00491595">
            <w:pPr>
              <w:pStyle w:val="Newparagraph"/>
              <w:spacing w:line="240" w:lineRule="auto"/>
              <w:ind w:firstLine="0"/>
              <w:jc w:val="center"/>
              <w:rPr>
                <w:rFonts w:ascii="Garamond" w:hAnsi="Garamond"/>
                <w:sz w:val="20"/>
                <w:szCs w:val="20"/>
                <w:lang w:val="en-US"/>
              </w:rPr>
            </w:pPr>
          </w:p>
        </w:tc>
        <w:tc>
          <w:tcPr>
            <w:tcW w:w="0" w:type="auto"/>
            <w:shd w:val="clear" w:color="auto" w:fill="auto"/>
          </w:tcPr>
          <w:p w14:paraId="6CCE0D6B" w14:textId="77777777" w:rsidR="00D062DE" w:rsidRPr="00B57AB7" w:rsidRDefault="00D062DE" w:rsidP="00491595">
            <w:pPr>
              <w:pStyle w:val="Newparagraph"/>
              <w:spacing w:line="240" w:lineRule="auto"/>
              <w:ind w:firstLine="0"/>
              <w:jc w:val="center"/>
              <w:rPr>
                <w:rFonts w:ascii="Garamond" w:hAnsi="Garamond"/>
                <w:sz w:val="20"/>
                <w:szCs w:val="20"/>
                <w:lang w:val="en-US"/>
              </w:rPr>
            </w:pPr>
          </w:p>
        </w:tc>
      </w:tr>
      <w:tr w:rsidR="00D062DE" w:rsidRPr="00B57AB7" w14:paraId="6142CF1A" w14:textId="77777777" w:rsidTr="00491595">
        <w:trPr>
          <w:jc w:val="center"/>
        </w:trPr>
        <w:tc>
          <w:tcPr>
            <w:tcW w:w="0" w:type="auto"/>
            <w:shd w:val="clear" w:color="auto" w:fill="auto"/>
            <w:vAlign w:val="center"/>
          </w:tcPr>
          <w:p w14:paraId="02285DB0"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Gcs</w:t>
            </w:r>
            <w:proofErr w:type="spellEnd"/>
          </w:p>
        </w:tc>
        <w:tc>
          <w:tcPr>
            <w:tcW w:w="0" w:type="auto"/>
            <w:shd w:val="clear" w:color="auto" w:fill="auto"/>
            <w:vAlign w:val="center"/>
          </w:tcPr>
          <w:p w14:paraId="619EDFA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6F63A9F"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-0.005</w:t>
            </w:r>
          </w:p>
          <w:p w14:paraId="4F33BE67"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(0.00)</w:t>
            </w:r>
          </w:p>
        </w:tc>
        <w:tc>
          <w:tcPr>
            <w:tcW w:w="0" w:type="auto"/>
            <w:shd w:val="clear" w:color="auto" w:fill="auto"/>
            <w:vAlign w:val="center"/>
          </w:tcPr>
          <w:p w14:paraId="0F1C4AB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w:t>
            </w:r>
          </w:p>
        </w:tc>
        <w:tc>
          <w:tcPr>
            <w:tcW w:w="0" w:type="auto"/>
            <w:shd w:val="clear" w:color="auto" w:fill="auto"/>
            <w:vAlign w:val="center"/>
          </w:tcPr>
          <w:p w14:paraId="4B6A1089"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3F09465D"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0.022</w:t>
            </w:r>
          </w:p>
          <w:p w14:paraId="61DD3B85"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lastRenderedPageBreak/>
              <w:t>(0.00)</w:t>
            </w:r>
          </w:p>
        </w:tc>
        <w:tc>
          <w:tcPr>
            <w:tcW w:w="0" w:type="auto"/>
            <w:shd w:val="clear" w:color="auto" w:fill="auto"/>
            <w:vAlign w:val="center"/>
          </w:tcPr>
          <w:p w14:paraId="7F41401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w:t>
            </w:r>
          </w:p>
        </w:tc>
        <w:tc>
          <w:tcPr>
            <w:tcW w:w="0" w:type="auto"/>
            <w:shd w:val="clear" w:color="auto" w:fill="auto"/>
            <w:vAlign w:val="center"/>
          </w:tcPr>
          <w:p w14:paraId="0543DBD1" w14:textId="0E7D6C3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1C11838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0.024</w:t>
            </w:r>
          </w:p>
          <w:p w14:paraId="23FEB762" w14:textId="66EFAB95"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(0.00)</w:t>
            </w:r>
          </w:p>
        </w:tc>
        <w:tc>
          <w:tcPr>
            <w:tcW w:w="0" w:type="auto"/>
            <w:shd w:val="clear" w:color="auto" w:fill="auto"/>
            <w:vAlign w:val="center"/>
          </w:tcPr>
          <w:p w14:paraId="7DCDF527" w14:textId="086CB3C3"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w:t>
            </w:r>
          </w:p>
        </w:tc>
      </w:tr>
      <w:tr w:rsidR="00D062DE" w:rsidRPr="00B57AB7" w14:paraId="65E86269" w14:textId="77777777" w:rsidTr="00491595">
        <w:trPr>
          <w:jc w:val="center"/>
        </w:trPr>
        <w:tc>
          <w:tcPr>
            <w:tcW w:w="0" w:type="auto"/>
            <w:shd w:val="clear" w:color="auto" w:fill="auto"/>
            <w:vAlign w:val="center"/>
          </w:tcPr>
          <w:p w14:paraId="5B10150D"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Gks</w:t>
            </w:r>
            <w:proofErr w:type="spellEnd"/>
          </w:p>
        </w:tc>
        <w:tc>
          <w:tcPr>
            <w:tcW w:w="0" w:type="auto"/>
            <w:shd w:val="clear" w:color="auto" w:fill="auto"/>
            <w:vAlign w:val="center"/>
          </w:tcPr>
          <w:p w14:paraId="1304703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C509A7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B425D1C"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-0.011</w:t>
            </w:r>
          </w:p>
          <w:p w14:paraId="2BFAD68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104232D"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6C6490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1FED00B7" w14:textId="77777777" w:rsidR="00D062DE" w:rsidRPr="00B57AB7" w:rsidRDefault="00D062DE"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-0.019</w:t>
            </w:r>
          </w:p>
          <w:p w14:paraId="62413E86" w14:textId="0FC7256C"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(0.41)</w:t>
            </w:r>
          </w:p>
        </w:tc>
        <w:tc>
          <w:tcPr>
            <w:tcW w:w="0" w:type="auto"/>
            <w:shd w:val="clear" w:color="auto" w:fill="auto"/>
            <w:vAlign w:val="center"/>
          </w:tcPr>
          <w:p w14:paraId="7C0896E8" w14:textId="1AE432BB"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709248A0" w14:textId="6CF970B2"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1EAF65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-0.034</w:t>
            </w:r>
          </w:p>
          <w:p w14:paraId="0CD51737" w14:textId="4DFA4020"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648D27B3" w14:textId="77777777" w:rsidTr="00491595">
        <w:trPr>
          <w:jc w:val="center"/>
        </w:trPr>
        <w:tc>
          <w:tcPr>
            <w:tcW w:w="0" w:type="auto"/>
            <w:gridSpan w:val="10"/>
            <w:shd w:val="clear" w:color="auto" w:fill="auto"/>
            <w:vAlign w:val="center"/>
          </w:tcPr>
          <w:p w14:paraId="1F143049"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r>
      <w:tr w:rsidR="00D062DE" w:rsidRPr="00B57AB7" w14:paraId="43827E4B" w14:textId="77777777" w:rsidTr="00491595">
        <w:trPr>
          <w:jc w:val="center"/>
        </w:trPr>
        <w:tc>
          <w:tcPr>
            <w:tcW w:w="0" w:type="auto"/>
            <w:shd w:val="clear" w:color="auto" w:fill="auto"/>
            <w:vAlign w:val="center"/>
          </w:tcPr>
          <w:p w14:paraId="1638ED4C"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AR(2)</w:t>
            </w:r>
          </w:p>
        </w:tc>
        <w:tc>
          <w:tcPr>
            <w:tcW w:w="0" w:type="auto"/>
            <w:shd w:val="clear" w:color="auto" w:fill="auto"/>
            <w:vAlign w:val="center"/>
          </w:tcPr>
          <w:p w14:paraId="20F44C5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1.61</w:t>
            </w:r>
          </w:p>
          <w:p w14:paraId="57213CE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(0.11)</w:t>
            </w:r>
          </w:p>
        </w:tc>
        <w:tc>
          <w:tcPr>
            <w:tcW w:w="0" w:type="auto"/>
            <w:shd w:val="clear" w:color="auto" w:fill="auto"/>
            <w:vAlign w:val="center"/>
          </w:tcPr>
          <w:p w14:paraId="312A7CE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1.47</w:t>
            </w:r>
          </w:p>
          <w:p w14:paraId="46077879"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(0.14)</w:t>
            </w:r>
          </w:p>
        </w:tc>
        <w:tc>
          <w:tcPr>
            <w:tcW w:w="0" w:type="auto"/>
            <w:shd w:val="clear" w:color="auto" w:fill="auto"/>
            <w:vAlign w:val="center"/>
          </w:tcPr>
          <w:p w14:paraId="27A594C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1.45</w:t>
            </w:r>
          </w:p>
          <w:p w14:paraId="1649291A"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(0.15)</w:t>
            </w:r>
          </w:p>
        </w:tc>
        <w:tc>
          <w:tcPr>
            <w:tcW w:w="0" w:type="auto"/>
            <w:shd w:val="clear" w:color="auto" w:fill="auto"/>
            <w:vAlign w:val="center"/>
          </w:tcPr>
          <w:p w14:paraId="0FBA94A1"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0.86</w:t>
            </w:r>
          </w:p>
          <w:p w14:paraId="03E49139"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(0.39</w:t>
            </w:r>
          </w:p>
        </w:tc>
        <w:tc>
          <w:tcPr>
            <w:tcW w:w="0" w:type="auto"/>
            <w:shd w:val="clear" w:color="auto" w:fill="auto"/>
            <w:vAlign w:val="center"/>
          </w:tcPr>
          <w:p w14:paraId="72A3FC0A"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1.13</w:t>
            </w:r>
          </w:p>
          <w:p w14:paraId="1808FEA7"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(0.26</w:t>
            </w:r>
            <w:r w:rsidRPr="00B57AB7">
              <w:rPr>
                <w:rFonts w:ascii="Garamond" w:hAnsi="Garamond"/>
                <w:sz w:val="20"/>
                <w:szCs w:val="20"/>
              </w:rPr>
              <w:t>)</w:t>
            </w:r>
          </w:p>
        </w:tc>
        <w:tc>
          <w:tcPr>
            <w:tcW w:w="0" w:type="auto"/>
            <w:shd w:val="clear" w:color="auto" w:fill="auto"/>
            <w:vAlign w:val="center"/>
          </w:tcPr>
          <w:p w14:paraId="2C1DF94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0.47</w:t>
            </w:r>
          </w:p>
          <w:p w14:paraId="14EFE904"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(0.64</w:t>
            </w:r>
            <w:r w:rsidRPr="00B57AB7">
              <w:rPr>
                <w:rFonts w:ascii="Garamond" w:hAnsi="Garamond"/>
                <w:sz w:val="20"/>
                <w:szCs w:val="20"/>
              </w:rPr>
              <w:t>)</w:t>
            </w:r>
          </w:p>
        </w:tc>
        <w:tc>
          <w:tcPr>
            <w:tcW w:w="0" w:type="auto"/>
            <w:shd w:val="clear" w:color="auto" w:fill="auto"/>
            <w:vAlign w:val="center"/>
          </w:tcPr>
          <w:p w14:paraId="47CCEB4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-1.82</w:t>
            </w:r>
          </w:p>
          <w:p w14:paraId="4DF251AB" w14:textId="1B6AADA8"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w:t>
            </w:r>
          </w:p>
        </w:tc>
        <w:tc>
          <w:tcPr>
            <w:tcW w:w="0" w:type="auto"/>
            <w:shd w:val="clear" w:color="auto" w:fill="auto"/>
            <w:vAlign w:val="center"/>
          </w:tcPr>
          <w:p w14:paraId="7208089F"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 xml:space="preserve">-1.96 </w:t>
            </w:r>
          </w:p>
          <w:p w14:paraId="36A337DE" w14:textId="393FABA1"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(0.05)</w:t>
            </w:r>
          </w:p>
        </w:tc>
        <w:tc>
          <w:tcPr>
            <w:tcW w:w="0" w:type="auto"/>
            <w:shd w:val="clear" w:color="auto" w:fill="auto"/>
            <w:vAlign w:val="center"/>
          </w:tcPr>
          <w:p w14:paraId="7EFA308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-1.67</w:t>
            </w:r>
          </w:p>
          <w:p w14:paraId="404F7684" w14:textId="5F23FD1C"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(0.09)</w:t>
            </w:r>
          </w:p>
        </w:tc>
      </w:tr>
      <w:tr w:rsidR="00D062DE" w:rsidRPr="00B57AB7" w14:paraId="1762DE65" w14:textId="77777777" w:rsidTr="00491595">
        <w:trPr>
          <w:jc w:val="center"/>
        </w:trPr>
        <w:tc>
          <w:tcPr>
            <w:tcW w:w="0" w:type="auto"/>
            <w:shd w:val="clear" w:color="auto" w:fill="auto"/>
            <w:vAlign w:val="center"/>
          </w:tcPr>
          <w:p w14:paraId="0033E302" w14:textId="77777777" w:rsidR="00D062DE" w:rsidRPr="00B57AB7" w:rsidRDefault="00D062DE"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Sargan</w:t>
            </w:r>
            <w:proofErr w:type="spellEnd"/>
          </w:p>
        </w:tc>
        <w:tc>
          <w:tcPr>
            <w:tcW w:w="0" w:type="auto"/>
            <w:shd w:val="clear" w:color="auto" w:fill="auto"/>
            <w:vAlign w:val="center"/>
          </w:tcPr>
          <w:p w14:paraId="61987C7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131.33</w:t>
            </w:r>
          </w:p>
          <w:p w14:paraId="31EB0E83"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(0.21)</w:t>
            </w:r>
          </w:p>
        </w:tc>
        <w:tc>
          <w:tcPr>
            <w:tcW w:w="0" w:type="auto"/>
            <w:shd w:val="clear" w:color="auto" w:fill="auto"/>
            <w:vAlign w:val="center"/>
          </w:tcPr>
          <w:p w14:paraId="21988B7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143.1</w:t>
            </w:r>
          </w:p>
          <w:p w14:paraId="742A04FA"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w:t>
            </w:r>
          </w:p>
        </w:tc>
        <w:tc>
          <w:tcPr>
            <w:tcW w:w="0" w:type="auto"/>
            <w:shd w:val="clear" w:color="auto" w:fill="auto"/>
            <w:vAlign w:val="center"/>
          </w:tcPr>
          <w:p w14:paraId="0B0DDAF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142.42</w:t>
            </w:r>
          </w:p>
          <w:p w14:paraId="2D96F29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w:t>
            </w:r>
          </w:p>
        </w:tc>
        <w:tc>
          <w:tcPr>
            <w:tcW w:w="0" w:type="auto"/>
            <w:shd w:val="clear" w:color="auto" w:fill="auto"/>
            <w:vAlign w:val="center"/>
          </w:tcPr>
          <w:p w14:paraId="12E5DDDB"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43.95</w:t>
            </w:r>
          </w:p>
          <w:p w14:paraId="177CE138"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(0.60</w:t>
            </w:r>
          </w:p>
        </w:tc>
        <w:tc>
          <w:tcPr>
            <w:tcW w:w="0" w:type="auto"/>
            <w:shd w:val="clear" w:color="auto" w:fill="auto"/>
            <w:vAlign w:val="center"/>
          </w:tcPr>
          <w:p w14:paraId="2CD8DFD6"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43.96</w:t>
            </w:r>
          </w:p>
          <w:p w14:paraId="170FDAF4"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(0.60</w:t>
            </w:r>
            <w:r w:rsidRPr="00B57AB7">
              <w:rPr>
                <w:rFonts w:ascii="Garamond" w:hAnsi="Garamond"/>
                <w:sz w:val="20"/>
                <w:szCs w:val="20"/>
              </w:rPr>
              <w:t>)</w:t>
            </w:r>
          </w:p>
        </w:tc>
        <w:tc>
          <w:tcPr>
            <w:tcW w:w="0" w:type="auto"/>
            <w:shd w:val="clear" w:color="auto" w:fill="auto"/>
            <w:vAlign w:val="center"/>
          </w:tcPr>
          <w:p w14:paraId="564F7DAF"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45.12</w:t>
            </w:r>
          </w:p>
          <w:p w14:paraId="42958182"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(0.55</w:t>
            </w:r>
            <w:r w:rsidRPr="00B57AB7">
              <w:rPr>
                <w:rFonts w:ascii="Garamond" w:hAnsi="Garamond"/>
                <w:sz w:val="20"/>
                <w:szCs w:val="20"/>
              </w:rPr>
              <w:t>)</w:t>
            </w:r>
          </w:p>
        </w:tc>
        <w:tc>
          <w:tcPr>
            <w:tcW w:w="0" w:type="auto"/>
            <w:shd w:val="clear" w:color="auto" w:fill="auto"/>
            <w:vAlign w:val="center"/>
          </w:tcPr>
          <w:p w14:paraId="03D71A50"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60.48</w:t>
            </w:r>
          </w:p>
          <w:p w14:paraId="29D79EAB" w14:textId="6E191E7E"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(0.05)</w:t>
            </w:r>
          </w:p>
        </w:tc>
        <w:tc>
          <w:tcPr>
            <w:tcW w:w="0" w:type="auto"/>
            <w:shd w:val="clear" w:color="auto" w:fill="auto"/>
            <w:vAlign w:val="center"/>
          </w:tcPr>
          <w:p w14:paraId="0D9E537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 xml:space="preserve">61.65 </w:t>
            </w:r>
          </w:p>
          <w:p w14:paraId="16699C34" w14:textId="0DF5C8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roofErr w:type="gramStart"/>
            <w:r w:rsidRPr="00B57AB7">
              <w:rPr>
                <w:rFonts w:ascii="Garamond" w:hAnsi="Garamond"/>
                <w:sz w:val="20"/>
                <w:szCs w:val="20"/>
                <w:lang w:val="en-US"/>
              </w:rPr>
              <w:t>0..</w:t>
            </w:r>
            <w:proofErr w:type="gramEnd"/>
            <w:r w:rsidRPr="00B57AB7">
              <w:rPr>
                <w:rFonts w:ascii="Garamond" w:hAnsi="Garamond"/>
                <w:sz w:val="20"/>
                <w:szCs w:val="20"/>
                <w:lang w:val="en-US"/>
              </w:rPr>
              <w:t>06)</w:t>
            </w:r>
          </w:p>
        </w:tc>
        <w:tc>
          <w:tcPr>
            <w:tcW w:w="0" w:type="auto"/>
            <w:shd w:val="clear" w:color="auto" w:fill="auto"/>
            <w:vAlign w:val="center"/>
          </w:tcPr>
          <w:p w14:paraId="2256074E" w14:textId="77777777"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51.56</w:t>
            </w:r>
          </w:p>
          <w:p w14:paraId="7163A94D" w14:textId="5962F9E6" w:rsidR="00D062DE" w:rsidRPr="00B57AB7" w:rsidRDefault="00D062D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(0.17)</w:t>
            </w:r>
          </w:p>
        </w:tc>
      </w:tr>
    </w:tbl>
    <w:p w14:paraId="0F34B2E1" w14:textId="0B14E0B6" w:rsidR="00CA49AC" w:rsidRDefault="00D062DE" w:rsidP="00DB427E">
      <w:pPr>
        <w:pStyle w:val="Newparagraph"/>
        <w:spacing w:before="120" w:after="120" w:line="276" w:lineRule="auto"/>
        <w:ind w:firstLine="0"/>
        <w:jc w:val="both"/>
        <w:rPr>
          <w:rFonts w:ascii="Garamond" w:hAnsi="Garamond"/>
          <w:lang w:val="en-US"/>
        </w:rPr>
      </w:pPr>
      <w:r w:rsidRPr="00D062DE">
        <w:rPr>
          <w:rFonts w:ascii="Garamond" w:hAnsi="Garamond"/>
          <w:lang w:val="en-US"/>
        </w:rPr>
        <w:t>Tabl</w:t>
      </w:r>
      <w:r w:rsidR="00B258BB">
        <w:rPr>
          <w:rFonts w:ascii="Garamond" w:hAnsi="Garamond"/>
          <w:lang w:val="en-US"/>
        </w:rPr>
        <w:t>e</w:t>
      </w:r>
      <w:r w:rsidR="00EF0439">
        <w:rPr>
          <w:rFonts w:ascii="Garamond" w:hAnsi="Garamond"/>
          <w:lang w:val="en-US"/>
        </w:rPr>
        <w:t> </w:t>
      </w:r>
      <w:r w:rsidR="007A262E">
        <w:rPr>
          <w:rFonts w:ascii="Garamond" w:hAnsi="Garamond"/>
          <w:lang w:val="en-US"/>
        </w:rPr>
        <w:t>2</w:t>
      </w:r>
      <w:r>
        <w:rPr>
          <w:rFonts w:ascii="Garamond" w:hAnsi="Garamond"/>
          <w:lang w:val="en-US"/>
        </w:rPr>
        <w:t xml:space="preserve"> presents the estimation results for the </w:t>
      </w:r>
      <w:r w:rsidRPr="008C2294">
        <w:rPr>
          <w:rFonts w:ascii="Garamond" w:hAnsi="Garamond"/>
          <w:lang w:val="en-US"/>
        </w:rPr>
        <w:t>determinants of investment efficiency for</w:t>
      </w:r>
      <w:r>
        <w:rPr>
          <w:rFonts w:ascii="Garamond" w:hAnsi="Garamond"/>
          <w:lang w:val="en-US"/>
        </w:rPr>
        <w:t xml:space="preserve"> the full sample (columns 1 to 3) as well as for oil importers </w:t>
      </w:r>
      <w:r w:rsidR="00C05A22">
        <w:rPr>
          <w:rFonts w:ascii="Garamond" w:hAnsi="Garamond"/>
          <w:lang w:val="en-US"/>
        </w:rPr>
        <w:t xml:space="preserve">(columns 4 to 6) </w:t>
      </w:r>
      <w:r>
        <w:rPr>
          <w:rFonts w:ascii="Garamond" w:hAnsi="Garamond"/>
          <w:lang w:val="en-US"/>
        </w:rPr>
        <w:t xml:space="preserve">and exporters (columns </w:t>
      </w:r>
      <w:r w:rsidR="00C05A22">
        <w:rPr>
          <w:rFonts w:ascii="Garamond" w:hAnsi="Garamond"/>
          <w:lang w:val="en-US"/>
        </w:rPr>
        <w:t>7 to </w:t>
      </w:r>
      <w:r>
        <w:rPr>
          <w:rFonts w:ascii="Garamond" w:hAnsi="Garamond"/>
          <w:lang w:val="en-US"/>
        </w:rPr>
        <w:t xml:space="preserve">9). The results </w:t>
      </w:r>
      <w:r w:rsidR="00DB427E">
        <w:rPr>
          <w:rFonts w:ascii="Garamond" w:hAnsi="Garamond"/>
          <w:lang w:val="en-US"/>
        </w:rPr>
        <w:t>reveal</w:t>
      </w:r>
      <w:r>
        <w:rPr>
          <w:rFonts w:ascii="Garamond" w:hAnsi="Garamond"/>
          <w:lang w:val="en-US"/>
        </w:rPr>
        <w:t xml:space="preserve"> the persistency of profits in the banking sector across </w:t>
      </w:r>
      <w:r w:rsidR="007A262E">
        <w:rPr>
          <w:rFonts w:ascii="Garamond" w:hAnsi="Garamond"/>
          <w:lang w:val="en-US"/>
        </w:rPr>
        <w:t>sub-</w:t>
      </w:r>
      <w:r>
        <w:rPr>
          <w:rFonts w:ascii="Garamond" w:hAnsi="Garamond"/>
          <w:lang w:val="en-US"/>
        </w:rPr>
        <w:t xml:space="preserve">samples as shown by the positive significant effect of the lag of ROA. The results also show that banks in the MENA region do not efficiently leverage their size and liquid assets to generate profits. </w:t>
      </w:r>
      <w:r w:rsidRPr="005C1EF6">
        <w:rPr>
          <w:rFonts w:ascii="Garamond" w:hAnsi="Garamond"/>
          <w:i/>
          <w:iCs/>
          <w:lang w:val="en-US"/>
        </w:rPr>
        <w:t>Per contra</w:t>
      </w:r>
      <w:r>
        <w:rPr>
          <w:rFonts w:ascii="Garamond" w:hAnsi="Garamond"/>
          <w:lang w:val="en-US"/>
        </w:rPr>
        <w:t xml:space="preserve">, bigger banks </w:t>
      </w:r>
      <w:r w:rsidR="00C3435A">
        <w:rPr>
          <w:rFonts w:ascii="Garamond" w:hAnsi="Garamond"/>
          <w:lang w:val="en-US"/>
        </w:rPr>
        <w:t xml:space="preserve">in the oil-exporting country </w:t>
      </w:r>
      <w:r>
        <w:rPr>
          <w:rFonts w:ascii="Garamond" w:hAnsi="Garamond"/>
          <w:lang w:val="en-US"/>
        </w:rPr>
        <w:t xml:space="preserve">are less profitable. This can be because the banking sector </w:t>
      </w:r>
      <w:r w:rsidR="00C3435A">
        <w:rPr>
          <w:rFonts w:ascii="Garamond" w:hAnsi="Garamond"/>
          <w:lang w:val="en-US"/>
        </w:rPr>
        <w:t>is</w:t>
      </w:r>
      <w:r>
        <w:rPr>
          <w:rFonts w:ascii="Garamond" w:hAnsi="Garamond"/>
          <w:lang w:val="en-US"/>
        </w:rPr>
        <w:t xml:space="preserve"> highly concentrated (the aggregate concentration rate is 80% in oil-exporting countries versus 60% in oil-importing countries</w:t>
      </w:r>
      <w:r w:rsidR="00BD2132">
        <w:rPr>
          <w:rFonts w:ascii="Garamond" w:hAnsi="Garamond"/>
          <w:lang w:val="en-US"/>
        </w:rPr>
        <w:t>)</w:t>
      </w:r>
      <w:r>
        <w:rPr>
          <w:rFonts w:ascii="Garamond" w:hAnsi="Garamond"/>
          <w:lang w:val="en-US"/>
        </w:rPr>
        <w:t xml:space="preserve">. Thus, while banks in oil-importing countries are unable to mobilize their size in generating profits, the </w:t>
      </w:r>
      <w:r w:rsidRPr="00D062DE">
        <w:rPr>
          <w:rFonts w:ascii="Garamond" w:hAnsi="Garamond"/>
          <w:lang w:val="en-US"/>
        </w:rPr>
        <w:t>aggressive growth strategies</w:t>
      </w:r>
      <w:r>
        <w:rPr>
          <w:rFonts w:ascii="Garamond" w:hAnsi="Garamond"/>
          <w:lang w:val="en-US"/>
        </w:rPr>
        <w:t xml:space="preserve"> of banks in the oil-exporting country effectively reduce</w:t>
      </w:r>
      <w:r w:rsidRPr="00D062DE">
        <w:rPr>
          <w:rFonts w:ascii="Garamond" w:hAnsi="Garamond"/>
          <w:lang w:val="en-US"/>
        </w:rPr>
        <w:t xml:space="preserve"> their interest margins </w:t>
      </w:r>
      <w:r>
        <w:rPr>
          <w:rFonts w:ascii="Garamond" w:hAnsi="Garamond"/>
          <w:lang w:val="en-US"/>
        </w:rPr>
        <w:t>and h</w:t>
      </w:r>
      <w:r w:rsidR="00596BEF">
        <w:rPr>
          <w:rFonts w:ascii="Garamond" w:hAnsi="Garamond"/>
          <w:lang w:val="en-US"/>
        </w:rPr>
        <w:t xml:space="preserve">arm their investment strategy. </w:t>
      </w:r>
      <w:r>
        <w:rPr>
          <w:rFonts w:ascii="Garamond" w:hAnsi="Garamond"/>
          <w:lang w:val="en-US"/>
        </w:rPr>
        <w:t>The results also show that well-capitalized banks are more profitable across subsamples.</w:t>
      </w:r>
    </w:p>
    <w:p w14:paraId="2587E812" w14:textId="6353458F" w:rsidR="005C1EF6" w:rsidRDefault="00D062DE" w:rsidP="00C81351">
      <w:pPr>
        <w:pStyle w:val="Newparagraph"/>
        <w:spacing w:before="120" w:after="120" w:line="276" w:lineRule="auto"/>
        <w:ind w:firstLine="0"/>
        <w:jc w:val="both"/>
        <w:rPr>
          <w:rFonts w:ascii="Garamond" w:hAnsi="Garamond"/>
          <w:lang w:val="en-US"/>
        </w:rPr>
      </w:pPr>
      <w:r>
        <w:rPr>
          <w:rFonts w:ascii="Garamond" w:hAnsi="Garamond"/>
          <w:lang w:val="en-US"/>
        </w:rPr>
        <w:t>The diverse macroeconomic environments in the MENA region present banks with different types of challenges.</w:t>
      </w:r>
      <w:r w:rsidR="005C1EF6">
        <w:rPr>
          <w:rFonts w:ascii="Garamond" w:hAnsi="Garamond"/>
          <w:lang w:val="en-US"/>
        </w:rPr>
        <w:t xml:space="preserve"> For instance, the growth of the economy affects the two subsamples differently as shown by the sign of GDP growth. As expected, GDP growth positively affects bank performance in oil-importing countries. In periods of good macroeconomic conditions, banks' profitability in oil-importing countries rises as a result of the increase in the demand for credit and banking services. However, economic growth negatively affects the performance of banks from oil-exporting countries. This is in line with the results of </w:t>
      </w:r>
      <w:r w:rsidR="005C1EF6">
        <w:rPr>
          <w:rFonts w:ascii="Garamond" w:hAnsi="Garamond"/>
          <w:lang w:val="en-US"/>
        </w:rPr>
        <w:fldChar w:fldCharType="begin" w:fldLock="1"/>
      </w:r>
      <w:r w:rsidR="005C1EF6">
        <w:rPr>
          <w:rFonts w:ascii="Garamond" w:hAnsi="Garamond"/>
          <w:lang w:val="en-US"/>
        </w:rPr>
        <w:instrText>ADDIN CSL_CITATION {"citationItems":[{"id":"ITEM-1","itemData":{"DOI":"10.1016/j.bir.2016.03.002","ISSN":"22148469","abstract":"The aim of this study is to empirically examine the bank-specific, financial, and macroeconomic determinants of performance of Islamic and conventional banks in Pakistan. To do this, we first constructed the financial performance index (FPI) based on CAMELS' ratios and then run the computed index on the said determinants. We have used an unbalanced annual panel data covering the period 2006-2012. The GLS regression results show that operating efficiency, reserves, and overheads are significant determinants of conventional banks' performance, whereas, operating efficiency, deposits, and market concentration are significant in explaining performance of Islamic banks. We also show that the impact of GDP and the lending interest rate on performance is negative for both types of banks. Bank managers may focus on controlling overheads and operating costs to improve performance because, according the empirical results presented in the study, both of these variables are negatively related to the FPI. Our results suggest that advancements in overall management practices and new standards in operating efficiency and financial risk management are essential to enhance performance of banks.","author":[{"dropping-particle":"","family":"Rashid","given":"Abdul","non-dropping-particle":"","parse-names":false,"suffix":""},{"dropping-particle":"","family":"Jabeen","given":"Sana","non-dropping-particle":"","parse-names":false,"suffix":""}],"container-title":"Borsa Istanbul Review","id":"ITEM-1","issue":"2","issued":{"date-parts":[["2016"]]},"page":"92-107","publisher":"Elsevier Ltd","title":"Analyzing performance determinants: Conventional versus Islamic Banks in Pakistan","type":"article-journal","volume":"16"},"uris":["http://www.mendeley.com/documents/?uuid=67f3e29f-8599-4dd7-9d71-07844611f05a"]}],"mendeley":{"formattedCitation":"(Rashid &amp; Jabeen, 2016)","manualFormatting":"Rashid &amp; Jabeen (2016)","plainTextFormattedCitation":"(Rashid &amp; Jabeen, 2016)","previouslyFormattedCitation":"(Rashid &amp; Jabeen, 2016)"},"properties":{"noteIndex":0},"schema":"https://github.com/citation-style-language/schema/raw/master/csl-citation.json"}</w:instrText>
      </w:r>
      <w:r w:rsidR="005C1EF6">
        <w:rPr>
          <w:rFonts w:ascii="Garamond" w:hAnsi="Garamond"/>
          <w:lang w:val="en-US"/>
        </w:rPr>
        <w:fldChar w:fldCharType="separate"/>
      </w:r>
      <w:r w:rsidR="005C1EF6" w:rsidRPr="005C1EF6">
        <w:rPr>
          <w:rFonts w:ascii="Garamond" w:hAnsi="Garamond"/>
          <w:noProof/>
          <w:lang w:val="en-US"/>
        </w:rPr>
        <w:t xml:space="preserve">Rashid &amp; Jabeen </w:t>
      </w:r>
      <w:r w:rsidR="005C1EF6">
        <w:rPr>
          <w:rFonts w:ascii="Garamond" w:hAnsi="Garamond"/>
          <w:noProof/>
          <w:lang w:val="en-US"/>
        </w:rPr>
        <w:t>(</w:t>
      </w:r>
      <w:r w:rsidR="005C1EF6" w:rsidRPr="005C1EF6">
        <w:rPr>
          <w:rFonts w:ascii="Garamond" w:hAnsi="Garamond"/>
          <w:noProof/>
          <w:lang w:val="en-US"/>
        </w:rPr>
        <w:t>2016)</w:t>
      </w:r>
      <w:r w:rsidR="005C1EF6">
        <w:rPr>
          <w:rFonts w:ascii="Garamond" w:hAnsi="Garamond"/>
          <w:lang w:val="en-US"/>
        </w:rPr>
        <w:fldChar w:fldCharType="end"/>
      </w:r>
      <w:r w:rsidR="005C1EF6">
        <w:rPr>
          <w:rFonts w:ascii="Garamond" w:hAnsi="Garamond"/>
          <w:lang w:val="en-US"/>
        </w:rPr>
        <w:t xml:space="preserve"> who argue that during prolonged periods of business cycle expansion, firms internally generate enough revenues to satisfy their working capital needs and rely less on external financing, which reduces the demand for bank credit and may reduce the banking sector profitability.</w:t>
      </w:r>
    </w:p>
    <w:p w14:paraId="21C88478" w14:textId="3D0A68D9" w:rsidR="00CA49AC" w:rsidRDefault="005C1EF6" w:rsidP="00C81351">
      <w:pPr>
        <w:pStyle w:val="Newparagraph"/>
        <w:spacing w:before="120" w:after="120" w:line="276" w:lineRule="auto"/>
        <w:ind w:firstLine="0"/>
        <w:jc w:val="both"/>
        <w:rPr>
          <w:rFonts w:ascii="Garamond" w:hAnsi="Garamond"/>
          <w:lang w:val="en-US"/>
        </w:rPr>
      </w:pPr>
      <w:r>
        <w:rPr>
          <w:rFonts w:ascii="Garamond" w:hAnsi="Garamond"/>
          <w:lang w:val="en-US"/>
        </w:rPr>
        <w:t xml:space="preserve">The results show a significant positive effect of inflation on ROE in oil-exporting countries. This effect is, however, generally insignificant for oil exporters. We can infer from this </w:t>
      </w:r>
      <w:proofErr w:type="gramStart"/>
      <w:r>
        <w:rPr>
          <w:rFonts w:ascii="Garamond" w:hAnsi="Garamond"/>
          <w:lang w:val="en-US"/>
        </w:rPr>
        <w:t>that banks</w:t>
      </w:r>
      <w:proofErr w:type="gramEnd"/>
      <w:r>
        <w:rPr>
          <w:rFonts w:ascii="Garamond" w:hAnsi="Garamond"/>
          <w:lang w:val="en-US"/>
        </w:rPr>
        <w:t xml:space="preserve"> in the MENA region can anticipate the rise in inflation and hedge its adverse effect on their profitability. We can also deduce that banks from oil-importing countries can better benefit from inflation hikes. Finally, the results show that sample separation uncovers the negative effect of interest rates on bank performance. Higher interest rates reduce investment efficiency by</w:t>
      </w:r>
      <w:r w:rsidR="00CD7B97">
        <w:rPr>
          <w:rFonts w:ascii="Garamond" w:hAnsi="Garamond"/>
          <w:lang w:val="en-US"/>
        </w:rPr>
        <w:t xml:space="preserve"> discouraging credit demand, thus reducing interest margins.</w:t>
      </w:r>
    </w:p>
    <w:p w14:paraId="004C4326" w14:textId="75EB60F6" w:rsidR="00596BEF" w:rsidRDefault="00DB427E" w:rsidP="00F65B49">
      <w:pPr>
        <w:pStyle w:val="Newparagraph"/>
        <w:spacing w:before="120" w:after="120" w:line="276" w:lineRule="auto"/>
        <w:ind w:firstLine="0"/>
        <w:jc w:val="both"/>
        <w:rPr>
          <w:rFonts w:ascii="Garamond" w:hAnsi="Garamond"/>
          <w:b/>
          <w:bCs/>
          <w:rtl/>
          <w:lang w:val="en-US"/>
        </w:rPr>
      </w:pPr>
      <w:r>
        <w:rPr>
          <w:rFonts w:ascii="Garamond" w:hAnsi="Garamond"/>
          <w:lang w:val="en-US"/>
        </w:rPr>
        <w:t xml:space="preserve">As per the impact of government </w:t>
      </w:r>
      <w:r w:rsidR="00F65B49">
        <w:rPr>
          <w:rFonts w:ascii="Garamond" w:hAnsi="Garamond"/>
          <w:lang w:val="en-US"/>
        </w:rPr>
        <w:t>expenditure</w:t>
      </w:r>
      <w:r>
        <w:rPr>
          <w:rFonts w:ascii="Garamond" w:hAnsi="Garamond"/>
          <w:lang w:val="en-US"/>
        </w:rPr>
        <w:t xml:space="preserve">, the </w:t>
      </w:r>
      <w:r w:rsidRPr="00DB427E">
        <w:rPr>
          <w:rFonts w:ascii="Garamond" w:hAnsi="Garamond"/>
          <w:lang w:val="en-US"/>
        </w:rPr>
        <w:t xml:space="preserve">coefficients are negative and statistically significant </w:t>
      </w:r>
      <w:r>
        <w:rPr>
          <w:rFonts w:ascii="Garamond" w:hAnsi="Garamond"/>
          <w:lang w:val="en-US"/>
        </w:rPr>
        <w:t xml:space="preserve">for the total spending as well for both components </w:t>
      </w:r>
      <w:r w:rsidRPr="00DB427E">
        <w:rPr>
          <w:rFonts w:ascii="Garamond" w:hAnsi="Garamond"/>
          <w:lang w:val="en-US"/>
        </w:rPr>
        <w:t xml:space="preserve">in </w:t>
      </w:r>
      <w:r>
        <w:rPr>
          <w:rFonts w:ascii="Garamond" w:hAnsi="Garamond"/>
          <w:lang w:val="en-US"/>
        </w:rPr>
        <w:t xml:space="preserve">the MENA region. However, </w:t>
      </w:r>
      <w:r w:rsidR="00F65B49">
        <w:rPr>
          <w:rFonts w:ascii="Garamond" w:hAnsi="Garamond"/>
          <w:lang w:val="en-US"/>
        </w:rPr>
        <w:t>capital</w:t>
      </w:r>
      <w:r w:rsidR="00F65B49" w:rsidRPr="00F65B49">
        <w:rPr>
          <w:rFonts w:ascii="Garamond" w:hAnsi="Garamond"/>
          <w:lang w:val="en-US"/>
        </w:rPr>
        <w:t xml:space="preserve"> spending has a positive effect on the investment efficiency of banks in oil-exporting countries, </w:t>
      </w:r>
      <w:r w:rsidR="00F65B49">
        <w:rPr>
          <w:rFonts w:ascii="Garamond" w:hAnsi="Garamond"/>
          <w:lang w:val="en-US"/>
        </w:rPr>
        <w:t xml:space="preserve">while </w:t>
      </w:r>
      <w:r w:rsidR="00F65B49" w:rsidRPr="00F65B49">
        <w:rPr>
          <w:rFonts w:ascii="Garamond" w:hAnsi="Garamond"/>
          <w:lang w:val="en-US"/>
        </w:rPr>
        <w:t xml:space="preserve">it </w:t>
      </w:r>
      <w:r w:rsidR="00F65B49">
        <w:rPr>
          <w:rFonts w:ascii="Garamond" w:hAnsi="Garamond"/>
          <w:lang w:val="en-US"/>
        </w:rPr>
        <w:t>has</w:t>
      </w:r>
      <w:r w:rsidR="00F65B49" w:rsidRPr="00F65B49">
        <w:rPr>
          <w:rFonts w:ascii="Garamond" w:hAnsi="Garamond"/>
          <w:lang w:val="en-US"/>
        </w:rPr>
        <w:t xml:space="preserve"> no</w:t>
      </w:r>
      <w:r w:rsidR="00F65B49">
        <w:rPr>
          <w:rFonts w:ascii="Garamond" w:hAnsi="Garamond"/>
          <w:lang w:val="en-US"/>
        </w:rPr>
        <w:t xml:space="preserve"> impact on</w:t>
      </w:r>
      <w:r w:rsidR="00F65B49" w:rsidRPr="00F65B49">
        <w:rPr>
          <w:rFonts w:ascii="Garamond" w:hAnsi="Garamond"/>
          <w:lang w:val="en-US"/>
        </w:rPr>
        <w:t xml:space="preserve"> banks from oil importers.</w:t>
      </w:r>
    </w:p>
    <w:p w14:paraId="36BC1078" w14:textId="4573A34B" w:rsidR="00CA49AC" w:rsidRPr="00CA49AC" w:rsidRDefault="00CA49AC" w:rsidP="00596BEF">
      <w:pPr>
        <w:pStyle w:val="Paragraph"/>
        <w:spacing w:line="240" w:lineRule="auto"/>
        <w:jc w:val="center"/>
        <w:rPr>
          <w:rFonts w:ascii="Garamond" w:hAnsi="Garamond"/>
          <w:b/>
          <w:bCs/>
          <w:lang w:val="en-US"/>
        </w:rPr>
      </w:pPr>
      <w:r w:rsidRPr="00B57AB7">
        <w:rPr>
          <w:rFonts w:ascii="Garamond" w:hAnsi="Garamond"/>
          <w:b/>
          <w:bCs/>
          <w:lang w:val="en-US"/>
        </w:rPr>
        <w:t xml:space="preserve">Table </w:t>
      </w:r>
      <w:r w:rsidR="007A262E">
        <w:rPr>
          <w:rFonts w:ascii="Garamond" w:hAnsi="Garamond"/>
          <w:b/>
          <w:bCs/>
          <w:lang w:val="en-US"/>
        </w:rPr>
        <w:t>3</w:t>
      </w:r>
      <w:r w:rsidR="00D062DE">
        <w:rPr>
          <w:rFonts w:ascii="Garamond" w:hAnsi="Garamond"/>
          <w:b/>
          <w:bCs/>
          <w:lang w:val="en-US"/>
        </w:rPr>
        <w:t>:</w:t>
      </w:r>
      <w:r w:rsidRPr="00B57AB7">
        <w:rPr>
          <w:rFonts w:ascii="Garamond" w:hAnsi="Garamond"/>
          <w:b/>
          <w:bCs/>
          <w:lang w:val="en-US"/>
        </w:rPr>
        <w:t xml:space="preserve"> The estimation results for the RO</w:t>
      </w:r>
      <w:r>
        <w:rPr>
          <w:rFonts w:ascii="Garamond" w:hAnsi="Garamond"/>
          <w:b/>
          <w:bCs/>
          <w:lang w:val="en-US"/>
        </w:rPr>
        <w:t>E</w:t>
      </w:r>
      <w:r w:rsidRPr="00B57AB7">
        <w:rPr>
          <w:rFonts w:ascii="Garamond" w:hAnsi="Garamond"/>
          <w:b/>
          <w:bCs/>
          <w:lang w:val="en-US"/>
        </w:rPr>
        <w:t xml:space="preserve"> models</w:t>
      </w:r>
    </w:p>
    <w:tbl>
      <w:tblPr>
        <w:tblStyle w:val="TableGrid"/>
        <w:tblW w:w="0" w:type="auto"/>
        <w:jc w:val="center"/>
        <w:tblLook w:val="04A0" w:firstRow="1" w:lastRow="0" w:firstColumn="1" w:lastColumn="0" w:noHBand="0" w:noVBand="1"/>
      </w:tblPr>
      <w:tblGrid>
        <w:gridCol w:w="902"/>
        <w:gridCol w:w="729"/>
        <w:gridCol w:w="729"/>
        <w:gridCol w:w="729"/>
        <w:gridCol w:w="885"/>
        <w:gridCol w:w="885"/>
        <w:gridCol w:w="885"/>
        <w:gridCol w:w="823"/>
        <w:gridCol w:w="823"/>
        <w:gridCol w:w="823"/>
      </w:tblGrid>
      <w:tr w:rsidR="00CA49AC" w:rsidRPr="00B57AB7" w14:paraId="19A7CDBF" w14:textId="77777777" w:rsidTr="00491595">
        <w:trPr>
          <w:jc w:val="center"/>
        </w:trPr>
        <w:tc>
          <w:tcPr>
            <w:tcW w:w="0" w:type="auto"/>
            <w:shd w:val="clear" w:color="auto" w:fill="auto"/>
            <w:vAlign w:val="center"/>
          </w:tcPr>
          <w:p w14:paraId="67D09851"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gridSpan w:val="3"/>
            <w:shd w:val="clear" w:color="auto" w:fill="auto"/>
            <w:vAlign w:val="center"/>
          </w:tcPr>
          <w:p w14:paraId="48705BA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Full sample</w:t>
            </w:r>
          </w:p>
        </w:tc>
        <w:tc>
          <w:tcPr>
            <w:tcW w:w="0" w:type="auto"/>
            <w:gridSpan w:val="3"/>
            <w:shd w:val="clear" w:color="auto" w:fill="auto"/>
            <w:vAlign w:val="center"/>
          </w:tcPr>
          <w:p w14:paraId="1978012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Oil importers</w:t>
            </w:r>
          </w:p>
        </w:tc>
        <w:tc>
          <w:tcPr>
            <w:tcW w:w="0" w:type="auto"/>
            <w:gridSpan w:val="3"/>
            <w:shd w:val="clear" w:color="auto" w:fill="auto"/>
            <w:vAlign w:val="center"/>
          </w:tcPr>
          <w:p w14:paraId="2BD15B49"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Oil exporters</w:t>
            </w:r>
          </w:p>
        </w:tc>
      </w:tr>
      <w:tr w:rsidR="00CA49AC" w:rsidRPr="00B57AB7" w14:paraId="3C1A5579" w14:textId="77777777" w:rsidTr="00491595">
        <w:trPr>
          <w:jc w:val="center"/>
        </w:trPr>
        <w:tc>
          <w:tcPr>
            <w:tcW w:w="0" w:type="auto"/>
            <w:shd w:val="clear" w:color="auto" w:fill="auto"/>
            <w:vAlign w:val="center"/>
          </w:tcPr>
          <w:p w14:paraId="558CE423"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1919050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w:t>
            </w:r>
          </w:p>
        </w:tc>
        <w:tc>
          <w:tcPr>
            <w:tcW w:w="0" w:type="auto"/>
            <w:shd w:val="clear" w:color="auto" w:fill="auto"/>
            <w:vAlign w:val="center"/>
          </w:tcPr>
          <w:p w14:paraId="6FE3CAF7"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(2)</w:t>
            </w:r>
          </w:p>
        </w:tc>
        <w:tc>
          <w:tcPr>
            <w:tcW w:w="0" w:type="auto"/>
            <w:shd w:val="clear" w:color="auto" w:fill="auto"/>
            <w:vAlign w:val="center"/>
          </w:tcPr>
          <w:p w14:paraId="10EE609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w:t>
            </w:r>
          </w:p>
        </w:tc>
        <w:tc>
          <w:tcPr>
            <w:tcW w:w="0" w:type="auto"/>
            <w:shd w:val="clear" w:color="auto" w:fill="auto"/>
            <w:vAlign w:val="center"/>
          </w:tcPr>
          <w:p w14:paraId="23FD3CA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(4)</w:t>
            </w:r>
          </w:p>
        </w:tc>
        <w:tc>
          <w:tcPr>
            <w:tcW w:w="0" w:type="auto"/>
            <w:shd w:val="clear" w:color="auto" w:fill="auto"/>
            <w:vAlign w:val="center"/>
          </w:tcPr>
          <w:p w14:paraId="450DAA4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w:t>
            </w:r>
          </w:p>
        </w:tc>
        <w:tc>
          <w:tcPr>
            <w:tcW w:w="0" w:type="auto"/>
            <w:shd w:val="clear" w:color="auto" w:fill="auto"/>
            <w:vAlign w:val="center"/>
          </w:tcPr>
          <w:p w14:paraId="384AB2D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w:t>
            </w:r>
          </w:p>
        </w:tc>
        <w:tc>
          <w:tcPr>
            <w:tcW w:w="0" w:type="auto"/>
            <w:shd w:val="clear" w:color="auto" w:fill="auto"/>
            <w:vAlign w:val="center"/>
          </w:tcPr>
          <w:p w14:paraId="24BCF49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(7)</w:t>
            </w:r>
          </w:p>
        </w:tc>
        <w:tc>
          <w:tcPr>
            <w:tcW w:w="0" w:type="auto"/>
            <w:shd w:val="clear" w:color="auto" w:fill="auto"/>
            <w:vAlign w:val="center"/>
          </w:tcPr>
          <w:p w14:paraId="000148E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(8)</w:t>
            </w:r>
          </w:p>
        </w:tc>
        <w:tc>
          <w:tcPr>
            <w:tcW w:w="0" w:type="auto"/>
            <w:shd w:val="clear" w:color="auto" w:fill="auto"/>
            <w:vAlign w:val="center"/>
          </w:tcPr>
          <w:p w14:paraId="4C56E19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(9)</w:t>
            </w:r>
          </w:p>
        </w:tc>
      </w:tr>
      <w:tr w:rsidR="00CA49AC" w:rsidRPr="00B57AB7" w14:paraId="2D735E98" w14:textId="77777777" w:rsidTr="00491595">
        <w:trPr>
          <w:jc w:val="center"/>
        </w:trPr>
        <w:tc>
          <w:tcPr>
            <w:tcW w:w="0" w:type="auto"/>
            <w:shd w:val="clear" w:color="auto" w:fill="auto"/>
            <w:vAlign w:val="center"/>
          </w:tcPr>
          <w:p w14:paraId="594DD9F3" w14:textId="68C2B2C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RO</w:t>
            </w:r>
            <w:r>
              <w:rPr>
                <w:rFonts w:ascii="Garamond" w:hAnsi="Garamond"/>
                <w:sz w:val="20"/>
                <w:szCs w:val="20"/>
                <w:lang w:val="en-US"/>
              </w:rPr>
              <w:t>E</w:t>
            </w:r>
            <w:r w:rsidRPr="00B57AB7">
              <w:rPr>
                <w:rFonts w:ascii="Garamond" w:hAnsi="Garamond"/>
                <w:sz w:val="20"/>
                <w:szCs w:val="20"/>
                <w:lang w:val="en-US"/>
              </w:rPr>
              <w:t>(-1)</w:t>
            </w:r>
          </w:p>
        </w:tc>
        <w:tc>
          <w:tcPr>
            <w:tcW w:w="0" w:type="auto"/>
            <w:shd w:val="clear" w:color="auto" w:fill="auto"/>
            <w:vAlign w:val="center"/>
          </w:tcPr>
          <w:p w14:paraId="787ABEBC"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0.546</w:t>
            </w:r>
          </w:p>
          <w:p w14:paraId="49B9CD33" w14:textId="17F425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0C4E00C1"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0.553</w:t>
            </w:r>
          </w:p>
          <w:p w14:paraId="005BAD3A" w14:textId="277F9A4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654E1EB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0.552</w:t>
            </w:r>
          </w:p>
          <w:p w14:paraId="28BDB22C" w14:textId="00FCF73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5103678"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0.588</w:t>
            </w:r>
          </w:p>
          <w:p w14:paraId="28E4DBC7" w14:textId="1A06728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0464BC8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0.592</w:t>
            </w:r>
          </w:p>
          <w:p w14:paraId="434BB21D" w14:textId="27A22B5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13657257" w14:textId="77777777" w:rsidR="00CA49AC" w:rsidRPr="00B57AB7" w:rsidRDefault="00CA49AC" w:rsidP="00491595">
            <w:pPr>
              <w:spacing w:line="240" w:lineRule="auto"/>
              <w:jc w:val="center"/>
              <w:rPr>
                <w:rFonts w:ascii="Garamond" w:hAnsi="Garamond"/>
                <w:sz w:val="20"/>
                <w:szCs w:val="20"/>
              </w:rPr>
            </w:pPr>
            <w:r w:rsidRPr="00B57AB7">
              <w:rPr>
                <w:rFonts w:ascii="Garamond" w:hAnsi="Garamond"/>
                <w:sz w:val="20"/>
                <w:szCs w:val="20"/>
              </w:rPr>
              <w:t>0.634</w:t>
            </w:r>
          </w:p>
          <w:p w14:paraId="03A22BEE" w14:textId="35E01CE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66EE4C0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0.198</w:t>
            </w:r>
          </w:p>
          <w:p w14:paraId="552CF7A1" w14:textId="5EE87DE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1833692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0.067</w:t>
            </w:r>
          </w:p>
          <w:p w14:paraId="54637A1D" w14:textId="0754D8C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5D0D1033"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0.099</w:t>
            </w:r>
          </w:p>
          <w:p w14:paraId="364C700C" w14:textId="5933606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6700BABD" w14:textId="77777777" w:rsidTr="00491595">
        <w:trPr>
          <w:jc w:val="center"/>
        </w:trPr>
        <w:tc>
          <w:tcPr>
            <w:tcW w:w="0" w:type="auto"/>
            <w:shd w:val="clear" w:color="auto" w:fill="auto"/>
            <w:vAlign w:val="center"/>
          </w:tcPr>
          <w:p w14:paraId="3E00A5B7"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Size</w:t>
            </w:r>
          </w:p>
        </w:tc>
        <w:tc>
          <w:tcPr>
            <w:tcW w:w="0" w:type="auto"/>
            <w:shd w:val="clear" w:color="auto" w:fill="auto"/>
            <w:vAlign w:val="center"/>
          </w:tcPr>
          <w:p w14:paraId="4878A42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5.254</w:t>
            </w:r>
          </w:p>
          <w:p w14:paraId="3631D94F" w14:textId="573F3900" w:rsidR="00CA49AC" w:rsidRPr="00B57AB7" w:rsidRDefault="00CA49AC" w:rsidP="00491595">
            <w:pPr>
              <w:spacing w:line="240" w:lineRule="auto"/>
              <w:jc w:val="center"/>
              <w:rPr>
                <w:rFonts w:ascii="Garamond" w:hAnsi="Garamond" w:cs="Calibri"/>
                <w:color w:val="000000"/>
                <w:sz w:val="20"/>
                <w:szCs w:val="20"/>
              </w:rPr>
            </w:pPr>
            <w:r w:rsidRPr="00B57AB7">
              <w:rPr>
                <w:rFonts w:ascii="Garamond" w:hAnsi="Garamond"/>
                <w:sz w:val="20"/>
                <w:szCs w:val="20"/>
                <w:lang w:val="en-US"/>
              </w:rPr>
              <w:lastRenderedPageBreak/>
              <w:t>(0.00)</w:t>
            </w:r>
          </w:p>
        </w:tc>
        <w:tc>
          <w:tcPr>
            <w:tcW w:w="0" w:type="auto"/>
            <w:shd w:val="clear" w:color="auto" w:fill="auto"/>
            <w:vAlign w:val="center"/>
          </w:tcPr>
          <w:p w14:paraId="0AE669D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lastRenderedPageBreak/>
              <w:t>1.890</w:t>
            </w:r>
          </w:p>
          <w:p w14:paraId="5AD77BBD" w14:textId="44782B3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(0.00)</w:t>
            </w:r>
          </w:p>
        </w:tc>
        <w:tc>
          <w:tcPr>
            <w:tcW w:w="0" w:type="auto"/>
            <w:shd w:val="clear" w:color="auto" w:fill="auto"/>
            <w:vAlign w:val="center"/>
          </w:tcPr>
          <w:p w14:paraId="1C39CE72"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lastRenderedPageBreak/>
              <w:t>3.095</w:t>
            </w:r>
          </w:p>
          <w:p w14:paraId="475BA3FA" w14:textId="70B1B35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(0.00)</w:t>
            </w:r>
          </w:p>
        </w:tc>
        <w:tc>
          <w:tcPr>
            <w:tcW w:w="0" w:type="auto"/>
            <w:shd w:val="clear" w:color="auto" w:fill="auto"/>
            <w:vAlign w:val="center"/>
          </w:tcPr>
          <w:p w14:paraId="71C133E3"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lastRenderedPageBreak/>
              <w:t>-6.726</w:t>
            </w:r>
          </w:p>
          <w:p w14:paraId="403828D3" w14:textId="1BF07C3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lastRenderedPageBreak/>
              <w:t>(0.01)</w:t>
            </w:r>
          </w:p>
        </w:tc>
        <w:tc>
          <w:tcPr>
            <w:tcW w:w="0" w:type="auto"/>
            <w:shd w:val="clear" w:color="auto" w:fill="auto"/>
            <w:vAlign w:val="center"/>
          </w:tcPr>
          <w:p w14:paraId="73DACB82"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lastRenderedPageBreak/>
              <w:t>-6.039</w:t>
            </w:r>
          </w:p>
          <w:p w14:paraId="4D8E7541" w14:textId="2BBE1F8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lastRenderedPageBreak/>
              <w:t>(0.01)</w:t>
            </w:r>
          </w:p>
        </w:tc>
        <w:tc>
          <w:tcPr>
            <w:tcW w:w="0" w:type="auto"/>
            <w:shd w:val="clear" w:color="auto" w:fill="auto"/>
          </w:tcPr>
          <w:p w14:paraId="37CC6E10"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lastRenderedPageBreak/>
              <w:t>-7.654</w:t>
            </w:r>
          </w:p>
          <w:p w14:paraId="2BCC4B39" w14:textId="38A7247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lastRenderedPageBreak/>
              <w:t>(0.01)</w:t>
            </w:r>
          </w:p>
        </w:tc>
        <w:tc>
          <w:tcPr>
            <w:tcW w:w="0" w:type="auto"/>
            <w:shd w:val="clear" w:color="auto" w:fill="auto"/>
          </w:tcPr>
          <w:p w14:paraId="2306FEA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11.475</w:t>
            </w:r>
          </w:p>
          <w:p w14:paraId="4A1208B4" w14:textId="5E642A5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(0.00)</w:t>
            </w:r>
          </w:p>
        </w:tc>
        <w:tc>
          <w:tcPr>
            <w:tcW w:w="0" w:type="auto"/>
            <w:shd w:val="clear" w:color="auto" w:fill="auto"/>
          </w:tcPr>
          <w:p w14:paraId="43B8B44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7.343</w:t>
            </w:r>
          </w:p>
          <w:p w14:paraId="53934539" w14:textId="1FE9DB5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(0.00)</w:t>
            </w:r>
          </w:p>
        </w:tc>
        <w:tc>
          <w:tcPr>
            <w:tcW w:w="0" w:type="auto"/>
            <w:shd w:val="clear" w:color="auto" w:fill="auto"/>
          </w:tcPr>
          <w:p w14:paraId="6991867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6.671</w:t>
            </w:r>
          </w:p>
          <w:p w14:paraId="7411B95B" w14:textId="0EE0F4A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lastRenderedPageBreak/>
              <w:t>(0.00)</w:t>
            </w:r>
          </w:p>
        </w:tc>
      </w:tr>
      <w:tr w:rsidR="00CA49AC" w:rsidRPr="00B57AB7" w14:paraId="67AC1B34" w14:textId="77777777" w:rsidTr="00491595">
        <w:trPr>
          <w:jc w:val="center"/>
        </w:trPr>
        <w:tc>
          <w:tcPr>
            <w:tcW w:w="0" w:type="auto"/>
            <w:shd w:val="clear" w:color="auto" w:fill="auto"/>
            <w:vAlign w:val="center"/>
          </w:tcPr>
          <w:p w14:paraId="2208C70B"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lastRenderedPageBreak/>
              <w:t>Liq</w:t>
            </w:r>
            <w:proofErr w:type="spellEnd"/>
          </w:p>
        </w:tc>
        <w:tc>
          <w:tcPr>
            <w:tcW w:w="0" w:type="auto"/>
            <w:shd w:val="clear" w:color="auto" w:fill="auto"/>
            <w:vAlign w:val="center"/>
          </w:tcPr>
          <w:p w14:paraId="0CCB8E1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5.743</w:t>
            </w:r>
          </w:p>
          <w:p w14:paraId="4031C6E9" w14:textId="7817DD5A" w:rsidR="00CA49AC" w:rsidRPr="00B57AB7" w:rsidRDefault="00CA49AC" w:rsidP="00491595">
            <w:pPr>
              <w:spacing w:line="240" w:lineRule="auto"/>
              <w:jc w:val="center"/>
              <w:rPr>
                <w:rFonts w:ascii="Garamond" w:hAnsi="Garamond" w:cs="Calibri"/>
                <w:color w:val="000000"/>
                <w:sz w:val="20"/>
                <w:szCs w:val="20"/>
              </w:rPr>
            </w:pPr>
            <w:r w:rsidRPr="00B57AB7">
              <w:rPr>
                <w:rFonts w:ascii="Garamond" w:hAnsi="Garamond"/>
                <w:sz w:val="20"/>
                <w:szCs w:val="20"/>
                <w:lang w:val="en-US"/>
              </w:rPr>
              <w:t>(0.00)</w:t>
            </w:r>
          </w:p>
        </w:tc>
        <w:tc>
          <w:tcPr>
            <w:tcW w:w="0" w:type="auto"/>
            <w:shd w:val="clear" w:color="auto" w:fill="auto"/>
            <w:vAlign w:val="center"/>
          </w:tcPr>
          <w:p w14:paraId="2C1391C9"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-3.280</w:t>
            </w:r>
          </w:p>
          <w:p w14:paraId="71BD3D43" w14:textId="05CC9DF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A38C417"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-3.494</w:t>
            </w:r>
          </w:p>
          <w:p w14:paraId="6133345A" w14:textId="7EC7739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7F2FD6F4"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2.664</w:t>
            </w:r>
          </w:p>
          <w:p w14:paraId="4A24E7E0" w14:textId="69563F0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(0.01)</w:t>
            </w:r>
          </w:p>
        </w:tc>
        <w:tc>
          <w:tcPr>
            <w:tcW w:w="0" w:type="auto"/>
            <w:shd w:val="clear" w:color="auto" w:fill="auto"/>
            <w:vAlign w:val="center"/>
          </w:tcPr>
          <w:p w14:paraId="2CBD016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2.171</w:t>
            </w:r>
          </w:p>
          <w:p w14:paraId="2FEA900A" w14:textId="69ECA589"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(0.03)</w:t>
            </w:r>
          </w:p>
        </w:tc>
        <w:tc>
          <w:tcPr>
            <w:tcW w:w="0" w:type="auto"/>
            <w:shd w:val="clear" w:color="auto" w:fill="auto"/>
          </w:tcPr>
          <w:p w14:paraId="36976B09"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4.715</w:t>
            </w:r>
          </w:p>
          <w:p w14:paraId="4882A11C" w14:textId="69F2122E"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w:t>
            </w:r>
          </w:p>
        </w:tc>
        <w:tc>
          <w:tcPr>
            <w:tcW w:w="0" w:type="auto"/>
            <w:shd w:val="clear" w:color="auto" w:fill="auto"/>
          </w:tcPr>
          <w:p w14:paraId="67166795"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14.809</w:t>
            </w:r>
          </w:p>
          <w:p w14:paraId="7438037F" w14:textId="6190B2D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728E727"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27.978</w:t>
            </w:r>
          </w:p>
          <w:p w14:paraId="0A77E876" w14:textId="473873D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5BC20E66"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32.270</w:t>
            </w:r>
          </w:p>
          <w:p w14:paraId="4FA0D22E" w14:textId="3EAF377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036B1037" w14:textId="77777777" w:rsidTr="00491595">
        <w:trPr>
          <w:jc w:val="center"/>
        </w:trPr>
        <w:tc>
          <w:tcPr>
            <w:tcW w:w="0" w:type="auto"/>
            <w:shd w:val="clear" w:color="auto" w:fill="auto"/>
            <w:vAlign w:val="center"/>
          </w:tcPr>
          <w:p w14:paraId="509C9AB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Cap</w:t>
            </w:r>
          </w:p>
        </w:tc>
        <w:tc>
          <w:tcPr>
            <w:tcW w:w="0" w:type="auto"/>
            <w:shd w:val="clear" w:color="auto" w:fill="auto"/>
            <w:vAlign w:val="center"/>
          </w:tcPr>
          <w:p w14:paraId="6B35A0A6"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35.872</w:t>
            </w:r>
          </w:p>
          <w:p w14:paraId="20A890D8" w14:textId="0360EA4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15B0D329"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34.589</w:t>
            </w:r>
          </w:p>
          <w:p w14:paraId="36347F3F" w14:textId="3BA195B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382F4E2"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37.423</w:t>
            </w:r>
          </w:p>
          <w:p w14:paraId="4F7275B2" w14:textId="71F94CE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06B06DB8"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-9.397</w:t>
            </w:r>
          </w:p>
          <w:p w14:paraId="03176C1C" w14:textId="396DDAC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(0.03)</w:t>
            </w:r>
          </w:p>
        </w:tc>
        <w:tc>
          <w:tcPr>
            <w:tcW w:w="0" w:type="auto"/>
            <w:shd w:val="clear" w:color="auto" w:fill="auto"/>
            <w:vAlign w:val="center"/>
          </w:tcPr>
          <w:p w14:paraId="466DC65A"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-9.137</w:t>
            </w:r>
          </w:p>
          <w:p w14:paraId="3B6451A4" w14:textId="7C5F32E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(0.04)</w:t>
            </w:r>
          </w:p>
        </w:tc>
        <w:tc>
          <w:tcPr>
            <w:tcW w:w="0" w:type="auto"/>
            <w:shd w:val="clear" w:color="auto" w:fill="auto"/>
          </w:tcPr>
          <w:p w14:paraId="6B318BD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-7.469</w:t>
            </w:r>
          </w:p>
          <w:p w14:paraId="22DF15CD" w14:textId="66CE4D3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(0.09)</w:t>
            </w:r>
          </w:p>
        </w:tc>
        <w:tc>
          <w:tcPr>
            <w:tcW w:w="0" w:type="auto"/>
            <w:shd w:val="clear" w:color="auto" w:fill="auto"/>
          </w:tcPr>
          <w:p w14:paraId="62EFDD52"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15.125</w:t>
            </w:r>
          </w:p>
          <w:p w14:paraId="2BFA2702" w14:textId="270A6DC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56214C3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12.980</w:t>
            </w:r>
          </w:p>
          <w:p w14:paraId="31455EE9" w14:textId="5675E8A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46AD5C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11.417</w:t>
            </w:r>
          </w:p>
          <w:p w14:paraId="182CA2B7" w14:textId="119863A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617B41D0" w14:textId="77777777" w:rsidTr="00491595">
        <w:trPr>
          <w:jc w:val="center"/>
        </w:trPr>
        <w:tc>
          <w:tcPr>
            <w:tcW w:w="0" w:type="auto"/>
            <w:shd w:val="clear" w:color="auto" w:fill="auto"/>
            <w:vAlign w:val="center"/>
          </w:tcPr>
          <w:p w14:paraId="3D59B744"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Gdpg</w:t>
            </w:r>
            <w:proofErr w:type="spellEnd"/>
          </w:p>
        </w:tc>
        <w:tc>
          <w:tcPr>
            <w:tcW w:w="0" w:type="auto"/>
            <w:shd w:val="clear" w:color="auto" w:fill="auto"/>
            <w:vAlign w:val="center"/>
          </w:tcPr>
          <w:p w14:paraId="24048626"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0.023</w:t>
            </w:r>
          </w:p>
          <w:p w14:paraId="4F03919B" w14:textId="5C9B366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A8AD720"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0.027</w:t>
            </w:r>
          </w:p>
          <w:p w14:paraId="2F1EE809" w14:textId="1B6BCB1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015E41C9"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0.024</w:t>
            </w:r>
          </w:p>
          <w:p w14:paraId="7188E7AA" w14:textId="180E72B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1374DA93"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0.219</w:t>
            </w:r>
          </w:p>
          <w:p w14:paraId="3A0B1281" w14:textId="04F1F79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51B452EA"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0.200</w:t>
            </w:r>
          </w:p>
          <w:p w14:paraId="664669FD" w14:textId="0DDDCCE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110A70F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0.180</w:t>
            </w:r>
          </w:p>
          <w:p w14:paraId="27342A16" w14:textId="589D872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(0.01)</w:t>
            </w:r>
          </w:p>
        </w:tc>
        <w:tc>
          <w:tcPr>
            <w:tcW w:w="0" w:type="auto"/>
            <w:shd w:val="clear" w:color="auto" w:fill="auto"/>
          </w:tcPr>
          <w:p w14:paraId="1E34ADA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-0.082</w:t>
            </w:r>
          </w:p>
          <w:p w14:paraId="724378CE" w14:textId="65F6B64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w:t>
            </w:r>
          </w:p>
        </w:tc>
        <w:tc>
          <w:tcPr>
            <w:tcW w:w="0" w:type="auto"/>
            <w:shd w:val="clear" w:color="auto" w:fill="auto"/>
          </w:tcPr>
          <w:p w14:paraId="44BBE776"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-0.202</w:t>
            </w:r>
          </w:p>
          <w:p w14:paraId="08B58E52" w14:textId="77AB64A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540F26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-0.240</w:t>
            </w:r>
          </w:p>
          <w:p w14:paraId="7C7CF977" w14:textId="27A0E30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25E6FD49" w14:textId="77777777" w:rsidTr="00491595">
        <w:trPr>
          <w:jc w:val="center"/>
        </w:trPr>
        <w:tc>
          <w:tcPr>
            <w:tcW w:w="0" w:type="auto"/>
            <w:shd w:val="clear" w:color="auto" w:fill="auto"/>
            <w:vAlign w:val="center"/>
          </w:tcPr>
          <w:p w14:paraId="5098C4DE"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Infr</w:t>
            </w:r>
            <w:proofErr w:type="spellEnd"/>
          </w:p>
        </w:tc>
        <w:tc>
          <w:tcPr>
            <w:tcW w:w="0" w:type="auto"/>
            <w:shd w:val="clear" w:color="auto" w:fill="auto"/>
            <w:vAlign w:val="center"/>
          </w:tcPr>
          <w:p w14:paraId="120FAF64"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-0.041</w:t>
            </w:r>
          </w:p>
          <w:p w14:paraId="21F16074" w14:textId="7EC855F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E7EFAC6"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-0.022</w:t>
            </w:r>
          </w:p>
          <w:p w14:paraId="67AB5386" w14:textId="48676D4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70B09E2B"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-0.031</w:t>
            </w:r>
          </w:p>
          <w:p w14:paraId="2B7ADB5B" w14:textId="42B0C4A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E56DCE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-0.178</w:t>
            </w:r>
          </w:p>
          <w:p w14:paraId="1CCBBA35" w14:textId="5566504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5123A2D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-0.202</w:t>
            </w:r>
          </w:p>
          <w:p w14:paraId="4BD19AE8" w14:textId="5F2BF30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3416CE86"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-0.345</w:t>
            </w:r>
          </w:p>
          <w:p w14:paraId="3B578CF1" w14:textId="69FDBDF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6232CD40"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-0.058</w:t>
            </w:r>
          </w:p>
          <w:p w14:paraId="6B303CF6" w14:textId="51F8E93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w:t>
            </w:r>
          </w:p>
        </w:tc>
        <w:tc>
          <w:tcPr>
            <w:tcW w:w="0" w:type="auto"/>
            <w:shd w:val="clear" w:color="auto" w:fill="auto"/>
          </w:tcPr>
          <w:p w14:paraId="5516C79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-0.089</w:t>
            </w:r>
          </w:p>
          <w:p w14:paraId="6784ADE5" w14:textId="65F35D3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(0.01)</w:t>
            </w:r>
          </w:p>
        </w:tc>
        <w:tc>
          <w:tcPr>
            <w:tcW w:w="0" w:type="auto"/>
            <w:shd w:val="clear" w:color="auto" w:fill="auto"/>
          </w:tcPr>
          <w:p w14:paraId="444D039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-0.093</w:t>
            </w:r>
          </w:p>
          <w:p w14:paraId="4F34567E" w14:textId="5990940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3E59A03D" w14:textId="77777777" w:rsidTr="00491595">
        <w:trPr>
          <w:jc w:val="center"/>
        </w:trPr>
        <w:tc>
          <w:tcPr>
            <w:tcW w:w="0" w:type="auto"/>
            <w:shd w:val="clear" w:color="auto" w:fill="auto"/>
            <w:vAlign w:val="center"/>
          </w:tcPr>
          <w:p w14:paraId="298FA75F"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ir</w:t>
            </w:r>
            <w:proofErr w:type="spellEnd"/>
          </w:p>
        </w:tc>
        <w:tc>
          <w:tcPr>
            <w:tcW w:w="0" w:type="auto"/>
            <w:shd w:val="clear" w:color="auto" w:fill="auto"/>
            <w:vAlign w:val="center"/>
          </w:tcPr>
          <w:p w14:paraId="210AC468"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0.308</w:t>
            </w:r>
          </w:p>
          <w:p w14:paraId="40B51D9A" w14:textId="351D80B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E5AA6AA"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0.133</w:t>
            </w:r>
          </w:p>
          <w:p w14:paraId="74C925C4" w14:textId="56B8A73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18E168C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0.148</w:t>
            </w:r>
          </w:p>
          <w:p w14:paraId="0E6D1377" w14:textId="1A7E6AC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66EDF3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0.488</w:t>
            </w:r>
          </w:p>
          <w:p w14:paraId="073F4BBA" w14:textId="26770DD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4059B88F"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0.529</w:t>
            </w:r>
          </w:p>
          <w:p w14:paraId="6163A8DD" w14:textId="4D0A112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1641D347"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0.688</w:t>
            </w:r>
          </w:p>
          <w:p w14:paraId="306E36B4" w14:textId="7652FBC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1A8C6D6C"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0.968</w:t>
            </w:r>
          </w:p>
          <w:p w14:paraId="0D743692" w14:textId="184E92A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195C5F3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0.921</w:t>
            </w:r>
          </w:p>
          <w:p w14:paraId="3E7CE6DC" w14:textId="07BD9F5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1095B43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0.693</w:t>
            </w:r>
          </w:p>
          <w:p w14:paraId="25D3831C" w14:textId="5A2EF73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0957D0DF" w14:textId="77777777" w:rsidTr="00491595">
        <w:trPr>
          <w:jc w:val="center"/>
        </w:trPr>
        <w:tc>
          <w:tcPr>
            <w:tcW w:w="0" w:type="auto"/>
            <w:shd w:val="clear" w:color="auto" w:fill="auto"/>
            <w:vAlign w:val="center"/>
          </w:tcPr>
          <w:p w14:paraId="0F65208D" w14:textId="6A40795B" w:rsidR="00CA49AC" w:rsidRPr="00B57AB7" w:rsidRDefault="00CA49AC" w:rsidP="00491595">
            <w:pPr>
              <w:pStyle w:val="Newparagraph"/>
              <w:spacing w:line="240" w:lineRule="auto"/>
              <w:ind w:firstLine="0"/>
              <w:jc w:val="center"/>
              <w:rPr>
                <w:rFonts w:ascii="Garamond" w:hAnsi="Garamond"/>
                <w:sz w:val="20"/>
                <w:szCs w:val="20"/>
                <w:lang w:val="en-US"/>
              </w:rPr>
            </w:pPr>
            <w:r w:rsidRPr="00CA49AC">
              <w:rPr>
                <w:rFonts w:ascii="Garamond" w:hAnsi="Garamond"/>
                <w:sz w:val="20"/>
                <w:szCs w:val="20"/>
                <w:lang w:val="en-US"/>
              </w:rPr>
              <w:t>∆Brent</w:t>
            </w:r>
          </w:p>
        </w:tc>
        <w:tc>
          <w:tcPr>
            <w:tcW w:w="0" w:type="auto"/>
            <w:shd w:val="clear" w:color="auto" w:fill="auto"/>
            <w:vAlign w:val="center"/>
          </w:tcPr>
          <w:p w14:paraId="359E7347" w14:textId="077C0E98" w:rsidR="00CA49AC" w:rsidRPr="00B57AB7" w:rsidRDefault="00CA49AC" w:rsidP="00491595">
            <w:pPr>
              <w:spacing w:line="240" w:lineRule="auto"/>
              <w:jc w:val="center"/>
              <w:rPr>
                <w:rFonts w:ascii="Garamond" w:hAnsi="Garamond" w:cs="Calibri"/>
                <w:color w:val="000000"/>
                <w:sz w:val="20"/>
                <w:szCs w:val="20"/>
              </w:rPr>
            </w:pPr>
            <w:r>
              <w:rPr>
                <w:rFonts w:ascii="Garamond" w:hAnsi="Garamond" w:cs="Calibri"/>
                <w:color w:val="000000"/>
                <w:sz w:val="20"/>
                <w:szCs w:val="20"/>
              </w:rPr>
              <w:t>-</w:t>
            </w:r>
          </w:p>
        </w:tc>
        <w:tc>
          <w:tcPr>
            <w:tcW w:w="0" w:type="auto"/>
            <w:shd w:val="clear" w:color="auto" w:fill="auto"/>
            <w:vAlign w:val="center"/>
          </w:tcPr>
          <w:p w14:paraId="1AB92B29" w14:textId="3D488754" w:rsidR="00CA49AC" w:rsidRPr="00B57AB7" w:rsidRDefault="00CA49AC" w:rsidP="00491595">
            <w:pPr>
              <w:pStyle w:val="Newparagraph"/>
              <w:spacing w:line="240" w:lineRule="auto"/>
              <w:ind w:firstLine="0"/>
              <w:jc w:val="center"/>
              <w:rPr>
                <w:rFonts w:ascii="Garamond" w:hAnsi="Garamond"/>
                <w:sz w:val="20"/>
                <w:szCs w:val="20"/>
              </w:rPr>
            </w:pPr>
            <w:r>
              <w:rPr>
                <w:rFonts w:ascii="Garamond" w:hAnsi="Garamond"/>
                <w:sz w:val="20"/>
                <w:szCs w:val="20"/>
              </w:rPr>
              <w:t>-</w:t>
            </w:r>
          </w:p>
        </w:tc>
        <w:tc>
          <w:tcPr>
            <w:tcW w:w="0" w:type="auto"/>
            <w:shd w:val="clear" w:color="auto" w:fill="auto"/>
            <w:vAlign w:val="center"/>
          </w:tcPr>
          <w:p w14:paraId="4CB9787E" w14:textId="227C7E81" w:rsidR="00CA49AC" w:rsidRPr="00B57AB7" w:rsidRDefault="00CA49AC" w:rsidP="00491595">
            <w:pPr>
              <w:pStyle w:val="Newparagraph"/>
              <w:spacing w:line="240" w:lineRule="auto"/>
              <w:ind w:firstLine="0"/>
              <w:jc w:val="center"/>
              <w:rPr>
                <w:rFonts w:ascii="Garamond" w:hAnsi="Garamond"/>
                <w:sz w:val="20"/>
                <w:szCs w:val="20"/>
              </w:rPr>
            </w:pPr>
            <w:r>
              <w:rPr>
                <w:rFonts w:ascii="Garamond" w:hAnsi="Garamond"/>
                <w:sz w:val="20"/>
                <w:szCs w:val="20"/>
              </w:rPr>
              <w:t>-</w:t>
            </w:r>
          </w:p>
        </w:tc>
        <w:tc>
          <w:tcPr>
            <w:tcW w:w="0" w:type="auto"/>
            <w:shd w:val="clear" w:color="auto" w:fill="auto"/>
            <w:vAlign w:val="center"/>
          </w:tcPr>
          <w:p w14:paraId="68929301"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-414.223</w:t>
            </w:r>
          </w:p>
          <w:p w14:paraId="61959DD2" w14:textId="5A1E7BB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5E7DA420"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-380.132</w:t>
            </w:r>
          </w:p>
          <w:p w14:paraId="4992B1CB" w14:textId="150E4EB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tcPr>
          <w:p w14:paraId="60EFB72C"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-225.709</w:t>
            </w:r>
          </w:p>
          <w:p w14:paraId="07F01F47" w14:textId="6752FF4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(0.07)</w:t>
            </w:r>
          </w:p>
        </w:tc>
        <w:tc>
          <w:tcPr>
            <w:tcW w:w="0" w:type="auto"/>
            <w:shd w:val="clear" w:color="auto" w:fill="auto"/>
          </w:tcPr>
          <w:p w14:paraId="56CE1DD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488.235</w:t>
            </w:r>
          </w:p>
          <w:p w14:paraId="0CC1BC6C" w14:textId="3C5CAC4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4A4A2FC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690.583</w:t>
            </w:r>
          </w:p>
          <w:p w14:paraId="10511451" w14:textId="1B18D00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21F13605"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623.668</w:t>
            </w:r>
          </w:p>
          <w:p w14:paraId="3968ECF9" w14:textId="3DB22E5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0AB64EB4" w14:textId="77777777" w:rsidTr="00491595">
        <w:trPr>
          <w:jc w:val="center"/>
        </w:trPr>
        <w:tc>
          <w:tcPr>
            <w:tcW w:w="0" w:type="auto"/>
            <w:shd w:val="clear" w:color="auto" w:fill="auto"/>
            <w:vAlign w:val="center"/>
          </w:tcPr>
          <w:p w14:paraId="08F4A846"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Gts</w:t>
            </w:r>
            <w:proofErr w:type="spellEnd"/>
          </w:p>
        </w:tc>
        <w:tc>
          <w:tcPr>
            <w:tcW w:w="0" w:type="auto"/>
            <w:shd w:val="clear" w:color="auto" w:fill="auto"/>
            <w:vAlign w:val="center"/>
          </w:tcPr>
          <w:p w14:paraId="21EAE7E1"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-0.040</w:t>
            </w:r>
          </w:p>
          <w:p w14:paraId="62328117" w14:textId="4BCE678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68F4B36" w14:textId="48664FC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02453A20" w14:textId="180F65C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76174C82"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-0.055</w:t>
            </w:r>
          </w:p>
          <w:p w14:paraId="34B455A3" w14:textId="76DF06A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(0.25)</w:t>
            </w:r>
          </w:p>
        </w:tc>
        <w:tc>
          <w:tcPr>
            <w:tcW w:w="0" w:type="auto"/>
            <w:shd w:val="clear" w:color="auto" w:fill="auto"/>
            <w:vAlign w:val="center"/>
          </w:tcPr>
          <w:p w14:paraId="0546170D" w14:textId="650EC5AD" w:rsidR="00CA49AC" w:rsidRPr="00B57AB7" w:rsidRDefault="00CA49AC" w:rsidP="00491595">
            <w:pPr>
              <w:pStyle w:val="Newparagraph"/>
              <w:tabs>
                <w:tab w:val="left" w:pos="1089"/>
              </w:tabs>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6CEEF01D" w14:textId="02C260A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tcPr>
          <w:p w14:paraId="77A989B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0.067</w:t>
            </w:r>
          </w:p>
          <w:p w14:paraId="7EB5D5FE" w14:textId="3E15FD5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(0.03)</w:t>
            </w:r>
          </w:p>
        </w:tc>
        <w:tc>
          <w:tcPr>
            <w:tcW w:w="0" w:type="auto"/>
            <w:shd w:val="clear" w:color="auto" w:fill="auto"/>
          </w:tcPr>
          <w:p w14:paraId="20DF6B1C"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tcPr>
          <w:p w14:paraId="361CD223"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r>
      <w:tr w:rsidR="00CA49AC" w:rsidRPr="00B57AB7" w14:paraId="15917D67" w14:textId="77777777" w:rsidTr="00491595">
        <w:trPr>
          <w:jc w:val="center"/>
        </w:trPr>
        <w:tc>
          <w:tcPr>
            <w:tcW w:w="0" w:type="auto"/>
            <w:shd w:val="clear" w:color="auto" w:fill="auto"/>
            <w:vAlign w:val="center"/>
          </w:tcPr>
          <w:p w14:paraId="0EF5F588"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Gcs</w:t>
            </w:r>
            <w:proofErr w:type="spellEnd"/>
          </w:p>
        </w:tc>
        <w:tc>
          <w:tcPr>
            <w:tcW w:w="0" w:type="auto"/>
            <w:shd w:val="clear" w:color="auto" w:fill="auto"/>
            <w:vAlign w:val="center"/>
          </w:tcPr>
          <w:p w14:paraId="0CD92758" w14:textId="21C1418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0DFB28D7"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-0.046</w:t>
            </w:r>
          </w:p>
          <w:p w14:paraId="4D22F5D8" w14:textId="775A894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13E3843" w14:textId="6752874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5B01362F" w14:textId="7603BD1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0879F8F2"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0.071</w:t>
            </w:r>
          </w:p>
          <w:p w14:paraId="098BABBE" w14:textId="4A50215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(0.12)</w:t>
            </w:r>
          </w:p>
        </w:tc>
        <w:tc>
          <w:tcPr>
            <w:tcW w:w="0" w:type="auto"/>
            <w:shd w:val="clear" w:color="auto" w:fill="auto"/>
            <w:vAlign w:val="center"/>
          </w:tcPr>
          <w:p w14:paraId="4E484847" w14:textId="7F1D21F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4609A4BC" w14:textId="3701D594"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tcPr>
          <w:p w14:paraId="6CA4B8D0" w14:textId="77777777" w:rsidR="00CA49AC" w:rsidRPr="00B57AB7" w:rsidRDefault="00CA49AC" w:rsidP="00491595">
            <w:pPr>
              <w:pStyle w:val="Newparagraph"/>
              <w:tabs>
                <w:tab w:val="left" w:pos="1089"/>
              </w:tabs>
              <w:spacing w:line="240" w:lineRule="auto"/>
              <w:ind w:firstLine="0"/>
              <w:jc w:val="center"/>
              <w:rPr>
                <w:rFonts w:ascii="Garamond" w:hAnsi="Garamond"/>
                <w:sz w:val="20"/>
                <w:szCs w:val="20"/>
                <w:lang w:val="en-US"/>
              </w:rPr>
            </w:pPr>
            <w:r w:rsidRPr="00B57AB7">
              <w:rPr>
                <w:rFonts w:ascii="Garamond" w:hAnsi="Garamond"/>
                <w:sz w:val="20"/>
                <w:szCs w:val="20"/>
                <w:lang w:val="en-US"/>
              </w:rPr>
              <w:t>0.141</w:t>
            </w:r>
          </w:p>
          <w:p w14:paraId="05413C63" w14:textId="0652E4F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32B64568" w14:textId="276DCB82" w:rsidR="00CA49AC" w:rsidRPr="00B57AB7" w:rsidRDefault="00CA49AC" w:rsidP="00491595">
            <w:pPr>
              <w:pStyle w:val="Newparagraph"/>
              <w:spacing w:line="240" w:lineRule="auto"/>
              <w:ind w:firstLine="0"/>
              <w:jc w:val="center"/>
              <w:rPr>
                <w:rFonts w:ascii="Garamond" w:hAnsi="Garamond"/>
                <w:sz w:val="20"/>
                <w:szCs w:val="20"/>
                <w:lang w:val="en-US"/>
              </w:rPr>
            </w:pPr>
          </w:p>
        </w:tc>
      </w:tr>
      <w:tr w:rsidR="00CA49AC" w:rsidRPr="00B57AB7" w14:paraId="2B835B45" w14:textId="77777777" w:rsidTr="00491595">
        <w:trPr>
          <w:jc w:val="center"/>
        </w:trPr>
        <w:tc>
          <w:tcPr>
            <w:tcW w:w="0" w:type="auto"/>
            <w:shd w:val="clear" w:color="auto" w:fill="auto"/>
            <w:vAlign w:val="center"/>
          </w:tcPr>
          <w:p w14:paraId="09848B00"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Gks</w:t>
            </w:r>
            <w:proofErr w:type="spellEnd"/>
          </w:p>
        </w:tc>
        <w:tc>
          <w:tcPr>
            <w:tcW w:w="0" w:type="auto"/>
            <w:shd w:val="clear" w:color="auto" w:fill="auto"/>
            <w:vAlign w:val="center"/>
          </w:tcPr>
          <w:p w14:paraId="3CD5236A" w14:textId="641D422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57BC7DFC" w14:textId="517FC05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D01975A"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-0.105</w:t>
            </w:r>
          </w:p>
          <w:p w14:paraId="51698F3A" w14:textId="31182CD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9A88134" w14:textId="1BACBC2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30719FA1" w14:textId="4CBAD94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372EE3C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-1.129</w:t>
            </w:r>
          </w:p>
          <w:p w14:paraId="7CFE8212" w14:textId="1CE4C80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4AD0DD28" w14:textId="38C1965A"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49C121AB" w14:textId="412EBAD0"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3526DD07" w14:textId="77777777" w:rsidR="00CA49AC" w:rsidRPr="00B57AB7" w:rsidRDefault="00CA49AC" w:rsidP="00491595">
            <w:pPr>
              <w:spacing w:line="240" w:lineRule="auto"/>
              <w:jc w:val="center"/>
              <w:rPr>
                <w:rFonts w:ascii="Garamond" w:hAnsi="Garamond"/>
                <w:sz w:val="20"/>
                <w:szCs w:val="20"/>
                <w:lang w:val="en-US"/>
              </w:rPr>
            </w:pPr>
            <w:r w:rsidRPr="00B57AB7">
              <w:rPr>
                <w:rFonts w:ascii="Garamond" w:hAnsi="Garamond"/>
                <w:sz w:val="20"/>
                <w:szCs w:val="20"/>
                <w:lang w:val="en-US"/>
              </w:rPr>
              <w:t>-0.143</w:t>
            </w:r>
          </w:p>
          <w:p w14:paraId="4E158B07" w14:textId="2EFA34B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68D4A994" w14:textId="77777777" w:rsidTr="00491595">
        <w:trPr>
          <w:jc w:val="center"/>
        </w:trPr>
        <w:tc>
          <w:tcPr>
            <w:tcW w:w="0" w:type="auto"/>
            <w:gridSpan w:val="10"/>
            <w:shd w:val="clear" w:color="auto" w:fill="auto"/>
            <w:vAlign w:val="center"/>
          </w:tcPr>
          <w:p w14:paraId="695123BB"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r>
      <w:tr w:rsidR="007A262E" w:rsidRPr="00B57AB7" w14:paraId="0EC7B0D4" w14:textId="77777777" w:rsidTr="00491595">
        <w:trPr>
          <w:jc w:val="center"/>
        </w:trPr>
        <w:tc>
          <w:tcPr>
            <w:tcW w:w="0" w:type="auto"/>
            <w:shd w:val="clear" w:color="auto" w:fill="auto"/>
            <w:vAlign w:val="center"/>
          </w:tcPr>
          <w:p w14:paraId="417A7B24"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AR(2)</w:t>
            </w:r>
          </w:p>
        </w:tc>
        <w:tc>
          <w:tcPr>
            <w:tcW w:w="0" w:type="auto"/>
            <w:shd w:val="clear" w:color="auto" w:fill="auto"/>
            <w:vAlign w:val="center"/>
          </w:tcPr>
          <w:p w14:paraId="564A41B8"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1.79</w:t>
            </w:r>
          </w:p>
          <w:p w14:paraId="4123805D" w14:textId="79C81F1C"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w:t>
            </w:r>
          </w:p>
        </w:tc>
        <w:tc>
          <w:tcPr>
            <w:tcW w:w="0" w:type="auto"/>
            <w:shd w:val="clear" w:color="auto" w:fill="auto"/>
            <w:vAlign w:val="center"/>
          </w:tcPr>
          <w:p w14:paraId="0D5E6B43"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1.32</w:t>
            </w:r>
          </w:p>
          <w:p w14:paraId="45BC8BD3" w14:textId="7A45A701"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(0.19)</w:t>
            </w:r>
          </w:p>
        </w:tc>
        <w:tc>
          <w:tcPr>
            <w:tcW w:w="0" w:type="auto"/>
            <w:shd w:val="clear" w:color="auto" w:fill="auto"/>
            <w:vAlign w:val="center"/>
          </w:tcPr>
          <w:p w14:paraId="5D24BE02"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1.24</w:t>
            </w:r>
          </w:p>
          <w:p w14:paraId="3F463159" w14:textId="659A3B40"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(0.21)</w:t>
            </w:r>
          </w:p>
        </w:tc>
        <w:tc>
          <w:tcPr>
            <w:tcW w:w="0" w:type="auto"/>
            <w:shd w:val="clear" w:color="auto" w:fill="auto"/>
            <w:vAlign w:val="center"/>
          </w:tcPr>
          <w:p w14:paraId="28084133"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1.30</w:t>
            </w:r>
          </w:p>
          <w:p w14:paraId="64F7DE8D" w14:textId="5FBA0230"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(0.19</w:t>
            </w:r>
            <w:r w:rsidRPr="00B57AB7">
              <w:rPr>
                <w:rFonts w:ascii="Garamond" w:hAnsi="Garamond"/>
                <w:sz w:val="20"/>
                <w:szCs w:val="20"/>
              </w:rPr>
              <w:t>)</w:t>
            </w:r>
          </w:p>
        </w:tc>
        <w:tc>
          <w:tcPr>
            <w:tcW w:w="0" w:type="auto"/>
            <w:shd w:val="clear" w:color="auto" w:fill="auto"/>
            <w:vAlign w:val="center"/>
          </w:tcPr>
          <w:p w14:paraId="7DF2E245"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1.29</w:t>
            </w:r>
          </w:p>
          <w:p w14:paraId="6E2ED1CE" w14:textId="69DF746A"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(0.20</w:t>
            </w:r>
            <w:r w:rsidRPr="00B57AB7">
              <w:rPr>
                <w:rFonts w:ascii="Garamond" w:hAnsi="Garamond"/>
                <w:sz w:val="20"/>
                <w:szCs w:val="20"/>
              </w:rPr>
              <w:t>)</w:t>
            </w:r>
          </w:p>
        </w:tc>
        <w:tc>
          <w:tcPr>
            <w:tcW w:w="0" w:type="auto"/>
            <w:shd w:val="clear" w:color="auto" w:fill="auto"/>
            <w:vAlign w:val="center"/>
          </w:tcPr>
          <w:p w14:paraId="3C81F062"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1.69</w:t>
            </w:r>
          </w:p>
          <w:p w14:paraId="7E3E97ED" w14:textId="5FEFAC54"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(0.09</w:t>
            </w:r>
            <w:r w:rsidRPr="00B57AB7">
              <w:rPr>
                <w:rFonts w:ascii="Garamond" w:hAnsi="Garamond"/>
                <w:sz w:val="20"/>
                <w:szCs w:val="20"/>
              </w:rPr>
              <w:t>)</w:t>
            </w:r>
          </w:p>
        </w:tc>
        <w:tc>
          <w:tcPr>
            <w:tcW w:w="0" w:type="auto"/>
            <w:shd w:val="clear" w:color="auto" w:fill="auto"/>
            <w:vAlign w:val="center"/>
          </w:tcPr>
          <w:p w14:paraId="2F2B2B25"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1.34</w:t>
            </w:r>
          </w:p>
          <w:p w14:paraId="2D3D7B4E" w14:textId="2622E5C9"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w:t>
            </w:r>
            <w:r>
              <w:rPr>
                <w:rFonts w:ascii="Garamond" w:hAnsi="Garamond"/>
                <w:sz w:val="20"/>
                <w:szCs w:val="20"/>
                <w:lang w:val="en-US"/>
              </w:rPr>
              <w:t>18</w:t>
            </w:r>
            <w:r w:rsidRPr="00B57AB7">
              <w:rPr>
                <w:rFonts w:ascii="Garamond" w:hAnsi="Garamond"/>
                <w:sz w:val="20"/>
                <w:szCs w:val="20"/>
                <w:lang w:val="en-US"/>
              </w:rPr>
              <w:t>)</w:t>
            </w:r>
          </w:p>
        </w:tc>
        <w:tc>
          <w:tcPr>
            <w:tcW w:w="0" w:type="auto"/>
            <w:shd w:val="clear" w:color="auto" w:fill="auto"/>
            <w:vAlign w:val="center"/>
          </w:tcPr>
          <w:p w14:paraId="6941B7E7"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0.54</w:t>
            </w:r>
          </w:p>
          <w:p w14:paraId="4266895C" w14:textId="19390E7C"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w:t>
            </w:r>
            <w:r>
              <w:rPr>
                <w:rFonts w:ascii="Garamond" w:hAnsi="Garamond"/>
                <w:sz w:val="20"/>
                <w:szCs w:val="20"/>
                <w:lang w:val="en-US"/>
              </w:rPr>
              <w:t>59</w:t>
            </w:r>
            <w:r w:rsidRPr="00B57AB7">
              <w:rPr>
                <w:rFonts w:ascii="Garamond" w:hAnsi="Garamond"/>
                <w:sz w:val="20"/>
                <w:szCs w:val="20"/>
                <w:lang w:val="en-US"/>
              </w:rPr>
              <w:t>)</w:t>
            </w:r>
          </w:p>
        </w:tc>
        <w:tc>
          <w:tcPr>
            <w:tcW w:w="0" w:type="auto"/>
            <w:shd w:val="clear" w:color="auto" w:fill="auto"/>
            <w:vAlign w:val="center"/>
          </w:tcPr>
          <w:p w14:paraId="79476CBD"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0.51</w:t>
            </w:r>
          </w:p>
          <w:p w14:paraId="759C7880" w14:textId="4423746A"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w:t>
            </w:r>
            <w:r>
              <w:rPr>
                <w:rFonts w:ascii="Garamond" w:hAnsi="Garamond"/>
                <w:sz w:val="20"/>
                <w:szCs w:val="20"/>
                <w:lang w:val="en-US"/>
              </w:rPr>
              <w:t>61</w:t>
            </w:r>
            <w:r w:rsidRPr="00B57AB7">
              <w:rPr>
                <w:rFonts w:ascii="Garamond" w:hAnsi="Garamond"/>
                <w:sz w:val="20"/>
                <w:szCs w:val="20"/>
                <w:lang w:val="en-US"/>
              </w:rPr>
              <w:t>)</w:t>
            </w:r>
          </w:p>
        </w:tc>
      </w:tr>
      <w:tr w:rsidR="007A262E" w:rsidRPr="00B57AB7" w14:paraId="0D73B211" w14:textId="77777777" w:rsidTr="00491595">
        <w:trPr>
          <w:jc w:val="center"/>
        </w:trPr>
        <w:tc>
          <w:tcPr>
            <w:tcW w:w="0" w:type="auto"/>
            <w:shd w:val="clear" w:color="auto" w:fill="auto"/>
            <w:vAlign w:val="center"/>
          </w:tcPr>
          <w:p w14:paraId="1DD75EE7" w14:textId="10034CE2"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argan</w:t>
            </w:r>
          </w:p>
        </w:tc>
        <w:tc>
          <w:tcPr>
            <w:tcW w:w="0" w:type="auto"/>
            <w:shd w:val="clear" w:color="auto" w:fill="auto"/>
            <w:vAlign w:val="center"/>
          </w:tcPr>
          <w:p w14:paraId="68DFEEFF"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136.95</w:t>
            </w:r>
          </w:p>
          <w:p w14:paraId="14E7ABCD" w14:textId="71E0AA4A"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(0.12)</w:t>
            </w:r>
          </w:p>
        </w:tc>
        <w:tc>
          <w:tcPr>
            <w:tcW w:w="0" w:type="auto"/>
            <w:shd w:val="clear" w:color="auto" w:fill="auto"/>
            <w:vAlign w:val="center"/>
          </w:tcPr>
          <w:p w14:paraId="52F1CA2C"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137.48</w:t>
            </w:r>
          </w:p>
          <w:p w14:paraId="768FA055" w14:textId="20E5EC6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(0.12)</w:t>
            </w:r>
          </w:p>
        </w:tc>
        <w:tc>
          <w:tcPr>
            <w:tcW w:w="0" w:type="auto"/>
            <w:shd w:val="clear" w:color="auto" w:fill="auto"/>
            <w:vAlign w:val="center"/>
          </w:tcPr>
          <w:p w14:paraId="2FAAECE8"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135.73</w:t>
            </w:r>
          </w:p>
          <w:p w14:paraId="41D888EE" w14:textId="4B4F50AE"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(0.14)</w:t>
            </w:r>
          </w:p>
        </w:tc>
        <w:tc>
          <w:tcPr>
            <w:tcW w:w="0" w:type="auto"/>
            <w:shd w:val="clear" w:color="auto" w:fill="auto"/>
            <w:vAlign w:val="center"/>
          </w:tcPr>
          <w:p w14:paraId="08B2EC5C"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30.18</w:t>
            </w:r>
          </w:p>
          <w:p w14:paraId="36989933" w14:textId="532230BB"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(0.97</w:t>
            </w:r>
            <w:r w:rsidRPr="00B57AB7">
              <w:rPr>
                <w:rFonts w:ascii="Garamond" w:hAnsi="Garamond"/>
                <w:sz w:val="20"/>
                <w:szCs w:val="20"/>
              </w:rPr>
              <w:t>)</w:t>
            </w:r>
          </w:p>
        </w:tc>
        <w:tc>
          <w:tcPr>
            <w:tcW w:w="0" w:type="auto"/>
            <w:shd w:val="clear" w:color="auto" w:fill="auto"/>
            <w:vAlign w:val="center"/>
          </w:tcPr>
          <w:p w14:paraId="61B44F52"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53.09</w:t>
            </w:r>
          </w:p>
          <w:p w14:paraId="25DE3EAC" w14:textId="5D53F160"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(0.25</w:t>
            </w:r>
            <w:r w:rsidRPr="00B57AB7">
              <w:rPr>
                <w:rFonts w:ascii="Garamond" w:hAnsi="Garamond"/>
                <w:sz w:val="20"/>
                <w:szCs w:val="20"/>
              </w:rPr>
              <w:t>)</w:t>
            </w:r>
          </w:p>
        </w:tc>
        <w:tc>
          <w:tcPr>
            <w:tcW w:w="0" w:type="auto"/>
            <w:shd w:val="clear" w:color="auto" w:fill="auto"/>
            <w:vAlign w:val="center"/>
          </w:tcPr>
          <w:p w14:paraId="785FE1FD"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24.63</w:t>
            </w:r>
          </w:p>
          <w:p w14:paraId="439F216A" w14:textId="116D9941"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(0.99</w:t>
            </w:r>
            <w:r w:rsidRPr="00B57AB7">
              <w:rPr>
                <w:rFonts w:ascii="Garamond" w:hAnsi="Garamond"/>
                <w:sz w:val="20"/>
                <w:szCs w:val="20"/>
              </w:rPr>
              <w:t>)</w:t>
            </w:r>
          </w:p>
        </w:tc>
        <w:tc>
          <w:tcPr>
            <w:tcW w:w="0" w:type="auto"/>
            <w:shd w:val="clear" w:color="auto" w:fill="auto"/>
            <w:vAlign w:val="center"/>
          </w:tcPr>
          <w:p w14:paraId="6F099DBA"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46.67</w:t>
            </w:r>
          </w:p>
          <w:p w14:paraId="687037A5" w14:textId="5EF4EA1F"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w:t>
            </w:r>
            <w:r>
              <w:rPr>
                <w:rFonts w:ascii="Garamond" w:hAnsi="Garamond"/>
                <w:sz w:val="20"/>
                <w:szCs w:val="20"/>
                <w:lang w:val="en-US"/>
              </w:rPr>
              <w:t>53</w:t>
            </w:r>
            <w:r w:rsidRPr="00B57AB7">
              <w:rPr>
                <w:rFonts w:ascii="Garamond" w:hAnsi="Garamond"/>
                <w:sz w:val="20"/>
                <w:szCs w:val="20"/>
                <w:lang w:val="en-US"/>
              </w:rPr>
              <w:t>)</w:t>
            </w:r>
          </w:p>
        </w:tc>
        <w:tc>
          <w:tcPr>
            <w:tcW w:w="0" w:type="auto"/>
            <w:shd w:val="clear" w:color="auto" w:fill="auto"/>
            <w:vAlign w:val="center"/>
          </w:tcPr>
          <w:p w14:paraId="7EA9D03C"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51.29</w:t>
            </w:r>
          </w:p>
          <w:p w14:paraId="6E05D891" w14:textId="53A68502"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w:t>
            </w:r>
            <w:r>
              <w:rPr>
                <w:rFonts w:ascii="Garamond" w:hAnsi="Garamond"/>
                <w:sz w:val="20"/>
                <w:szCs w:val="20"/>
                <w:lang w:val="en-US"/>
              </w:rPr>
              <w:t>72</w:t>
            </w:r>
            <w:r w:rsidRPr="00B57AB7">
              <w:rPr>
                <w:rFonts w:ascii="Garamond" w:hAnsi="Garamond"/>
                <w:sz w:val="20"/>
                <w:szCs w:val="20"/>
                <w:lang w:val="en-US"/>
              </w:rPr>
              <w:t>)</w:t>
            </w:r>
          </w:p>
        </w:tc>
        <w:tc>
          <w:tcPr>
            <w:tcW w:w="0" w:type="auto"/>
            <w:shd w:val="clear" w:color="auto" w:fill="auto"/>
            <w:vAlign w:val="center"/>
          </w:tcPr>
          <w:p w14:paraId="3B7147DE" w14:textId="77777777"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49.13</w:t>
            </w:r>
          </w:p>
          <w:p w14:paraId="76D611BF" w14:textId="03DED32A" w:rsidR="007A262E" w:rsidRPr="00B57AB7" w:rsidRDefault="007A262E"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w:t>
            </w:r>
            <w:r>
              <w:rPr>
                <w:rFonts w:ascii="Garamond" w:hAnsi="Garamond"/>
                <w:sz w:val="20"/>
                <w:szCs w:val="20"/>
                <w:lang w:val="en-US"/>
              </w:rPr>
              <w:t>79</w:t>
            </w:r>
            <w:r w:rsidRPr="00B57AB7">
              <w:rPr>
                <w:rFonts w:ascii="Garamond" w:hAnsi="Garamond"/>
                <w:sz w:val="20"/>
                <w:szCs w:val="20"/>
                <w:lang w:val="en-US"/>
              </w:rPr>
              <w:t>)</w:t>
            </w:r>
          </w:p>
        </w:tc>
      </w:tr>
    </w:tbl>
    <w:p w14:paraId="7C3688E3" w14:textId="14FDE732" w:rsidR="00F65B49" w:rsidRDefault="00F65B49" w:rsidP="00F65B49">
      <w:pPr>
        <w:pStyle w:val="Newparagraph"/>
        <w:spacing w:before="120" w:after="120" w:line="276" w:lineRule="auto"/>
        <w:ind w:firstLine="0"/>
        <w:jc w:val="both"/>
        <w:rPr>
          <w:rFonts w:ascii="Garamond" w:hAnsi="Garamond"/>
          <w:lang w:val="en-US"/>
        </w:rPr>
      </w:pPr>
      <w:r>
        <w:rPr>
          <w:rFonts w:ascii="Garamond" w:hAnsi="Garamond"/>
          <w:lang w:val="en-US"/>
        </w:rPr>
        <w:t>Table </w:t>
      </w:r>
      <w:r w:rsidR="007A262E">
        <w:rPr>
          <w:rFonts w:ascii="Garamond" w:hAnsi="Garamond"/>
          <w:lang w:val="en-US"/>
        </w:rPr>
        <w:t xml:space="preserve">3 shows </w:t>
      </w:r>
      <w:r>
        <w:rPr>
          <w:rFonts w:ascii="Garamond" w:hAnsi="Garamond"/>
          <w:lang w:val="en-US"/>
        </w:rPr>
        <w:t>that the financial health of banks in oil-exporting countries has a positive impact on the ability of banks to use their equity to generate profits. On the other hand, bigger and liquid banks in oil-importing countries are less profitable.</w:t>
      </w:r>
      <w:r w:rsidRPr="00F65B49">
        <w:rPr>
          <w:rFonts w:ascii="Garamond" w:hAnsi="Garamond"/>
          <w:lang w:val="en-US"/>
        </w:rPr>
        <w:t xml:space="preserve"> </w:t>
      </w:r>
      <w:r>
        <w:rPr>
          <w:rFonts w:ascii="Garamond" w:hAnsi="Garamond"/>
          <w:lang w:val="en-US"/>
        </w:rPr>
        <w:t xml:space="preserve">Furthermore, similar to ROA, return on equity is persistent over time and responds as expected to variations in oil prices. Finally, our results reveal </w:t>
      </w:r>
      <w:r w:rsidR="007A262E">
        <w:rPr>
          <w:rFonts w:ascii="Garamond" w:hAnsi="Garamond"/>
          <w:lang w:val="en-US"/>
        </w:rPr>
        <w:t xml:space="preserve">that while current spending has a positive </w:t>
      </w:r>
      <w:r w:rsidR="00F9332A">
        <w:rPr>
          <w:rFonts w:ascii="Garamond" w:hAnsi="Garamond"/>
          <w:lang w:val="en-US"/>
        </w:rPr>
        <w:t xml:space="preserve">effect </w:t>
      </w:r>
      <w:r w:rsidR="007A262E">
        <w:rPr>
          <w:rFonts w:ascii="Garamond" w:hAnsi="Garamond"/>
          <w:lang w:val="en-US"/>
        </w:rPr>
        <w:t xml:space="preserve">on the leverage efficiency of banks in oil-exporting countries, </w:t>
      </w:r>
      <w:r w:rsidR="00DB427E">
        <w:rPr>
          <w:rFonts w:ascii="Garamond" w:hAnsi="Garamond"/>
          <w:lang w:val="en-US"/>
        </w:rPr>
        <w:t>it</w:t>
      </w:r>
      <w:r w:rsidR="007A262E">
        <w:rPr>
          <w:rFonts w:ascii="Garamond" w:hAnsi="Garamond"/>
          <w:lang w:val="en-US"/>
        </w:rPr>
        <w:t xml:space="preserve"> does not affect banks from oil importers. On the other hand</w:t>
      </w:r>
      <w:r w:rsidR="00F9332A">
        <w:rPr>
          <w:rFonts w:ascii="Garamond" w:hAnsi="Garamond"/>
          <w:lang w:val="en-US"/>
        </w:rPr>
        <w:t xml:space="preserve">, capital spending has a detrimental effect on ROE in both sub-samples. </w:t>
      </w:r>
    </w:p>
    <w:p w14:paraId="517D09B6" w14:textId="2D825675" w:rsidR="00CA49AC" w:rsidRPr="00CA49AC" w:rsidRDefault="00CA49AC" w:rsidP="00B258BB">
      <w:pPr>
        <w:pStyle w:val="Paragraph"/>
        <w:spacing w:line="240" w:lineRule="auto"/>
        <w:jc w:val="center"/>
        <w:rPr>
          <w:rFonts w:ascii="Garamond" w:hAnsi="Garamond"/>
          <w:b/>
          <w:bCs/>
          <w:lang w:val="en-US"/>
        </w:rPr>
      </w:pPr>
      <w:r w:rsidRPr="00B57AB7">
        <w:rPr>
          <w:rFonts w:ascii="Garamond" w:hAnsi="Garamond"/>
          <w:b/>
          <w:bCs/>
          <w:lang w:val="en-US"/>
        </w:rPr>
        <w:t xml:space="preserve">Table </w:t>
      </w:r>
      <w:r w:rsidR="007A262E">
        <w:rPr>
          <w:rFonts w:ascii="Garamond" w:hAnsi="Garamond"/>
          <w:b/>
          <w:bCs/>
          <w:lang w:val="en-US"/>
        </w:rPr>
        <w:t>4</w:t>
      </w:r>
      <w:r w:rsidRPr="00B57AB7">
        <w:rPr>
          <w:rFonts w:ascii="Garamond" w:hAnsi="Garamond"/>
          <w:b/>
          <w:bCs/>
          <w:lang w:val="en-US"/>
        </w:rPr>
        <w:t xml:space="preserve">: The estimation results for the </w:t>
      </w:r>
      <w:r>
        <w:rPr>
          <w:rFonts w:ascii="Garamond" w:hAnsi="Garamond"/>
          <w:b/>
          <w:bCs/>
          <w:lang w:val="en-US"/>
        </w:rPr>
        <w:t>LNDG</w:t>
      </w:r>
      <w:r w:rsidRPr="00B57AB7">
        <w:rPr>
          <w:rFonts w:ascii="Garamond" w:hAnsi="Garamond"/>
          <w:b/>
          <w:bCs/>
          <w:lang w:val="en-US"/>
        </w:rPr>
        <w:t xml:space="preserve"> models</w:t>
      </w:r>
    </w:p>
    <w:tbl>
      <w:tblPr>
        <w:tblStyle w:val="TableGrid"/>
        <w:tblW w:w="0" w:type="auto"/>
        <w:jc w:val="center"/>
        <w:tblLook w:val="04A0" w:firstRow="1" w:lastRow="0" w:firstColumn="1" w:lastColumn="0" w:noHBand="0" w:noVBand="1"/>
      </w:tblPr>
      <w:tblGrid>
        <w:gridCol w:w="1066"/>
        <w:gridCol w:w="698"/>
        <w:gridCol w:w="698"/>
        <w:gridCol w:w="698"/>
        <w:gridCol w:w="698"/>
        <w:gridCol w:w="698"/>
        <w:gridCol w:w="698"/>
        <w:gridCol w:w="729"/>
        <w:gridCol w:w="729"/>
        <w:gridCol w:w="729"/>
      </w:tblGrid>
      <w:tr w:rsidR="00CA49AC" w:rsidRPr="00B57AB7" w14:paraId="46A3278B" w14:textId="77777777" w:rsidTr="00491595">
        <w:trPr>
          <w:jc w:val="center"/>
        </w:trPr>
        <w:tc>
          <w:tcPr>
            <w:tcW w:w="0" w:type="auto"/>
            <w:shd w:val="clear" w:color="auto" w:fill="auto"/>
            <w:vAlign w:val="center"/>
          </w:tcPr>
          <w:p w14:paraId="7F97462F"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gridSpan w:val="3"/>
            <w:shd w:val="clear" w:color="auto" w:fill="auto"/>
            <w:vAlign w:val="center"/>
          </w:tcPr>
          <w:p w14:paraId="696C84A0"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Full sample</w:t>
            </w:r>
          </w:p>
        </w:tc>
        <w:tc>
          <w:tcPr>
            <w:tcW w:w="0" w:type="auto"/>
            <w:gridSpan w:val="3"/>
            <w:shd w:val="clear" w:color="auto" w:fill="auto"/>
            <w:vAlign w:val="center"/>
          </w:tcPr>
          <w:p w14:paraId="0328E6F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Oil importers</w:t>
            </w:r>
          </w:p>
        </w:tc>
        <w:tc>
          <w:tcPr>
            <w:tcW w:w="0" w:type="auto"/>
            <w:gridSpan w:val="3"/>
            <w:shd w:val="clear" w:color="auto" w:fill="auto"/>
            <w:vAlign w:val="center"/>
          </w:tcPr>
          <w:p w14:paraId="53322ADC"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Oil exporters</w:t>
            </w:r>
          </w:p>
        </w:tc>
      </w:tr>
      <w:tr w:rsidR="00CA49AC" w:rsidRPr="00B57AB7" w14:paraId="1FFF3D1B" w14:textId="77777777" w:rsidTr="00491595">
        <w:trPr>
          <w:jc w:val="center"/>
        </w:trPr>
        <w:tc>
          <w:tcPr>
            <w:tcW w:w="0" w:type="auto"/>
            <w:shd w:val="clear" w:color="auto" w:fill="auto"/>
            <w:vAlign w:val="center"/>
          </w:tcPr>
          <w:p w14:paraId="7C30E65F"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7B02B36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w:t>
            </w:r>
          </w:p>
        </w:tc>
        <w:tc>
          <w:tcPr>
            <w:tcW w:w="0" w:type="auto"/>
            <w:shd w:val="clear" w:color="auto" w:fill="auto"/>
            <w:vAlign w:val="center"/>
          </w:tcPr>
          <w:p w14:paraId="31A9A860"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(2)</w:t>
            </w:r>
          </w:p>
        </w:tc>
        <w:tc>
          <w:tcPr>
            <w:tcW w:w="0" w:type="auto"/>
            <w:shd w:val="clear" w:color="auto" w:fill="auto"/>
            <w:vAlign w:val="center"/>
          </w:tcPr>
          <w:p w14:paraId="54AD2DA3"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(3)</w:t>
            </w:r>
          </w:p>
        </w:tc>
        <w:tc>
          <w:tcPr>
            <w:tcW w:w="0" w:type="auto"/>
            <w:shd w:val="clear" w:color="auto" w:fill="auto"/>
            <w:vAlign w:val="center"/>
          </w:tcPr>
          <w:p w14:paraId="12BC99F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(4)</w:t>
            </w:r>
          </w:p>
        </w:tc>
        <w:tc>
          <w:tcPr>
            <w:tcW w:w="0" w:type="auto"/>
            <w:shd w:val="clear" w:color="auto" w:fill="auto"/>
            <w:vAlign w:val="center"/>
          </w:tcPr>
          <w:p w14:paraId="686C353B"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w:t>
            </w:r>
          </w:p>
        </w:tc>
        <w:tc>
          <w:tcPr>
            <w:tcW w:w="0" w:type="auto"/>
            <w:shd w:val="clear" w:color="auto" w:fill="auto"/>
            <w:vAlign w:val="center"/>
          </w:tcPr>
          <w:p w14:paraId="1A430CB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w:t>
            </w:r>
          </w:p>
        </w:tc>
        <w:tc>
          <w:tcPr>
            <w:tcW w:w="0" w:type="auto"/>
            <w:shd w:val="clear" w:color="auto" w:fill="auto"/>
            <w:vAlign w:val="center"/>
          </w:tcPr>
          <w:p w14:paraId="194BEB7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(7)</w:t>
            </w:r>
          </w:p>
        </w:tc>
        <w:tc>
          <w:tcPr>
            <w:tcW w:w="0" w:type="auto"/>
            <w:shd w:val="clear" w:color="auto" w:fill="auto"/>
            <w:vAlign w:val="center"/>
          </w:tcPr>
          <w:p w14:paraId="1094773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(8)</w:t>
            </w:r>
          </w:p>
        </w:tc>
        <w:tc>
          <w:tcPr>
            <w:tcW w:w="0" w:type="auto"/>
            <w:shd w:val="clear" w:color="auto" w:fill="auto"/>
            <w:vAlign w:val="center"/>
          </w:tcPr>
          <w:p w14:paraId="2AAF3E8C"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(9)</w:t>
            </w:r>
          </w:p>
        </w:tc>
      </w:tr>
      <w:tr w:rsidR="00CA49AC" w:rsidRPr="00B57AB7" w14:paraId="487BBF72" w14:textId="77777777" w:rsidTr="00491595">
        <w:trPr>
          <w:jc w:val="center"/>
        </w:trPr>
        <w:tc>
          <w:tcPr>
            <w:tcW w:w="0" w:type="auto"/>
            <w:shd w:val="clear" w:color="auto" w:fill="auto"/>
            <w:vAlign w:val="center"/>
          </w:tcPr>
          <w:p w14:paraId="1DD7E9C9" w14:textId="75573611" w:rsidR="00CA49AC" w:rsidRPr="00B57AB7" w:rsidRDefault="00D062DE" w:rsidP="00491595">
            <w:pPr>
              <w:pStyle w:val="Newparagraph"/>
              <w:spacing w:line="240" w:lineRule="auto"/>
              <w:ind w:firstLine="0"/>
              <w:jc w:val="center"/>
              <w:rPr>
                <w:rFonts w:ascii="Garamond" w:hAnsi="Garamond"/>
                <w:sz w:val="20"/>
                <w:szCs w:val="20"/>
                <w:lang w:val="en-US"/>
              </w:rPr>
            </w:pPr>
            <w:r>
              <w:rPr>
                <w:rFonts w:ascii="Garamond" w:hAnsi="Garamond"/>
                <w:sz w:val="20"/>
                <w:szCs w:val="20"/>
                <w:lang w:val="en-US"/>
              </w:rPr>
              <w:t>LNDG</w:t>
            </w:r>
            <w:r w:rsidR="00CA49AC" w:rsidRPr="00B57AB7">
              <w:rPr>
                <w:rFonts w:ascii="Garamond" w:hAnsi="Garamond"/>
                <w:sz w:val="20"/>
                <w:szCs w:val="20"/>
                <w:lang w:val="en-US"/>
              </w:rPr>
              <w:t>(-1)</w:t>
            </w:r>
          </w:p>
        </w:tc>
        <w:tc>
          <w:tcPr>
            <w:tcW w:w="0" w:type="auto"/>
            <w:shd w:val="clear" w:color="auto" w:fill="auto"/>
            <w:vAlign w:val="center"/>
          </w:tcPr>
          <w:p w14:paraId="13EF777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-0.021</w:t>
            </w:r>
          </w:p>
          <w:p w14:paraId="03CF1902" w14:textId="64C6EB5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(0.52)</w:t>
            </w:r>
          </w:p>
        </w:tc>
        <w:tc>
          <w:tcPr>
            <w:tcW w:w="0" w:type="auto"/>
            <w:shd w:val="clear" w:color="auto" w:fill="auto"/>
            <w:vAlign w:val="center"/>
          </w:tcPr>
          <w:p w14:paraId="3E3F6403"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-0.043</w:t>
            </w:r>
          </w:p>
          <w:p w14:paraId="6642048B" w14:textId="20ECA72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(0.19)</w:t>
            </w:r>
          </w:p>
        </w:tc>
        <w:tc>
          <w:tcPr>
            <w:tcW w:w="0" w:type="auto"/>
            <w:shd w:val="clear" w:color="auto" w:fill="auto"/>
            <w:vAlign w:val="center"/>
          </w:tcPr>
          <w:p w14:paraId="31D53166"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-0.044</w:t>
            </w:r>
          </w:p>
          <w:p w14:paraId="7D7C5AAA" w14:textId="5AD4F2A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(0.24)</w:t>
            </w:r>
          </w:p>
        </w:tc>
        <w:tc>
          <w:tcPr>
            <w:tcW w:w="0" w:type="auto"/>
            <w:shd w:val="clear" w:color="auto" w:fill="auto"/>
            <w:vAlign w:val="center"/>
          </w:tcPr>
          <w:p w14:paraId="50BFEF9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-0.128</w:t>
            </w:r>
          </w:p>
          <w:p w14:paraId="26DAA946" w14:textId="6E5705B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1B82139F"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-0.139</w:t>
            </w:r>
          </w:p>
          <w:p w14:paraId="6F5FE6B6" w14:textId="683776C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32D49D17"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-0.157</w:t>
            </w:r>
          </w:p>
          <w:p w14:paraId="4BC244EA" w14:textId="219B4B4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64B2010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-0.232</w:t>
            </w:r>
          </w:p>
          <w:p w14:paraId="3AA56CAC" w14:textId="1BDDD11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27AC3D7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-0.308</w:t>
            </w:r>
          </w:p>
          <w:p w14:paraId="7126945C" w14:textId="15C0039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255574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-0.161</w:t>
            </w:r>
          </w:p>
          <w:p w14:paraId="2C4404E0" w14:textId="1F02C9F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73E3B6BA" w14:textId="77777777" w:rsidTr="00491595">
        <w:trPr>
          <w:jc w:val="center"/>
        </w:trPr>
        <w:tc>
          <w:tcPr>
            <w:tcW w:w="0" w:type="auto"/>
            <w:shd w:val="clear" w:color="auto" w:fill="auto"/>
            <w:vAlign w:val="center"/>
          </w:tcPr>
          <w:p w14:paraId="3FCFC4A3" w14:textId="25150B1E" w:rsidR="00CA49AC" w:rsidRPr="00B57AB7" w:rsidRDefault="00F9332A" w:rsidP="00491595">
            <w:pPr>
              <w:pStyle w:val="Newparagraph"/>
              <w:spacing w:line="240" w:lineRule="auto"/>
              <w:ind w:firstLine="0"/>
              <w:jc w:val="center"/>
              <w:rPr>
                <w:rFonts w:ascii="Garamond" w:hAnsi="Garamond"/>
                <w:sz w:val="20"/>
                <w:szCs w:val="20"/>
                <w:lang w:val="en-US"/>
              </w:rPr>
            </w:pPr>
            <w:r>
              <w:rPr>
                <w:rFonts w:ascii="Garamond" w:hAnsi="Garamond"/>
                <w:sz w:val="20"/>
                <w:szCs w:val="20"/>
                <w:lang w:val="en-US"/>
              </w:rPr>
              <w:t>LNDG</w:t>
            </w:r>
            <w:r w:rsidRPr="00B57AB7">
              <w:rPr>
                <w:rFonts w:ascii="Garamond" w:hAnsi="Garamond"/>
                <w:sz w:val="20"/>
                <w:szCs w:val="20"/>
                <w:lang w:val="en-US"/>
              </w:rPr>
              <w:t>(-</w:t>
            </w:r>
            <w:r>
              <w:rPr>
                <w:rFonts w:ascii="Garamond" w:hAnsi="Garamond"/>
                <w:sz w:val="20"/>
                <w:szCs w:val="20"/>
                <w:lang w:val="en-US"/>
              </w:rPr>
              <w:t>2</w:t>
            </w:r>
            <w:r w:rsidRPr="00B57AB7">
              <w:rPr>
                <w:rFonts w:ascii="Garamond" w:hAnsi="Garamond"/>
                <w:sz w:val="20"/>
                <w:szCs w:val="20"/>
                <w:lang w:val="en-US"/>
              </w:rPr>
              <w:t>)</w:t>
            </w:r>
          </w:p>
        </w:tc>
        <w:tc>
          <w:tcPr>
            <w:tcW w:w="0" w:type="auto"/>
            <w:shd w:val="clear" w:color="auto" w:fill="auto"/>
            <w:vAlign w:val="center"/>
          </w:tcPr>
          <w:p w14:paraId="366E511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-0.072</w:t>
            </w:r>
          </w:p>
          <w:p w14:paraId="20B782A0" w14:textId="412946A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67876A93"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-0.080</w:t>
            </w:r>
          </w:p>
          <w:p w14:paraId="3B1AECB2" w14:textId="51106C4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7E17E38B"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-0.045</w:t>
            </w:r>
          </w:p>
          <w:p w14:paraId="12F747D3" w14:textId="75814B5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(0.09)</w:t>
            </w:r>
          </w:p>
        </w:tc>
        <w:tc>
          <w:tcPr>
            <w:tcW w:w="0" w:type="auto"/>
            <w:shd w:val="clear" w:color="auto" w:fill="auto"/>
            <w:vAlign w:val="center"/>
          </w:tcPr>
          <w:p w14:paraId="338B375B" w14:textId="5E1F0C79" w:rsidR="00CA49AC" w:rsidRPr="00B57AB7" w:rsidRDefault="00CA49AC" w:rsidP="00491595">
            <w:pPr>
              <w:pStyle w:val="Newparagraph"/>
              <w:spacing w:line="240" w:lineRule="auto"/>
              <w:ind w:firstLine="0"/>
              <w:jc w:val="center"/>
              <w:rPr>
                <w:rFonts w:ascii="Garamond" w:hAnsi="Garamond"/>
                <w:sz w:val="20"/>
                <w:szCs w:val="20"/>
                <w:lang w:val="en-US"/>
              </w:rPr>
            </w:pPr>
            <w:r>
              <w:rPr>
                <w:rFonts w:ascii="Garamond" w:hAnsi="Garamond" w:cs="Calibri"/>
                <w:color w:val="000000"/>
                <w:sz w:val="20"/>
                <w:szCs w:val="20"/>
              </w:rPr>
              <w:t>-</w:t>
            </w:r>
          </w:p>
        </w:tc>
        <w:tc>
          <w:tcPr>
            <w:tcW w:w="0" w:type="auto"/>
            <w:shd w:val="clear" w:color="auto" w:fill="auto"/>
            <w:vAlign w:val="center"/>
          </w:tcPr>
          <w:p w14:paraId="7ED75F64" w14:textId="682E6F2C" w:rsidR="00CA49AC" w:rsidRPr="00B57AB7" w:rsidRDefault="00CA49AC" w:rsidP="00491595">
            <w:pPr>
              <w:pStyle w:val="Newparagraph"/>
              <w:spacing w:line="240" w:lineRule="auto"/>
              <w:ind w:firstLine="0"/>
              <w:jc w:val="center"/>
              <w:rPr>
                <w:rFonts w:ascii="Garamond" w:hAnsi="Garamond"/>
                <w:sz w:val="20"/>
                <w:szCs w:val="20"/>
                <w:lang w:val="en-US"/>
              </w:rPr>
            </w:pPr>
            <w:r>
              <w:rPr>
                <w:rFonts w:ascii="Garamond" w:hAnsi="Garamond"/>
                <w:sz w:val="20"/>
                <w:szCs w:val="20"/>
              </w:rPr>
              <w:t>-</w:t>
            </w:r>
          </w:p>
        </w:tc>
        <w:tc>
          <w:tcPr>
            <w:tcW w:w="0" w:type="auto"/>
            <w:shd w:val="clear" w:color="auto" w:fill="auto"/>
            <w:vAlign w:val="center"/>
          </w:tcPr>
          <w:p w14:paraId="27738E85" w14:textId="586BD66E" w:rsidR="00CA49AC" w:rsidRPr="00B57AB7" w:rsidRDefault="00CA49AC" w:rsidP="00491595">
            <w:pPr>
              <w:pStyle w:val="Newparagraph"/>
              <w:spacing w:line="240" w:lineRule="auto"/>
              <w:ind w:firstLine="0"/>
              <w:jc w:val="center"/>
              <w:rPr>
                <w:rFonts w:ascii="Garamond" w:hAnsi="Garamond"/>
                <w:sz w:val="20"/>
                <w:szCs w:val="20"/>
                <w:lang w:val="en-US"/>
              </w:rPr>
            </w:pPr>
            <w:r>
              <w:rPr>
                <w:rFonts w:ascii="Garamond" w:hAnsi="Garamond"/>
                <w:sz w:val="20"/>
                <w:szCs w:val="20"/>
              </w:rPr>
              <w:t>-</w:t>
            </w:r>
          </w:p>
        </w:tc>
        <w:tc>
          <w:tcPr>
            <w:tcW w:w="0" w:type="auto"/>
            <w:shd w:val="clear" w:color="auto" w:fill="auto"/>
            <w:vAlign w:val="center"/>
          </w:tcPr>
          <w:p w14:paraId="172F3C4A" w14:textId="34F477EF" w:rsidR="00CA49AC" w:rsidRPr="00B57AB7" w:rsidRDefault="00CA49AC" w:rsidP="00491595">
            <w:pPr>
              <w:pStyle w:val="Newparagraph"/>
              <w:spacing w:line="240" w:lineRule="auto"/>
              <w:ind w:firstLine="0"/>
              <w:jc w:val="center"/>
              <w:rPr>
                <w:rFonts w:ascii="Garamond" w:hAnsi="Garamond"/>
                <w:sz w:val="20"/>
                <w:szCs w:val="20"/>
                <w:lang w:val="en-US"/>
              </w:rPr>
            </w:pPr>
            <w:r>
              <w:rPr>
                <w:rFonts w:ascii="Garamond" w:hAnsi="Garamond" w:cs="Calibri"/>
                <w:color w:val="000000"/>
                <w:sz w:val="20"/>
                <w:szCs w:val="20"/>
              </w:rPr>
              <w:t>-</w:t>
            </w:r>
          </w:p>
        </w:tc>
        <w:tc>
          <w:tcPr>
            <w:tcW w:w="0" w:type="auto"/>
            <w:shd w:val="clear" w:color="auto" w:fill="auto"/>
            <w:vAlign w:val="center"/>
          </w:tcPr>
          <w:p w14:paraId="0A28B0A9" w14:textId="21A9CA18" w:rsidR="00CA49AC" w:rsidRPr="00B57AB7" w:rsidRDefault="00CA49AC" w:rsidP="00491595">
            <w:pPr>
              <w:pStyle w:val="Newparagraph"/>
              <w:spacing w:line="240" w:lineRule="auto"/>
              <w:ind w:firstLine="0"/>
              <w:jc w:val="center"/>
              <w:rPr>
                <w:rFonts w:ascii="Garamond" w:hAnsi="Garamond"/>
                <w:sz w:val="20"/>
                <w:szCs w:val="20"/>
                <w:lang w:val="en-US"/>
              </w:rPr>
            </w:pPr>
            <w:r>
              <w:rPr>
                <w:rFonts w:ascii="Garamond" w:hAnsi="Garamond"/>
                <w:sz w:val="20"/>
                <w:szCs w:val="20"/>
              </w:rPr>
              <w:t>-</w:t>
            </w:r>
          </w:p>
        </w:tc>
        <w:tc>
          <w:tcPr>
            <w:tcW w:w="0" w:type="auto"/>
            <w:shd w:val="clear" w:color="auto" w:fill="auto"/>
            <w:vAlign w:val="center"/>
          </w:tcPr>
          <w:p w14:paraId="560E0BB3" w14:textId="09BAAC06" w:rsidR="00CA49AC" w:rsidRPr="00B57AB7" w:rsidRDefault="00CA49AC" w:rsidP="00491595">
            <w:pPr>
              <w:pStyle w:val="Newparagraph"/>
              <w:spacing w:line="240" w:lineRule="auto"/>
              <w:ind w:firstLine="0"/>
              <w:jc w:val="center"/>
              <w:rPr>
                <w:rFonts w:ascii="Garamond" w:hAnsi="Garamond"/>
                <w:sz w:val="20"/>
                <w:szCs w:val="20"/>
                <w:lang w:val="en-US"/>
              </w:rPr>
            </w:pPr>
            <w:r>
              <w:rPr>
                <w:rFonts w:ascii="Garamond" w:hAnsi="Garamond"/>
                <w:sz w:val="20"/>
                <w:szCs w:val="20"/>
              </w:rPr>
              <w:t>-</w:t>
            </w:r>
          </w:p>
        </w:tc>
      </w:tr>
      <w:tr w:rsidR="00CA49AC" w:rsidRPr="00B57AB7" w14:paraId="6252D413" w14:textId="77777777" w:rsidTr="00491595">
        <w:trPr>
          <w:jc w:val="center"/>
        </w:trPr>
        <w:tc>
          <w:tcPr>
            <w:tcW w:w="0" w:type="auto"/>
            <w:shd w:val="clear" w:color="auto" w:fill="auto"/>
            <w:vAlign w:val="center"/>
          </w:tcPr>
          <w:p w14:paraId="4E6C497C"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Size</w:t>
            </w:r>
          </w:p>
        </w:tc>
        <w:tc>
          <w:tcPr>
            <w:tcW w:w="0" w:type="auto"/>
            <w:shd w:val="clear" w:color="auto" w:fill="auto"/>
            <w:vAlign w:val="center"/>
          </w:tcPr>
          <w:p w14:paraId="7B186779"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0.005</w:t>
            </w:r>
          </w:p>
          <w:p w14:paraId="1EEBB9B4" w14:textId="724683F1" w:rsidR="00CA49AC" w:rsidRPr="00B57AB7" w:rsidRDefault="00CA49AC" w:rsidP="00491595">
            <w:pPr>
              <w:spacing w:line="240" w:lineRule="auto"/>
              <w:jc w:val="center"/>
              <w:rPr>
                <w:rFonts w:ascii="Garamond" w:hAnsi="Garamond" w:cs="Calibri"/>
                <w:color w:val="000000"/>
                <w:sz w:val="20"/>
                <w:szCs w:val="20"/>
              </w:rPr>
            </w:pPr>
            <w:r w:rsidRPr="00B57AB7">
              <w:rPr>
                <w:rFonts w:ascii="Garamond" w:hAnsi="Garamond"/>
                <w:sz w:val="20"/>
                <w:szCs w:val="20"/>
                <w:lang w:val="en-US"/>
              </w:rPr>
              <w:t>(0.93)</w:t>
            </w:r>
          </w:p>
        </w:tc>
        <w:tc>
          <w:tcPr>
            <w:tcW w:w="0" w:type="auto"/>
            <w:shd w:val="clear" w:color="auto" w:fill="auto"/>
            <w:vAlign w:val="center"/>
          </w:tcPr>
          <w:p w14:paraId="16409F7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0.057</w:t>
            </w:r>
          </w:p>
          <w:p w14:paraId="34F92E98" w14:textId="4832C69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(0.44)</w:t>
            </w:r>
          </w:p>
        </w:tc>
        <w:tc>
          <w:tcPr>
            <w:tcW w:w="0" w:type="auto"/>
            <w:shd w:val="clear" w:color="auto" w:fill="auto"/>
            <w:vAlign w:val="center"/>
          </w:tcPr>
          <w:p w14:paraId="5EF95C5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0.093</w:t>
            </w:r>
          </w:p>
          <w:p w14:paraId="1E850E86" w14:textId="1F57FBA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(0.15)</w:t>
            </w:r>
          </w:p>
        </w:tc>
        <w:tc>
          <w:tcPr>
            <w:tcW w:w="0" w:type="auto"/>
            <w:shd w:val="clear" w:color="auto" w:fill="auto"/>
            <w:vAlign w:val="center"/>
          </w:tcPr>
          <w:p w14:paraId="30BAFB5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0.220</w:t>
            </w:r>
          </w:p>
          <w:p w14:paraId="7AB550F4" w14:textId="1049E3D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(0.01)</w:t>
            </w:r>
          </w:p>
        </w:tc>
        <w:tc>
          <w:tcPr>
            <w:tcW w:w="0" w:type="auto"/>
            <w:shd w:val="clear" w:color="auto" w:fill="auto"/>
            <w:vAlign w:val="center"/>
          </w:tcPr>
          <w:p w14:paraId="7DB7A79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0.211</w:t>
            </w:r>
          </w:p>
          <w:p w14:paraId="3C4ACC98" w14:textId="09A64EC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(0.01)</w:t>
            </w:r>
          </w:p>
        </w:tc>
        <w:tc>
          <w:tcPr>
            <w:tcW w:w="0" w:type="auto"/>
            <w:shd w:val="clear" w:color="auto" w:fill="auto"/>
            <w:vAlign w:val="center"/>
          </w:tcPr>
          <w:p w14:paraId="4C294E8F"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0.295</w:t>
            </w:r>
          </w:p>
          <w:p w14:paraId="052B4F64" w14:textId="67B7A01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55FD836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0.146</w:t>
            </w:r>
          </w:p>
          <w:p w14:paraId="09F2A5BA" w14:textId="79A7E53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3911F335"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0.260</w:t>
            </w:r>
          </w:p>
          <w:p w14:paraId="0D06B121" w14:textId="00AC0BF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63533EF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0.125</w:t>
            </w:r>
          </w:p>
          <w:p w14:paraId="4A4F6141" w14:textId="0BA48EB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46BC322B" w14:textId="77777777" w:rsidTr="00491595">
        <w:trPr>
          <w:jc w:val="center"/>
        </w:trPr>
        <w:tc>
          <w:tcPr>
            <w:tcW w:w="0" w:type="auto"/>
            <w:shd w:val="clear" w:color="auto" w:fill="auto"/>
            <w:vAlign w:val="center"/>
          </w:tcPr>
          <w:p w14:paraId="1E9ED876"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Liq</w:t>
            </w:r>
            <w:proofErr w:type="spellEnd"/>
          </w:p>
        </w:tc>
        <w:tc>
          <w:tcPr>
            <w:tcW w:w="0" w:type="auto"/>
            <w:shd w:val="clear" w:color="auto" w:fill="auto"/>
            <w:vAlign w:val="center"/>
          </w:tcPr>
          <w:p w14:paraId="0D5EEAA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-0.941</w:t>
            </w:r>
          </w:p>
          <w:p w14:paraId="72E470D9" w14:textId="0D5DA5A0" w:rsidR="00CA49AC" w:rsidRPr="00B57AB7" w:rsidRDefault="00CA49AC" w:rsidP="00491595">
            <w:pPr>
              <w:spacing w:line="240" w:lineRule="auto"/>
              <w:jc w:val="center"/>
              <w:rPr>
                <w:rFonts w:ascii="Garamond" w:hAnsi="Garamond" w:cs="Calibri"/>
                <w:color w:val="000000"/>
                <w:sz w:val="20"/>
                <w:szCs w:val="20"/>
              </w:rPr>
            </w:pPr>
            <w:r w:rsidRPr="00B57AB7">
              <w:rPr>
                <w:rFonts w:ascii="Garamond" w:hAnsi="Garamond"/>
                <w:sz w:val="20"/>
                <w:szCs w:val="20"/>
                <w:lang w:val="en-US"/>
              </w:rPr>
              <w:t>(0.00)</w:t>
            </w:r>
          </w:p>
        </w:tc>
        <w:tc>
          <w:tcPr>
            <w:tcW w:w="0" w:type="auto"/>
            <w:shd w:val="clear" w:color="auto" w:fill="auto"/>
            <w:vAlign w:val="center"/>
          </w:tcPr>
          <w:p w14:paraId="5CA79622"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-1.016</w:t>
            </w:r>
          </w:p>
          <w:p w14:paraId="28E88604" w14:textId="24377A3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7F59082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-1.065</w:t>
            </w:r>
          </w:p>
          <w:p w14:paraId="2D89DA17" w14:textId="159A3DB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0A863C0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-0.084</w:t>
            </w:r>
          </w:p>
          <w:p w14:paraId="04AA818D" w14:textId="5ABA651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(0.24)</w:t>
            </w:r>
          </w:p>
        </w:tc>
        <w:tc>
          <w:tcPr>
            <w:tcW w:w="0" w:type="auto"/>
            <w:shd w:val="clear" w:color="auto" w:fill="auto"/>
            <w:vAlign w:val="center"/>
          </w:tcPr>
          <w:p w14:paraId="3BC4D6D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-0.114</w:t>
            </w:r>
          </w:p>
          <w:p w14:paraId="47BADE0B" w14:textId="09727B0E"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(0.10)</w:t>
            </w:r>
          </w:p>
        </w:tc>
        <w:tc>
          <w:tcPr>
            <w:tcW w:w="0" w:type="auto"/>
            <w:shd w:val="clear" w:color="auto" w:fill="auto"/>
            <w:vAlign w:val="center"/>
          </w:tcPr>
          <w:p w14:paraId="07E77B1E"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-0.106</w:t>
            </w:r>
          </w:p>
          <w:p w14:paraId="7DF52AEA" w14:textId="566AD5C2"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(0.08)</w:t>
            </w:r>
          </w:p>
        </w:tc>
        <w:tc>
          <w:tcPr>
            <w:tcW w:w="0" w:type="auto"/>
            <w:shd w:val="clear" w:color="auto" w:fill="auto"/>
            <w:vAlign w:val="center"/>
          </w:tcPr>
          <w:p w14:paraId="4302B0E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0.504</w:t>
            </w:r>
          </w:p>
          <w:p w14:paraId="57B9A593" w14:textId="59498C3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7596302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0.378</w:t>
            </w:r>
          </w:p>
          <w:p w14:paraId="2D82144B" w14:textId="1DC2AEF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(0.11)</w:t>
            </w:r>
          </w:p>
        </w:tc>
        <w:tc>
          <w:tcPr>
            <w:tcW w:w="0" w:type="auto"/>
            <w:shd w:val="clear" w:color="auto" w:fill="auto"/>
          </w:tcPr>
          <w:p w14:paraId="50BE6523"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0.428</w:t>
            </w:r>
          </w:p>
          <w:p w14:paraId="3462A0B6" w14:textId="333AC6C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142C2579" w14:textId="77777777" w:rsidTr="00491595">
        <w:trPr>
          <w:jc w:val="center"/>
        </w:trPr>
        <w:tc>
          <w:tcPr>
            <w:tcW w:w="0" w:type="auto"/>
            <w:shd w:val="clear" w:color="auto" w:fill="auto"/>
            <w:vAlign w:val="center"/>
          </w:tcPr>
          <w:p w14:paraId="3CDD8379"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Cap</w:t>
            </w:r>
          </w:p>
        </w:tc>
        <w:tc>
          <w:tcPr>
            <w:tcW w:w="0" w:type="auto"/>
            <w:shd w:val="clear" w:color="auto" w:fill="auto"/>
            <w:vAlign w:val="center"/>
          </w:tcPr>
          <w:p w14:paraId="593DAFC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-0.851</w:t>
            </w:r>
          </w:p>
          <w:p w14:paraId="1DE73E14" w14:textId="2E8E390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(0.15)</w:t>
            </w:r>
          </w:p>
        </w:tc>
        <w:tc>
          <w:tcPr>
            <w:tcW w:w="0" w:type="auto"/>
            <w:shd w:val="clear" w:color="auto" w:fill="auto"/>
            <w:vAlign w:val="center"/>
          </w:tcPr>
          <w:p w14:paraId="212E3DB9"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-0.378</w:t>
            </w:r>
          </w:p>
          <w:p w14:paraId="3CA10009" w14:textId="0602B1E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(0.51)</w:t>
            </w:r>
          </w:p>
        </w:tc>
        <w:tc>
          <w:tcPr>
            <w:tcW w:w="0" w:type="auto"/>
            <w:shd w:val="clear" w:color="auto" w:fill="auto"/>
            <w:vAlign w:val="center"/>
          </w:tcPr>
          <w:p w14:paraId="3070DB7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-0.725</w:t>
            </w:r>
          </w:p>
          <w:p w14:paraId="0359BDA8" w14:textId="74A1370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(0.22)</w:t>
            </w:r>
          </w:p>
        </w:tc>
        <w:tc>
          <w:tcPr>
            <w:tcW w:w="0" w:type="auto"/>
            <w:shd w:val="clear" w:color="auto" w:fill="auto"/>
            <w:vAlign w:val="center"/>
          </w:tcPr>
          <w:p w14:paraId="5B976597"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0.395</w:t>
            </w:r>
          </w:p>
          <w:p w14:paraId="7C4F0FD3" w14:textId="5A21443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(0.05)</w:t>
            </w:r>
          </w:p>
        </w:tc>
        <w:tc>
          <w:tcPr>
            <w:tcW w:w="0" w:type="auto"/>
            <w:shd w:val="clear" w:color="auto" w:fill="auto"/>
            <w:vAlign w:val="center"/>
          </w:tcPr>
          <w:p w14:paraId="4942130C"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0.383</w:t>
            </w:r>
          </w:p>
          <w:p w14:paraId="44897E75" w14:textId="06E187E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(0.05)</w:t>
            </w:r>
          </w:p>
        </w:tc>
        <w:tc>
          <w:tcPr>
            <w:tcW w:w="0" w:type="auto"/>
            <w:shd w:val="clear" w:color="auto" w:fill="auto"/>
            <w:vAlign w:val="center"/>
          </w:tcPr>
          <w:p w14:paraId="15269862"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0.147</w:t>
            </w:r>
          </w:p>
          <w:p w14:paraId="4DA66123" w14:textId="04B0B2A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(0.44)</w:t>
            </w:r>
          </w:p>
        </w:tc>
        <w:tc>
          <w:tcPr>
            <w:tcW w:w="0" w:type="auto"/>
            <w:shd w:val="clear" w:color="auto" w:fill="auto"/>
            <w:vAlign w:val="center"/>
          </w:tcPr>
          <w:p w14:paraId="70E8C30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0.190</w:t>
            </w:r>
          </w:p>
          <w:p w14:paraId="4BA6A437" w14:textId="2C8F556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(0.51)</w:t>
            </w:r>
          </w:p>
        </w:tc>
        <w:tc>
          <w:tcPr>
            <w:tcW w:w="0" w:type="auto"/>
            <w:shd w:val="clear" w:color="auto" w:fill="auto"/>
          </w:tcPr>
          <w:p w14:paraId="11CC83E0"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0.561</w:t>
            </w:r>
          </w:p>
          <w:p w14:paraId="5DA8CEC3" w14:textId="6DEBDCF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(0.03)</w:t>
            </w:r>
          </w:p>
        </w:tc>
        <w:tc>
          <w:tcPr>
            <w:tcW w:w="0" w:type="auto"/>
            <w:shd w:val="clear" w:color="auto" w:fill="auto"/>
          </w:tcPr>
          <w:p w14:paraId="0C8929E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0.413</w:t>
            </w:r>
          </w:p>
          <w:p w14:paraId="16674E1B" w14:textId="051A517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(0.05)</w:t>
            </w:r>
          </w:p>
        </w:tc>
      </w:tr>
      <w:tr w:rsidR="00CA49AC" w:rsidRPr="00B57AB7" w14:paraId="234D3990" w14:textId="77777777" w:rsidTr="00491595">
        <w:trPr>
          <w:jc w:val="center"/>
        </w:trPr>
        <w:tc>
          <w:tcPr>
            <w:tcW w:w="0" w:type="auto"/>
            <w:shd w:val="clear" w:color="auto" w:fill="auto"/>
            <w:vAlign w:val="center"/>
          </w:tcPr>
          <w:p w14:paraId="7CA64741"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Gdpg</w:t>
            </w:r>
            <w:proofErr w:type="spellEnd"/>
          </w:p>
        </w:tc>
        <w:tc>
          <w:tcPr>
            <w:tcW w:w="0" w:type="auto"/>
            <w:shd w:val="clear" w:color="auto" w:fill="auto"/>
            <w:vAlign w:val="center"/>
          </w:tcPr>
          <w:p w14:paraId="67C9FC75"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-0.002</w:t>
            </w:r>
          </w:p>
          <w:p w14:paraId="6B3959E5" w14:textId="4AE715C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(0.39)</w:t>
            </w:r>
          </w:p>
        </w:tc>
        <w:tc>
          <w:tcPr>
            <w:tcW w:w="0" w:type="auto"/>
            <w:shd w:val="clear" w:color="auto" w:fill="auto"/>
            <w:vAlign w:val="center"/>
          </w:tcPr>
          <w:p w14:paraId="1E3A739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-0.002</w:t>
            </w:r>
          </w:p>
          <w:p w14:paraId="6EFA2344" w14:textId="43723A7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(0.27)</w:t>
            </w:r>
          </w:p>
        </w:tc>
        <w:tc>
          <w:tcPr>
            <w:tcW w:w="0" w:type="auto"/>
            <w:shd w:val="clear" w:color="auto" w:fill="auto"/>
            <w:vAlign w:val="center"/>
          </w:tcPr>
          <w:p w14:paraId="10396DF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-0.002</w:t>
            </w:r>
          </w:p>
          <w:p w14:paraId="4D7A324E" w14:textId="063CD0A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(0.29)</w:t>
            </w:r>
          </w:p>
        </w:tc>
        <w:tc>
          <w:tcPr>
            <w:tcW w:w="0" w:type="auto"/>
            <w:shd w:val="clear" w:color="auto" w:fill="auto"/>
            <w:vAlign w:val="center"/>
          </w:tcPr>
          <w:p w14:paraId="09C39734"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0.014</w:t>
            </w:r>
          </w:p>
          <w:p w14:paraId="6F412BF1" w14:textId="2F8C5F2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372A92D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0.012</w:t>
            </w:r>
          </w:p>
          <w:p w14:paraId="516CF2F7" w14:textId="7750F74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782A8A0C"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0.012</w:t>
            </w:r>
          </w:p>
          <w:p w14:paraId="51CB74F9" w14:textId="12FEDDE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5DB469C5"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0.002</w:t>
            </w:r>
          </w:p>
          <w:p w14:paraId="68CCE152" w14:textId="6D4A8A1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(0.20)</w:t>
            </w:r>
          </w:p>
        </w:tc>
        <w:tc>
          <w:tcPr>
            <w:tcW w:w="0" w:type="auto"/>
            <w:shd w:val="clear" w:color="auto" w:fill="auto"/>
          </w:tcPr>
          <w:p w14:paraId="5FA0D19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0.005</w:t>
            </w:r>
          </w:p>
          <w:p w14:paraId="1C9142B3" w14:textId="3796BA5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(0.02)</w:t>
            </w:r>
          </w:p>
        </w:tc>
        <w:tc>
          <w:tcPr>
            <w:tcW w:w="0" w:type="auto"/>
            <w:shd w:val="clear" w:color="auto" w:fill="auto"/>
          </w:tcPr>
          <w:p w14:paraId="2C78A0C9"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0.000</w:t>
            </w:r>
          </w:p>
          <w:p w14:paraId="43656129" w14:textId="2ABD036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(0.80)</w:t>
            </w:r>
          </w:p>
        </w:tc>
      </w:tr>
      <w:tr w:rsidR="00CA49AC" w:rsidRPr="00B57AB7" w14:paraId="27D0B8E9" w14:textId="77777777" w:rsidTr="00491595">
        <w:trPr>
          <w:jc w:val="center"/>
        </w:trPr>
        <w:tc>
          <w:tcPr>
            <w:tcW w:w="0" w:type="auto"/>
            <w:shd w:val="clear" w:color="auto" w:fill="auto"/>
            <w:vAlign w:val="center"/>
          </w:tcPr>
          <w:p w14:paraId="64A610B8"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Infr</w:t>
            </w:r>
            <w:proofErr w:type="spellEnd"/>
          </w:p>
        </w:tc>
        <w:tc>
          <w:tcPr>
            <w:tcW w:w="0" w:type="auto"/>
            <w:shd w:val="clear" w:color="auto" w:fill="auto"/>
            <w:vAlign w:val="center"/>
          </w:tcPr>
          <w:p w14:paraId="661CB542"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0.007</w:t>
            </w:r>
          </w:p>
          <w:p w14:paraId="09A93065" w14:textId="7662A01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40A4302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0.007</w:t>
            </w:r>
          </w:p>
          <w:p w14:paraId="65ECBDC3" w14:textId="75D9139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3D0D77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0.006</w:t>
            </w:r>
          </w:p>
          <w:p w14:paraId="0DEE8110" w14:textId="1DE64A1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694B8C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0.006</w:t>
            </w:r>
          </w:p>
          <w:p w14:paraId="7079F5AF" w14:textId="2281381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5251414A"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0.005</w:t>
            </w:r>
          </w:p>
          <w:p w14:paraId="6CF63352" w14:textId="12428E8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(0.01)</w:t>
            </w:r>
          </w:p>
        </w:tc>
        <w:tc>
          <w:tcPr>
            <w:tcW w:w="0" w:type="auto"/>
            <w:shd w:val="clear" w:color="auto" w:fill="auto"/>
            <w:vAlign w:val="center"/>
          </w:tcPr>
          <w:p w14:paraId="1E63627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0.003</w:t>
            </w:r>
          </w:p>
          <w:p w14:paraId="0E92BB9D" w14:textId="65C4F4E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(0.16)</w:t>
            </w:r>
          </w:p>
        </w:tc>
        <w:tc>
          <w:tcPr>
            <w:tcW w:w="0" w:type="auto"/>
            <w:shd w:val="clear" w:color="auto" w:fill="auto"/>
            <w:vAlign w:val="center"/>
          </w:tcPr>
          <w:p w14:paraId="30396695"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0.009</w:t>
            </w:r>
          </w:p>
          <w:p w14:paraId="21350342" w14:textId="252130E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055CFDE9" w14:textId="77777777" w:rsidR="00CA49AC" w:rsidRPr="00B57AB7" w:rsidRDefault="00CA49AC" w:rsidP="00491595">
            <w:pPr>
              <w:pStyle w:val="Newparagraph"/>
              <w:shd w:val="clear" w:color="auto" w:fill="DBDBDB" w:themeFill="accent3" w:themeFillTint="66"/>
              <w:spacing w:line="240" w:lineRule="auto"/>
              <w:ind w:firstLine="0"/>
              <w:jc w:val="center"/>
              <w:rPr>
                <w:rFonts w:ascii="Garamond" w:hAnsi="Garamond"/>
                <w:sz w:val="20"/>
                <w:szCs w:val="20"/>
                <w:lang w:val="en-US"/>
              </w:rPr>
            </w:pPr>
            <w:r w:rsidRPr="00B57AB7">
              <w:rPr>
                <w:rFonts w:ascii="Garamond" w:hAnsi="Garamond"/>
                <w:sz w:val="20"/>
                <w:szCs w:val="20"/>
                <w:lang w:val="en-US"/>
              </w:rPr>
              <w:t>0.004</w:t>
            </w:r>
          </w:p>
          <w:p w14:paraId="4042C1ED" w14:textId="5B8582C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(0.22)</w:t>
            </w:r>
          </w:p>
        </w:tc>
        <w:tc>
          <w:tcPr>
            <w:tcW w:w="0" w:type="auto"/>
            <w:shd w:val="clear" w:color="auto" w:fill="auto"/>
          </w:tcPr>
          <w:p w14:paraId="2BF6C970"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0.007</w:t>
            </w:r>
          </w:p>
          <w:p w14:paraId="6238603C" w14:textId="359A898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7DB02CCF" w14:textId="77777777" w:rsidTr="00491595">
        <w:trPr>
          <w:jc w:val="center"/>
        </w:trPr>
        <w:tc>
          <w:tcPr>
            <w:tcW w:w="0" w:type="auto"/>
            <w:shd w:val="clear" w:color="auto" w:fill="auto"/>
            <w:vAlign w:val="center"/>
          </w:tcPr>
          <w:p w14:paraId="0D5297B1"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ir</w:t>
            </w:r>
            <w:proofErr w:type="spellEnd"/>
          </w:p>
        </w:tc>
        <w:tc>
          <w:tcPr>
            <w:tcW w:w="0" w:type="auto"/>
            <w:shd w:val="clear" w:color="auto" w:fill="auto"/>
            <w:vAlign w:val="center"/>
          </w:tcPr>
          <w:p w14:paraId="26B5431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-0.000</w:t>
            </w:r>
          </w:p>
          <w:p w14:paraId="64227D3B" w14:textId="12DC01C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(0.99)</w:t>
            </w:r>
          </w:p>
        </w:tc>
        <w:tc>
          <w:tcPr>
            <w:tcW w:w="0" w:type="auto"/>
            <w:shd w:val="clear" w:color="auto" w:fill="auto"/>
            <w:vAlign w:val="center"/>
          </w:tcPr>
          <w:p w14:paraId="1D3C23A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-0.001</w:t>
            </w:r>
          </w:p>
          <w:p w14:paraId="03061C52" w14:textId="272F9B2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(0.80)</w:t>
            </w:r>
          </w:p>
        </w:tc>
        <w:tc>
          <w:tcPr>
            <w:tcW w:w="0" w:type="auto"/>
            <w:shd w:val="clear" w:color="auto" w:fill="auto"/>
            <w:vAlign w:val="center"/>
          </w:tcPr>
          <w:p w14:paraId="685FDB77"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0.004</w:t>
            </w:r>
          </w:p>
          <w:p w14:paraId="6F450678" w14:textId="40735C3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(0.47)</w:t>
            </w:r>
          </w:p>
        </w:tc>
        <w:tc>
          <w:tcPr>
            <w:tcW w:w="0" w:type="auto"/>
            <w:shd w:val="clear" w:color="auto" w:fill="auto"/>
            <w:vAlign w:val="center"/>
          </w:tcPr>
          <w:p w14:paraId="4FF4FA71"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-0.010</w:t>
            </w:r>
          </w:p>
          <w:p w14:paraId="5A5CD3B8" w14:textId="0438B2C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(0.12)</w:t>
            </w:r>
          </w:p>
        </w:tc>
        <w:tc>
          <w:tcPr>
            <w:tcW w:w="0" w:type="auto"/>
            <w:shd w:val="clear" w:color="auto" w:fill="auto"/>
            <w:vAlign w:val="center"/>
          </w:tcPr>
          <w:p w14:paraId="0E2FE540"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-0.008</w:t>
            </w:r>
          </w:p>
          <w:p w14:paraId="61A38571" w14:textId="5E7A7102"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(0.20)</w:t>
            </w:r>
          </w:p>
        </w:tc>
        <w:tc>
          <w:tcPr>
            <w:tcW w:w="0" w:type="auto"/>
            <w:shd w:val="clear" w:color="auto" w:fill="auto"/>
            <w:vAlign w:val="center"/>
          </w:tcPr>
          <w:p w14:paraId="1A4E52B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-0.009</w:t>
            </w:r>
          </w:p>
          <w:p w14:paraId="004D5A19" w14:textId="49C8DD8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(0.16)</w:t>
            </w:r>
          </w:p>
        </w:tc>
        <w:tc>
          <w:tcPr>
            <w:tcW w:w="0" w:type="auto"/>
            <w:shd w:val="clear" w:color="auto" w:fill="auto"/>
            <w:vAlign w:val="center"/>
          </w:tcPr>
          <w:p w14:paraId="049BEB73"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0.045</w:t>
            </w:r>
          </w:p>
          <w:p w14:paraId="5C9791C1" w14:textId="6CA44C9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761BA82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-0.015</w:t>
            </w:r>
          </w:p>
          <w:p w14:paraId="76EB9251" w14:textId="1E0DE15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(0.19)</w:t>
            </w:r>
          </w:p>
        </w:tc>
        <w:tc>
          <w:tcPr>
            <w:tcW w:w="0" w:type="auto"/>
            <w:shd w:val="clear" w:color="auto" w:fill="auto"/>
          </w:tcPr>
          <w:p w14:paraId="1589A67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0.050</w:t>
            </w:r>
          </w:p>
          <w:p w14:paraId="62C01345" w14:textId="5CC4B68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326CDAE4" w14:textId="77777777" w:rsidTr="00491595">
        <w:trPr>
          <w:jc w:val="center"/>
        </w:trPr>
        <w:tc>
          <w:tcPr>
            <w:tcW w:w="0" w:type="auto"/>
            <w:shd w:val="clear" w:color="auto" w:fill="auto"/>
            <w:vAlign w:val="center"/>
          </w:tcPr>
          <w:p w14:paraId="6AB3ECDE" w14:textId="7EDF0DC7" w:rsidR="00CA49AC" w:rsidRPr="00B57AB7" w:rsidRDefault="005C1EF6" w:rsidP="00491595">
            <w:pPr>
              <w:pStyle w:val="Newparagraph"/>
              <w:spacing w:line="240" w:lineRule="auto"/>
              <w:ind w:firstLine="0"/>
              <w:jc w:val="center"/>
              <w:rPr>
                <w:rFonts w:ascii="Garamond" w:hAnsi="Garamond"/>
                <w:sz w:val="20"/>
                <w:szCs w:val="20"/>
                <w:lang w:val="en-US"/>
              </w:rPr>
            </w:pPr>
            <w:r w:rsidRPr="00CA49AC">
              <w:rPr>
                <w:rFonts w:ascii="Garamond" w:hAnsi="Garamond"/>
                <w:sz w:val="20"/>
                <w:szCs w:val="20"/>
                <w:lang w:val="en-US"/>
              </w:rPr>
              <w:t>∆Brent</w:t>
            </w:r>
          </w:p>
        </w:tc>
        <w:tc>
          <w:tcPr>
            <w:tcW w:w="0" w:type="auto"/>
            <w:shd w:val="clear" w:color="auto" w:fill="auto"/>
            <w:vAlign w:val="center"/>
          </w:tcPr>
          <w:p w14:paraId="1393019A" w14:textId="71FC2EFB" w:rsidR="00CA49AC" w:rsidRPr="00B57AB7" w:rsidRDefault="00CA49AC" w:rsidP="00491595">
            <w:pPr>
              <w:spacing w:line="240" w:lineRule="auto"/>
              <w:jc w:val="center"/>
              <w:rPr>
                <w:rFonts w:ascii="Garamond" w:hAnsi="Garamond" w:cs="Calibri"/>
                <w:color w:val="000000"/>
                <w:sz w:val="20"/>
                <w:szCs w:val="20"/>
              </w:rPr>
            </w:pPr>
            <w:r>
              <w:rPr>
                <w:rFonts w:ascii="Garamond" w:hAnsi="Garamond" w:cs="Calibri"/>
                <w:color w:val="000000"/>
                <w:sz w:val="20"/>
                <w:szCs w:val="20"/>
              </w:rPr>
              <w:t>-</w:t>
            </w:r>
          </w:p>
        </w:tc>
        <w:tc>
          <w:tcPr>
            <w:tcW w:w="0" w:type="auto"/>
            <w:shd w:val="clear" w:color="auto" w:fill="auto"/>
            <w:vAlign w:val="center"/>
          </w:tcPr>
          <w:p w14:paraId="09B13B94" w14:textId="72A33C9B" w:rsidR="00CA49AC" w:rsidRPr="00B57AB7" w:rsidRDefault="00CA49AC" w:rsidP="00491595">
            <w:pPr>
              <w:pStyle w:val="Newparagraph"/>
              <w:spacing w:line="240" w:lineRule="auto"/>
              <w:ind w:firstLine="0"/>
              <w:jc w:val="center"/>
              <w:rPr>
                <w:rFonts w:ascii="Garamond" w:hAnsi="Garamond"/>
                <w:sz w:val="20"/>
                <w:szCs w:val="20"/>
              </w:rPr>
            </w:pPr>
            <w:r>
              <w:rPr>
                <w:rFonts w:ascii="Garamond" w:hAnsi="Garamond"/>
                <w:sz w:val="20"/>
                <w:szCs w:val="20"/>
              </w:rPr>
              <w:t>-</w:t>
            </w:r>
          </w:p>
        </w:tc>
        <w:tc>
          <w:tcPr>
            <w:tcW w:w="0" w:type="auto"/>
            <w:shd w:val="clear" w:color="auto" w:fill="auto"/>
            <w:vAlign w:val="center"/>
          </w:tcPr>
          <w:p w14:paraId="6F474CF1" w14:textId="7B58F606" w:rsidR="00CA49AC" w:rsidRPr="00B57AB7" w:rsidRDefault="00CA49AC" w:rsidP="00491595">
            <w:pPr>
              <w:pStyle w:val="Newparagraph"/>
              <w:spacing w:line="240" w:lineRule="auto"/>
              <w:ind w:firstLine="0"/>
              <w:jc w:val="center"/>
              <w:rPr>
                <w:rFonts w:ascii="Garamond" w:hAnsi="Garamond"/>
                <w:sz w:val="20"/>
                <w:szCs w:val="20"/>
              </w:rPr>
            </w:pPr>
            <w:r>
              <w:rPr>
                <w:rFonts w:ascii="Garamond" w:hAnsi="Garamond"/>
                <w:sz w:val="20"/>
                <w:szCs w:val="20"/>
              </w:rPr>
              <w:t>-</w:t>
            </w:r>
          </w:p>
        </w:tc>
        <w:tc>
          <w:tcPr>
            <w:tcW w:w="0" w:type="auto"/>
            <w:shd w:val="clear" w:color="auto" w:fill="auto"/>
            <w:vAlign w:val="center"/>
          </w:tcPr>
          <w:p w14:paraId="39E8293D"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5.414</w:t>
            </w:r>
          </w:p>
          <w:p w14:paraId="7B382083" w14:textId="1A82D9C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(0.23)</w:t>
            </w:r>
          </w:p>
        </w:tc>
        <w:tc>
          <w:tcPr>
            <w:tcW w:w="0" w:type="auto"/>
            <w:shd w:val="clear" w:color="auto" w:fill="auto"/>
            <w:vAlign w:val="center"/>
          </w:tcPr>
          <w:p w14:paraId="28E9B895"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5.612</w:t>
            </w:r>
          </w:p>
          <w:p w14:paraId="5A7D9302" w14:textId="295AE75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(0.21)</w:t>
            </w:r>
          </w:p>
        </w:tc>
        <w:tc>
          <w:tcPr>
            <w:tcW w:w="0" w:type="auto"/>
            <w:shd w:val="clear" w:color="auto" w:fill="auto"/>
            <w:vAlign w:val="center"/>
          </w:tcPr>
          <w:p w14:paraId="1F6921AA"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-0.536</w:t>
            </w:r>
          </w:p>
          <w:p w14:paraId="556FBA06" w14:textId="1F3D275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(0.90)</w:t>
            </w:r>
          </w:p>
        </w:tc>
        <w:tc>
          <w:tcPr>
            <w:tcW w:w="0" w:type="auto"/>
            <w:shd w:val="clear" w:color="auto" w:fill="auto"/>
            <w:vAlign w:val="center"/>
          </w:tcPr>
          <w:p w14:paraId="019ACD22"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21.115</w:t>
            </w:r>
          </w:p>
          <w:p w14:paraId="509A3B5C" w14:textId="2ABC496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tcPr>
          <w:p w14:paraId="1458A2C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12.599</w:t>
            </w:r>
          </w:p>
          <w:p w14:paraId="12EE0DE7" w14:textId="276A622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(0.05)</w:t>
            </w:r>
          </w:p>
        </w:tc>
        <w:tc>
          <w:tcPr>
            <w:tcW w:w="0" w:type="auto"/>
            <w:shd w:val="clear" w:color="auto" w:fill="auto"/>
          </w:tcPr>
          <w:p w14:paraId="37448C42"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14.556</w:t>
            </w:r>
          </w:p>
          <w:p w14:paraId="53EFD28A" w14:textId="5BC59B8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(0.04)</w:t>
            </w:r>
          </w:p>
        </w:tc>
      </w:tr>
      <w:tr w:rsidR="00CA49AC" w:rsidRPr="00B57AB7" w14:paraId="26FAD951" w14:textId="77777777" w:rsidTr="00491595">
        <w:trPr>
          <w:jc w:val="center"/>
        </w:trPr>
        <w:tc>
          <w:tcPr>
            <w:tcW w:w="0" w:type="auto"/>
            <w:shd w:val="clear" w:color="auto" w:fill="auto"/>
            <w:vAlign w:val="center"/>
          </w:tcPr>
          <w:p w14:paraId="15161FBE"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Gts</w:t>
            </w:r>
            <w:proofErr w:type="spellEnd"/>
          </w:p>
        </w:tc>
        <w:tc>
          <w:tcPr>
            <w:tcW w:w="0" w:type="auto"/>
            <w:shd w:val="clear" w:color="auto" w:fill="auto"/>
            <w:vAlign w:val="center"/>
          </w:tcPr>
          <w:p w14:paraId="625C819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-0.006</w:t>
            </w:r>
          </w:p>
          <w:p w14:paraId="1B0C2598" w14:textId="11E5441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3C0B06E5" w14:textId="23722151"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0E144E65" w14:textId="6C74D6A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0819F684"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-0.010</w:t>
            </w:r>
          </w:p>
          <w:p w14:paraId="53729FAE" w14:textId="6712E03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6F64BBF6" w14:textId="34A99DA3" w:rsidR="00CA49AC" w:rsidRPr="00B57AB7" w:rsidRDefault="00CA49AC" w:rsidP="00491595">
            <w:pPr>
              <w:pStyle w:val="Newparagraph"/>
              <w:tabs>
                <w:tab w:val="left" w:pos="1089"/>
              </w:tabs>
              <w:spacing w:line="240" w:lineRule="auto"/>
              <w:ind w:firstLine="0"/>
              <w:jc w:val="center"/>
              <w:rPr>
                <w:rFonts w:ascii="Garamond" w:hAnsi="Garamond"/>
                <w:sz w:val="20"/>
                <w:szCs w:val="20"/>
                <w:lang w:val="en-US"/>
              </w:rPr>
            </w:pPr>
          </w:p>
        </w:tc>
        <w:tc>
          <w:tcPr>
            <w:tcW w:w="0" w:type="auto"/>
            <w:shd w:val="clear" w:color="auto" w:fill="auto"/>
            <w:vAlign w:val="center"/>
          </w:tcPr>
          <w:p w14:paraId="068BBFD6" w14:textId="78F39BB6"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46EB65A6"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0.004</w:t>
            </w:r>
          </w:p>
          <w:p w14:paraId="6FCE83F6" w14:textId="4FA77D9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(0.07)</w:t>
            </w:r>
          </w:p>
        </w:tc>
        <w:tc>
          <w:tcPr>
            <w:tcW w:w="0" w:type="auto"/>
            <w:shd w:val="clear" w:color="auto" w:fill="auto"/>
          </w:tcPr>
          <w:p w14:paraId="60A971DF"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tcPr>
          <w:p w14:paraId="5F825B71"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r>
      <w:tr w:rsidR="00CA49AC" w:rsidRPr="00B57AB7" w14:paraId="206C1D9E" w14:textId="77777777" w:rsidTr="00491595">
        <w:trPr>
          <w:jc w:val="center"/>
        </w:trPr>
        <w:tc>
          <w:tcPr>
            <w:tcW w:w="0" w:type="auto"/>
            <w:shd w:val="clear" w:color="auto" w:fill="auto"/>
            <w:vAlign w:val="center"/>
          </w:tcPr>
          <w:p w14:paraId="006FB50C"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Gcs</w:t>
            </w:r>
            <w:proofErr w:type="spellEnd"/>
          </w:p>
        </w:tc>
        <w:tc>
          <w:tcPr>
            <w:tcW w:w="0" w:type="auto"/>
            <w:shd w:val="clear" w:color="auto" w:fill="auto"/>
            <w:vAlign w:val="center"/>
          </w:tcPr>
          <w:p w14:paraId="58813ED0" w14:textId="595C71C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4A86C646"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-0.005</w:t>
            </w:r>
          </w:p>
          <w:p w14:paraId="2C6B5351" w14:textId="2F714E7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2C680698" w14:textId="28DCC9D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DD1C997" w14:textId="5A31B6D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40411E4B"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-0.010</w:t>
            </w:r>
          </w:p>
          <w:p w14:paraId="0A8B00A3" w14:textId="1D33ED3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(0.00)</w:t>
            </w:r>
          </w:p>
        </w:tc>
        <w:tc>
          <w:tcPr>
            <w:tcW w:w="0" w:type="auto"/>
            <w:shd w:val="clear" w:color="auto" w:fill="auto"/>
            <w:vAlign w:val="center"/>
          </w:tcPr>
          <w:p w14:paraId="11A42018" w14:textId="741B1435"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606FF901" w14:textId="67895C4C"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1BA6BF0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0.005</w:t>
            </w:r>
          </w:p>
          <w:p w14:paraId="0B6CA570" w14:textId="66FB4D3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(0.08)</w:t>
            </w:r>
          </w:p>
        </w:tc>
        <w:tc>
          <w:tcPr>
            <w:tcW w:w="0" w:type="auto"/>
            <w:shd w:val="clear" w:color="auto" w:fill="auto"/>
            <w:vAlign w:val="center"/>
          </w:tcPr>
          <w:p w14:paraId="62137B3F" w14:textId="51CD9FA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r>
      <w:tr w:rsidR="00CA49AC" w:rsidRPr="00B57AB7" w14:paraId="7D8BEDF5" w14:textId="77777777" w:rsidTr="00491595">
        <w:trPr>
          <w:jc w:val="center"/>
        </w:trPr>
        <w:tc>
          <w:tcPr>
            <w:tcW w:w="0" w:type="auto"/>
            <w:shd w:val="clear" w:color="auto" w:fill="auto"/>
            <w:vAlign w:val="center"/>
          </w:tcPr>
          <w:p w14:paraId="6EB9084B"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lastRenderedPageBreak/>
              <w:t>Gks</w:t>
            </w:r>
            <w:proofErr w:type="spellEnd"/>
          </w:p>
        </w:tc>
        <w:tc>
          <w:tcPr>
            <w:tcW w:w="0" w:type="auto"/>
            <w:shd w:val="clear" w:color="auto" w:fill="auto"/>
            <w:vAlign w:val="center"/>
          </w:tcPr>
          <w:p w14:paraId="4B80138A" w14:textId="3937C19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0B7A7D5D" w14:textId="2B0B06E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6114196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-0.009</w:t>
            </w:r>
          </w:p>
          <w:p w14:paraId="1A79EE63" w14:textId="5B1FE76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c>
          <w:tcPr>
            <w:tcW w:w="0" w:type="auto"/>
            <w:shd w:val="clear" w:color="auto" w:fill="auto"/>
            <w:vAlign w:val="center"/>
          </w:tcPr>
          <w:p w14:paraId="52BB1578" w14:textId="6C1FA21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6E337DB3" w14:textId="019832CB" w:rsidR="00CA49AC" w:rsidRPr="00B57AB7" w:rsidRDefault="00CA49AC" w:rsidP="00491595">
            <w:pPr>
              <w:pStyle w:val="Newparagraph"/>
              <w:spacing w:line="240" w:lineRule="auto"/>
              <w:ind w:firstLine="0"/>
              <w:jc w:val="center"/>
              <w:rPr>
                <w:rFonts w:ascii="Garamond" w:hAnsi="Garamond"/>
                <w:sz w:val="20"/>
                <w:szCs w:val="20"/>
                <w:lang w:val="en-US"/>
              </w:rPr>
            </w:pPr>
          </w:p>
        </w:tc>
        <w:tc>
          <w:tcPr>
            <w:tcW w:w="0" w:type="auto"/>
            <w:shd w:val="clear" w:color="auto" w:fill="auto"/>
            <w:vAlign w:val="center"/>
          </w:tcPr>
          <w:p w14:paraId="1499D054" w14:textId="77777777" w:rsidR="00CA49AC" w:rsidRPr="00B57AB7" w:rsidRDefault="00CA49AC" w:rsidP="00491595">
            <w:pPr>
              <w:pStyle w:val="Newparagraph"/>
              <w:spacing w:line="240" w:lineRule="auto"/>
              <w:ind w:firstLine="0"/>
              <w:jc w:val="center"/>
              <w:rPr>
                <w:rFonts w:ascii="Garamond" w:hAnsi="Garamond"/>
                <w:sz w:val="20"/>
                <w:szCs w:val="20"/>
              </w:rPr>
            </w:pPr>
            <w:r w:rsidRPr="00B57AB7">
              <w:rPr>
                <w:rFonts w:ascii="Garamond" w:hAnsi="Garamond"/>
                <w:sz w:val="20"/>
                <w:szCs w:val="20"/>
              </w:rPr>
              <w:t>-</w:t>
            </w:r>
            <w:r w:rsidRPr="00B57AB7">
              <w:rPr>
                <w:rFonts w:ascii="Garamond" w:hAnsi="Garamond"/>
                <w:sz w:val="20"/>
                <w:szCs w:val="20"/>
                <w:shd w:val="clear" w:color="auto" w:fill="FEE3E2"/>
              </w:rPr>
              <w:t>0.019</w:t>
            </w:r>
          </w:p>
          <w:p w14:paraId="2B2B9C7F" w14:textId="6BD9F21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rPr>
              <w:t>(0.09)</w:t>
            </w:r>
          </w:p>
        </w:tc>
        <w:tc>
          <w:tcPr>
            <w:tcW w:w="0" w:type="auto"/>
            <w:shd w:val="clear" w:color="auto" w:fill="auto"/>
            <w:vAlign w:val="center"/>
          </w:tcPr>
          <w:p w14:paraId="431F874F" w14:textId="58739D3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B96AD01" w14:textId="666434D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w:t>
            </w:r>
          </w:p>
        </w:tc>
        <w:tc>
          <w:tcPr>
            <w:tcW w:w="0" w:type="auto"/>
            <w:shd w:val="clear" w:color="auto" w:fill="auto"/>
            <w:vAlign w:val="center"/>
          </w:tcPr>
          <w:p w14:paraId="2D4C8D87"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0.005</w:t>
            </w:r>
          </w:p>
          <w:p w14:paraId="643C6F6F" w14:textId="6CDE30F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(0.00)</w:t>
            </w:r>
          </w:p>
        </w:tc>
      </w:tr>
      <w:tr w:rsidR="00CA49AC" w:rsidRPr="00B57AB7" w14:paraId="0DEE37FE" w14:textId="77777777" w:rsidTr="00491595">
        <w:trPr>
          <w:jc w:val="center"/>
        </w:trPr>
        <w:tc>
          <w:tcPr>
            <w:tcW w:w="0" w:type="auto"/>
            <w:gridSpan w:val="10"/>
            <w:shd w:val="clear" w:color="auto" w:fill="auto"/>
            <w:vAlign w:val="center"/>
          </w:tcPr>
          <w:p w14:paraId="7C34BAC6" w14:textId="77777777" w:rsidR="00CA49AC" w:rsidRPr="00B57AB7" w:rsidRDefault="00CA49AC" w:rsidP="00491595">
            <w:pPr>
              <w:pStyle w:val="Newparagraph"/>
              <w:spacing w:line="240" w:lineRule="auto"/>
              <w:ind w:firstLine="0"/>
              <w:jc w:val="center"/>
              <w:rPr>
                <w:rFonts w:ascii="Garamond" w:hAnsi="Garamond"/>
                <w:sz w:val="20"/>
                <w:szCs w:val="20"/>
                <w:lang w:val="en-US"/>
              </w:rPr>
            </w:pPr>
          </w:p>
        </w:tc>
      </w:tr>
      <w:tr w:rsidR="00CA49AC" w:rsidRPr="00B57AB7" w14:paraId="171B6A23" w14:textId="77777777" w:rsidTr="00491595">
        <w:trPr>
          <w:jc w:val="center"/>
        </w:trPr>
        <w:tc>
          <w:tcPr>
            <w:tcW w:w="0" w:type="auto"/>
            <w:shd w:val="clear" w:color="auto" w:fill="auto"/>
            <w:vAlign w:val="center"/>
          </w:tcPr>
          <w:p w14:paraId="06E6BAB5"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AR(2)</w:t>
            </w:r>
          </w:p>
        </w:tc>
        <w:tc>
          <w:tcPr>
            <w:tcW w:w="0" w:type="auto"/>
            <w:shd w:val="clear" w:color="auto" w:fill="auto"/>
            <w:vAlign w:val="center"/>
          </w:tcPr>
          <w:p w14:paraId="0086569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1.12</w:t>
            </w:r>
          </w:p>
          <w:p w14:paraId="6A39BB87" w14:textId="3CB501F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(0.26)</w:t>
            </w:r>
          </w:p>
        </w:tc>
        <w:tc>
          <w:tcPr>
            <w:tcW w:w="0" w:type="auto"/>
            <w:shd w:val="clear" w:color="auto" w:fill="auto"/>
            <w:vAlign w:val="center"/>
          </w:tcPr>
          <w:p w14:paraId="071997DC"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1.60</w:t>
            </w:r>
          </w:p>
          <w:p w14:paraId="6B87DB85" w14:textId="7BE38F2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(0.11)</w:t>
            </w:r>
          </w:p>
        </w:tc>
        <w:tc>
          <w:tcPr>
            <w:tcW w:w="0" w:type="auto"/>
            <w:shd w:val="clear" w:color="auto" w:fill="auto"/>
            <w:vAlign w:val="center"/>
          </w:tcPr>
          <w:p w14:paraId="63F8199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0.75</w:t>
            </w:r>
          </w:p>
          <w:p w14:paraId="76B720A7" w14:textId="3FFAC63E"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(0.46)</w:t>
            </w:r>
          </w:p>
        </w:tc>
        <w:tc>
          <w:tcPr>
            <w:tcW w:w="0" w:type="auto"/>
            <w:shd w:val="clear" w:color="auto" w:fill="auto"/>
            <w:vAlign w:val="center"/>
          </w:tcPr>
          <w:p w14:paraId="7D6A207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-0.78</w:t>
            </w:r>
          </w:p>
          <w:p w14:paraId="6342423D" w14:textId="6B6D9D06"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(0.43</w:t>
            </w:r>
            <w:r w:rsidRPr="00B57AB7">
              <w:rPr>
                <w:rFonts w:ascii="Garamond" w:hAnsi="Garamond"/>
                <w:sz w:val="20"/>
                <w:szCs w:val="20"/>
              </w:rPr>
              <w:t>)</w:t>
            </w:r>
          </w:p>
        </w:tc>
        <w:tc>
          <w:tcPr>
            <w:tcW w:w="0" w:type="auto"/>
            <w:shd w:val="clear" w:color="auto" w:fill="auto"/>
            <w:vAlign w:val="center"/>
          </w:tcPr>
          <w:p w14:paraId="672DD6CE"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-0.72</w:t>
            </w:r>
          </w:p>
          <w:p w14:paraId="520FD509" w14:textId="64967EC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(0.47</w:t>
            </w:r>
            <w:r w:rsidRPr="00B57AB7">
              <w:rPr>
                <w:rFonts w:ascii="Garamond" w:hAnsi="Garamond"/>
                <w:sz w:val="20"/>
                <w:szCs w:val="20"/>
              </w:rPr>
              <w:t>)</w:t>
            </w:r>
          </w:p>
        </w:tc>
        <w:tc>
          <w:tcPr>
            <w:tcW w:w="0" w:type="auto"/>
            <w:shd w:val="clear" w:color="auto" w:fill="auto"/>
            <w:vAlign w:val="center"/>
          </w:tcPr>
          <w:p w14:paraId="7C8A0E8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-1.05</w:t>
            </w:r>
          </w:p>
          <w:p w14:paraId="16077600" w14:textId="575D1FE5"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(0.29</w:t>
            </w:r>
            <w:r w:rsidRPr="00B57AB7">
              <w:rPr>
                <w:rFonts w:ascii="Garamond" w:hAnsi="Garamond"/>
                <w:sz w:val="20"/>
                <w:szCs w:val="20"/>
              </w:rPr>
              <w:t>)</w:t>
            </w:r>
          </w:p>
        </w:tc>
        <w:tc>
          <w:tcPr>
            <w:tcW w:w="0" w:type="auto"/>
            <w:shd w:val="clear" w:color="auto" w:fill="auto"/>
            <w:vAlign w:val="center"/>
          </w:tcPr>
          <w:p w14:paraId="78156379"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-0.18</w:t>
            </w:r>
          </w:p>
          <w:p w14:paraId="2A393C21" w14:textId="67960AFF"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(0.86)</w:t>
            </w:r>
          </w:p>
        </w:tc>
        <w:tc>
          <w:tcPr>
            <w:tcW w:w="0" w:type="auto"/>
            <w:shd w:val="clear" w:color="auto" w:fill="auto"/>
            <w:vAlign w:val="center"/>
          </w:tcPr>
          <w:p w14:paraId="0230C42A"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-1.00</w:t>
            </w:r>
          </w:p>
          <w:p w14:paraId="40CDB404" w14:textId="23E2257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(0.32)</w:t>
            </w:r>
          </w:p>
        </w:tc>
        <w:tc>
          <w:tcPr>
            <w:tcW w:w="0" w:type="auto"/>
            <w:shd w:val="clear" w:color="auto" w:fill="auto"/>
            <w:vAlign w:val="center"/>
          </w:tcPr>
          <w:p w14:paraId="35C45EDD"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1.18</w:t>
            </w:r>
          </w:p>
          <w:p w14:paraId="79002F16" w14:textId="49780ED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(0.24)</w:t>
            </w:r>
          </w:p>
        </w:tc>
      </w:tr>
      <w:tr w:rsidR="00CA49AC" w:rsidRPr="00B57AB7" w14:paraId="34AC701E" w14:textId="77777777" w:rsidTr="00491595">
        <w:trPr>
          <w:trHeight w:val="47"/>
          <w:jc w:val="center"/>
        </w:trPr>
        <w:tc>
          <w:tcPr>
            <w:tcW w:w="0" w:type="auto"/>
            <w:shd w:val="clear" w:color="auto" w:fill="auto"/>
            <w:vAlign w:val="center"/>
          </w:tcPr>
          <w:p w14:paraId="11C38008" w14:textId="77777777" w:rsidR="00CA49AC" w:rsidRPr="00B57AB7" w:rsidRDefault="00CA49AC" w:rsidP="00491595">
            <w:pPr>
              <w:pStyle w:val="Newparagraph"/>
              <w:spacing w:line="240" w:lineRule="auto"/>
              <w:ind w:firstLine="0"/>
              <w:jc w:val="center"/>
              <w:rPr>
                <w:rFonts w:ascii="Garamond" w:hAnsi="Garamond"/>
                <w:sz w:val="20"/>
                <w:szCs w:val="20"/>
                <w:lang w:val="en-US"/>
              </w:rPr>
            </w:pPr>
            <w:proofErr w:type="spellStart"/>
            <w:r w:rsidRPr="00B57AB7">
              <w:rPr>
                <w:rFonts w:ascii="Garamond" w:hAnsi="Garamond"/>
                <w:sz w:val="20"/>
                <w:szCs w:val="20"/>
                <w:lang w:val="en-US"/>
              </w:rPr>
              <w:t>Sargan</w:t>
            </w:r>
            <w:proofErr w:type="spellEnd"/>
          </w:p>
        </w:tc>
        <w:tc>
          <w:tcPr>
            <w:tcW w:w="0" w:type="auto"/>
            <w:shd w:val="clear" w:color="auto" w:fill="auto"/>
            <w:vAlign w:val="center"/>
          </w:tcPr>
          <w:p w14:paraId="12941331"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68.88</w:t>
            </w:r>
          </w:p>
          <w:p w14:paraId="4A174F12" w14:textId="55B0EA09"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(0.20)</w:t>
            </w:r>
          </w:p>
        </w:tc>
        <w:tc>
          <w:tcPr>
            <w:tcW w:w="0" w:type="auto"/>
            <w:shd w:val="clear" w:color="auto" w:fill="auto"/>
            <w:vAlign w:val="center"/>
          </w:tcPr>
          <w:p w14:paraId="7F0F2DB0"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68.69</w:t>
            </w:r>
          </w:p>
          <w:p w14:paraId="128ACE02" w14:textId="0458B1A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(0.20)</w:t>
            </w:r>
          </w:p>
        </w:tc>
        <w:tc>
          <w:tcPr>
            <w:tcW w:w="0" w:type="auto"/>
            <w:shd w:val="clear" w:color="auto" w:fill="auto"/>
            <w:vAlign w:val="center"/>
          </w:tcPr>
          <w:p w14:paraId="59A3F8C2"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56.43</w:t>
            </w:r>
          </w:p>
          <w:p w14:paraId="1697A94F" w14:textId="028B00F3"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(0.61)</w:t>
            </w:r>
          </w:p>
        </w:tc>
        <w:tc>
          <w:tcPr>
            <w:tcW w:w="0" w:type="auto"/>
            <w:shd w:val="clear" w:color="auto" w:fill="auto"/>
            <w:vAlign w:val="center"/>
          </w:tcPr>
          <w:p w14:paraId="2A9D8AF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60.31</w:t>
            </w:r>
          </w:p>
          <w:p w14:paraId="64AB5380" w14:textId="78E888A8"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(0.09</w:t>
            </w:r>
            <w:r w:rsidRPr="00B57AB7">
              <w:rPr>
                <w:rFonts w:ascii="Garamond" w:hAnsi="Garamond"/>
                <w:sz w:val="20"/>
                <w:szCs w:val="20"/>
              </w:rPr>
              <w:t>)</w:t>
            </w:r>
          </w:p>
        </w:tc>
        <w:tc>
          <w:tcPr>
            <w:tcW w:w="0" w:type="auto"/>
            <w:shd w:val="clear" w:color="auto" w:fill="auto"/>
            <w:vAlign w:val="center"/>
          </w:tcPr>
          <w:p w14:paraId="0BCF82F4"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58.91</w:t>
            </w:r>
          </w:p>
          <w:p w14:paraId="2B47A7D0" w14:textId="32DF901A"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(0.11</w:t>
            </w:r>
            <w:r w:rsidRPr="00B57AB7">
              <w:rPr>
                <w:rFonts w:ascii="Garamond" w:hAnsi="Garamond"/>
                <w:sz w:val="20"/>
                <w:szCs w:val="20"/>
              </w:rPr>
              <w:t>)</w:t>
            </w:r>
          </w:p>
        </w:tc>
        <w:tc>
          <w:tcPr>
            <w:tcW w:w="0" w:type="auto"/>
            <w:shd w:val="clear" w:color="auto" w:fill="auto"/>
            <w:vAlign w:val="center"/>
          </w:tcPr>
          <w:p w14:paraId="45A7F788"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62.54</w:t>
            </w:r>
          </w:p>
          <w:p w14:paraId="7B31CA6F" w14:textId="57CFFE30"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(0.06</w:t>
            </w:r>
            <w:r w:rsidRPr="00B57AB7">
              <w:rPr>
                <w:rFonts w:ascii="Garamond" w:hAnsi="Garamond"/>
                <w:sz w:val="20"/>
                <w:szCs w:val="20"/>
              </w:rPr>
              <w:t>)</w:t>
            </w:r>
          </w:p>
        </w:tc>
        <w:tc>
          <w:tcPr>
            <w:tcW w:w="0" w:type="auto"/>
            <w:shd w:val="clear" w:color="auto" w:fill="auto"/>
            <w:vAlign w:val="center"/>
          </w:tcPr>
          <w:p w14:paraId="1DDE1DAF"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47.23</w:t>
            </w:r>
          </w:p>
          <w:p w14:paraId="0D6F7DB0" w14:textId="6D25724D"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(0.23)</w:t>
            </w:r>
          </w:p>
        </w:tc>
        <w:tc>
          <w:tcPr>
            <w:tcW w:w="0" w:type="auto"/>
            <w:shd w:val="clear" w:color="auto" w:fill="auto"/>
            <w:vAlign w:val="center"/>
          </w:tcPr>
          <w:p w14:paraId="509EE8DC"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27.45</w:t>
            </w:r>
          </w:p>
          <w:p w14:paraId="6759B8FE" w14:textId="7B58278B"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(0.90)</w:t>
            </w:r>
          </w:p>
        </w:tc>
        <w:tc>
          <w:tcPr>
            <w:tcW w:w="0" w:type="auto"/>
            <w:shd w:val="clear" w:color="auto" w:fill="auto"/>
            <w:vAlign w:val="center"/>
          </w:tcPr>
          <w:p w14:paraId="7FF207B6" w14:textId="77777777"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50.15</w:t>
            </w:r>
          </w:p>
          <w:p w14:paraId="381C671C" w14:textId="031EDA04" w:rsidR="00CA49AC" w:rsidRPr="00B57AB7" w:rsidRDefault="00CA49AC" w:rsidP="00491595">
            <w:pPr>
              <w:pStyle w:val="Newparagraph"/>
              <w:spacing w:line="240" w:lineRule="auto"/>
              <w:ind w:firstLine="0"/>
              <w:jc w:val="center"/>
              <w:rPr>
                <w:rFonts w:ascii="Garamond" w:hAnsi="Garamond"/>
                <w:sz w:val="20"/>
                <w:szCs w:val="20"/>
                <w:lang w:val="en-US"/>
              </w:rPr>
            </w:pPr>
            <w:r w:rsidRPr="00B57AB7">
              <w:rPr>
                <w:rFonts w:ascii="Garamond" w:hAnsi="Garamond"/>
                <w:sz w:val="20"/>
                <w:szCs w:val="20"/>
                <w:lang w:val="en-US"/>
              </w:rPr>
              <w:t>(0.21)</w:t>
            </w:r>
          </w:p>
        </w:tc>
      </w:tr>
    </w:tbl>
    <w:p w14:paraId="7D2D5AB9" w14:textId="78523869" w:rsidR="00CA49AC" w:rsidRPr="00F9332A" w:rsidRDefault="00F9332A" w:rsidP="00C81351">
      <w:pPr>
        <w:pStyle w:val="Newparagraph"/>
        <w:spacing w:before="120" w:after="120" w:line="276" w:lineRule="auto"/>
        <w:ind w:firstLine="0"/>
        <w:jc w:val="both"/>
        <w:rPr>
          <w:rFonts w:ascii="Garamond" w:hAnsi="Garamond"/>
          <w:lang w:val="en-US"/>
        </w:rPr>
      </w:pPr>
      <w:r w:rsidRPr="00F9332A">
        <w:rPr>
          <w:rFonts w:ascii="Garamond" w:hAnsi="Garamond"/>
          <w:lang w:val="en-US"/>
        </w:rPr>
        <w:t xml:space="preserve">Results in table </w:t>
      </w:r>
      <w:r>
        <w:rPr>
          <w:rFonts w:ascii="Garamond" w:hAnsi="Garamond"/>
          <w:lang w:val="en-US"/>
        </w:rPr>
        <w:t>4 show determinants of banks' lending growth. Overall, government spending stimulates bank lending in the oil-exporting countries but has a detrimental effect in the case of an oil-importing country. Furthermore, we can say that while the demand for credit is mainly driven by economic growth in oil-importing countries, oil price hikes play a more important role in oil exporters. Our results also show that except for the insignificant effect of liquidity on banks in oil-importing countries, lending growth in the MENA region is positively affected by the size, liquidity, and capital position of banks in both subsamples. Finally and as expected, the inflation rate positively affects lending growth in both sub-samples. Finally, while lending growth is positively affected by higher interest ra</w:t>
      </w:r>
      <w:r w:rsidR="00DB427E">
        <w:rPr>
          <w:rFonts w:ascii="Garamond" w:hAnsi="Garamond"/>
          <w:lang w:val="en-US"/>
        </w:rPr>
        <w:t xml:space="preserve">tes in oil-exporting countries, </w:t>
      </w:r>
      <w:r>
        <w:rPr>
          <w:rFonts w:ascii="Garamond" w:hAnsi="Garamond"/>
          <w:lang w:val="en-US"/>
        </w:rPr>
        <w:t>lending growth in oil-importing countries is unaf</w:t>
      </w:r>
      <w:r w:rsidR="00DB427E">
        <w:rPr>
          <w:rFonts w:ascii="Garamond" w:hAnsi="Garamond"/>
          <w:lang w:val="en-US"/>
        </w:rPr>
        <w:t>fected by interest rates levels.</w:t>
      </w:r>
      <w:r>
        <w:rPr>
          <w:rFonts w:ascii="Garamond" w:hAnsi="Garamond"/>
          <w:lang w:val="en-US"/>
        </w:rPr>
        <w:t xml:space="preserve"> </w:t>
      </w:r>
      <w:r w:rsidR="00DB427E">
        <w:rPr>
          <w:rFonts w:ascii="Garamond" w:hAnsi="Garamond"/>
          <w:lang w:val="en-US"/>
        </w:rPr>
        <w:t>This</w:t>
      </w:r>
      <w:r>
        <w:rPr>
          <w:rFonts w:ascii="Garamond" w:hAnsi="Garamond"/>
          <w:lang w:val="en-US"/>
        </w:rPr>
        <w:t xml:space="preserve"> could be an indication of the presence of credit rationing. </w:t>
      </w:r>
    </w:p>
    <w:p w14:paraId="5EC84B9D" w14:textId="09BBE943" w:rsidR="008C5039" w:rsidRPr="00B57AB7" w:rsidRDefault="00E62A64" w:rsidP="00C81351">
      <w:pPr>
        <w:pStyle w:val="Heading1"/>
        <w:numPr>
          <w:ilvl w:val="0"/>
          <w:numId w:val="12"/>
        </w:numPr>
        <w:tabs>
          <w:tab w:val="left" w:pos="360"/>
        </w:tabs>
        <w:spacing w:before="120" w:after="120" w:line="276" w:lineRule="auto"/>
        <w:ind w:left="540" w:hanging="270"/>
        <w:contextualSpacing w:val="0"/>
        <w:jc w:val="both"/>
        <w:rPr>
          <w:szCs w:val="24"/>
          <w:lang w:val="en-US"/>
        </w:rPr>
      </w:pPr>
      <w:r w:rsidRPr="00B57AB7">
        <w:rPr>
          <w:szCs w:val="24"/>
          <w:lang w:val="en-US"/>
        </w:rPr>
        <w:t>Conclusions</w:t>
      </w:r>
    </w:p>
    <w:p w14:paraId="62EA4B2C" w14:textId="5D4BC89B" w:rsidR="00F9332A" w:rsidRDefault="00F9332A" w:rsidP="006D3861">
      <w:pPr>
        <w:spacing w:before="120" w:after="120" w:line="276" w:lineRule="auto"/>
        <w:jc w:val="both"/>
        <w:rPr>
          <w:rFonts w:ascii="Garamond" w:hAnsi="Garamond"/>
          <w:lang w:val="en-US"/>
        </w:rPr>
      </w:pPr>
      <w:r>
        <w:rPr>
          <w:rFonts w:ascii="Garamond" w:hAnsi="Garamond"/>
          <w:lang w:val="en-US"/>
        </w:rPr>
        <w:t xml:space="preserve">This paper investigates the role of government spending as a determinant of three aspects of banks performance in 179 banks from the MENA region between 2001 and 2019. To control for the impact of </w:t>
      </w:r>
      <w:r w:rsidR="006D3861">
        <w:rPr>
          <w:rFonts w:ascii="Garamond" w:hAnsi="Garamond"/>
          <w:lang w:val="en-US"/>
        </w:rPr>
        <w:t xml:space="preserve">the </w:t>
      </w:r>
      <w:r>
        <w:rPr>
          <w:rFonts w:ascii="Garamond" w:hAnsi="Garamond"/>
          <w:lang w:val="en-US"/>
        </w:rPr>
        <w:t xml:space="preserve">oil </w:t>
      </w:r>
      <w:r w:rsidR="006D3861">
        <w:rPr>
          <w:rFonts w:ascii="Garamond" w:hAnsi="Garamond"/>
          <w:lang w:val="en-US"/>
        </w:rPr>
        <w:t>sector on the banking system for some countries in the region</w:t>
      </w:r>
      <w:r>
        <w:rPr>
          <w:rFonts w:ascii="Garamond" w:hAnsi="Garamond"/>
          <w:lang w:val="en-US"/>
        </w:rPr>
        <w:t>, we divide our sample into banks from oil-importing and oil-importing countries.</w:t>
      </w:r>
      <w:r w:rsidR="00885ABC">
        <w:rPr>
          <w:rFonts w:ascii="Garamond" w:hAnsi="Garamond"/>
          <w:lang w:val="en-US"/>
        </w:rPr>
        <w:t xml:space="preserve"> Using a first-difference GMM estimation method, we evaluate the impact of government spending level and composition on three aspects of bank performance </w:t>
      </w:r>
      <w:r w:rsidR="009723A8">
        <w:rPr>
          <w:rFonts w:ascii="Garamond" w:hAnsi="Garamond"/>
          <w:lang w:val="en-US"/>
        </w:rPr>
        <w:t>in the</w:t>
      </w:r>
      <w:r w:rsidR="00885ABC">
        <w:rPr>
          <w:rFonts w:ascii="Garamond" w:hAnsi="Garamond"/>
          <w:lang w:val="en-US"/>
        </w:rPr>
        <w:t xml:space="preserve"> MENA region.</w:t>
      </w:r>
    </w:p>
    <w:p w14:paraId="2D7F9E09" w14:textId="52002910" w:rsidR="00527757" w:rsidRDefault="00F9332A">
      <w:pPr>
        <w:spacing w:before="120" w:after="120" w:line="276" w:lineRule="auto"/>
        <w:jc w:val="both"/>
        <w:rPr>
          <w:rFonts w:ascii="Garamond" w:hAnsi="Garamond"/>
          <w:lang w:val="en-US"/>
        </w:rPr>
      </w:pPr>
      <w:r>
        <w:rPr>
          <w:rFonts w:ascii="Garamond" w:hAnsi="Garamond"/>
          <w:lang w:val="en-US"/>
        </w:rPr>
        <w:t>The results</w:t>
      </w:r>
      <w:r w:rsidR="00F637C2" w:rsidRPr="00B57AB7">
        <w:rPr>
          <w:rFonts w:ascii="Garamond" w:hAnsi="Garamond"/>
          <w:lang w:val="en-US"/>
        </w:rPr>
        <w:t xml:space="preserve"> reflect the inherent heterogeneity of the MENA region economies.</w:t>
      </w:r>
      <w:r w:rsidR="00885ABC">
        <w:rPr>
          <w:rFonts w:ascii="Garamond" w:hAnsi="Garamond"/>
          <w:lang w:val="en-US"/>
        </w:rPr>
        <w:t xml:space="preserve"> We found that the determinants of banking performance differ according to the nature of the reliance of the economy on oil. </w:t>
      </w:r>
      <w:r w:rsidR="00F637C2" w:rsidRPr="00B57AB7">
        <w:rPr>
          <w:rFonts w:ascii="Garamond" w:hAnsi="Garamond"/>
          <w:lang w:val="en-US"/>
        </w:rPr>
        <w:t>In fact, the oil prices impact bank performance differently</w:t>
      </w:r>
      <w:r>
        <w:rPr>
          <w:rFonts w:ascii="Garamond" w:hAnsi="Garamond"/>
          <w:lang w:val="en-US"/>
        </w:rPr>
        <w:t xml:space="preserve"> in each subsample</w:t>
      </w:r>
      <w:r w:rsidR="00F637C2" w:rsidRPr="00B57AB7">
        <w:rPr>
          <w:rFonts w:ascii="Garamond" w:hAnsi="Garamond"/>
          <w:lang w:val="en-US"/>
        </w:rPr>
        <w:t xml:space="preserve">. For instance, while oil prices have a positive impact on bank performance </w:t>
      </w:r>
      <w:r w:rsidR="00740D53" w:rsidRPr="00B57AB7">
        <w:rPr>
          <w:rFonts w:ascii="Garamond" w:hAnsi="Garamond"/>
          <w:lang w:val="en-US"/>
        </w:rPr>
        <w:t>for</w:t>
      </w:r>
      <w:r w:rsidR="00F637C2" w:rsidRPr="00B57AB7">
        <w:rPr>
          <w:rFonts w:ascii="Garamond" w:hAnsi="Garamond"/>
          <w:lang w:val="en-US"/>
        </w:rPr>
        <w:t xml:space="preserve"> oil exporters, our results show that oil prices negatively affect bank performance</w:t>
      </w:r>
      <w:r w:rsidR="00740D53" w:rsidRPr="00B57AB7">
        <w:rPr>
          <w:rFonts w:ascii="Garamond" w:hAnsi="Garamond"/>
          <w:lang w:val="en-US"/>
        </w:rPr>
        <w:t xml:space="preserve"> in the country that rely on oil imports to satisfy their energy needs</w:t>
      </w:r>
      <w:r w:rsidR="00F637C2" w:rsidRPr="00B57AB7">
        <w:rPr>
          <w:rFonts w:ascii="Garamond" w:hAnsi="Garamond"/>
          <w:lang w:val="en-US"/>
        </w:rPr>
        <w:t>. These results can simply be explained by the role played by oil in each subsample. For oil exporters, oil</w:t>
      </w:r>
      <w:r w:rsidR="00C45071" w:rsidRPr="00B57AB7">
        <w:rPr>
          <w:rFonts w:ascii="Garamond" w:hAnsi="Garamond"/>
          <w:lang w:val="en-US"/>
        </w:rPr>
        <w:t xml:space="preserve"> is </w:t>
      </w:r>
      <w:r w:rsidR="005951A7" w:rsidRPr="00B57AB7">
        <w:rPr>
          <w:rFonts w:ascii="Garamond" w:hAnsi="Garamond"/>
          <w:lang w:val="en-US"/>
        </w:rPr>
        <w:t>the main</w:t>
      </w:r>
      <w:r w:rsidR="00C45071" w:rsidRPr="00B57AB7">
        <w:rPr>
          <w:rFonts w:ascii="Garamond" w:hAnsi="Garamond"/>
          <w:lang w:val="en-US"/>
        </w:rPr>
        <w:t xml:space="preserve"> revenue for the </w:t>
      </w:r>
      <w:r w:rsidR="00527757" w:rsidRPr="00B57AB7">
        <w:rPr>
          <w:rFonts w:ascii="Garamond" w:hAnsi="Garamond"/>
          <w:lang w:val="en-US"/>
        </w:rPr>
        <w:t xml:space="preserve">government </w:t>
      </w:r>
      <w:r w:rsidR="00C45071" w:rsidRPr="00B57AB7">
        <w:rPr>
          <w:rFonts w:ascii="Garamond" w:hAnsi="Garamond"/>
          <w:lang w:val="en-US"/>
        </w:rPr>
        <w:t xml:space="preserve">and </w:t>
      </w:r>
      <w:r w:rsidR="005951A7" w:rsidRPr="00B57AB7">
        <w:rPr>
          <w:rFonts w:ascii="Garamond" w:hAnsi="Garamond"/>
          <w:lang w:val="en-US"/>
        </w:rPr>
        <w:t xml:space="preserve">is </w:t>
      </w:r>
      <w:r w:rsidR="00C45071" w:rsidRPr="00B57AB7">
        <w:rPr>
          <w:rFonts w:ascii="Garamond" w:hAnsi="Garamond"/>
          <w:lang w:val="en-US"/>
        </w:rPr>
        <w:t>used to boost</w:t>
      </w:r>
      <w:r w:rsidR="00F637C2" w:rsidRPr="00B57AB7">
        <w:rPr>
          <w:rFonts w:ascii="Garamond" w:hAnsi="Garamond"/>
          <w:lang w:val="en-US"/>
        </w:rPr>
        <w:t xml:space="preserve"> </w:t>
      </w:r>
      <w:r w:rsidR="00527757" w:rsidRPr="00B57AB7">
        <w:rPr>
          <w:rFonts w:ascii="Garamond" w:hAnsi="Garamond"/>
          <w:lang w:val="en-US"/>
        </w:rPr>
        <w:t>the private sector</w:t>
      </w:r>
      <w:r w:rsidR="00F637C2" w:rsidRPr="00B57AB7">
        <w:rPr>
          <w:rFonts w:ascii="Garamond" w:hAnsi="Garamond"/>
          <w:lang w:val="en-US"/>
        </w:rPr>
        <w:t xml:space="preserve">. A hike in oil prices </w:t>
      </w:r>
      <w:r w:rsidR="00C45071" w:rsidRPr="00B57AB7">
        <w:rPr>
          <w:rFonts w:ascii="Garamond" w:hAnsi="Garamond"/>
          <w:lang w:val="en-US"/>
        </w:rPr>
        <w:t>increase</w:t>
      </w:r>
      <w:r w:rsidR="005951A7" w:rsidRPr="00B57AB7">
        <w:rPr>
          <w:rFonts w:ascii="Garamond" w:hAnsi="Garamond"/>
          <w:lang w:val="en-US"/>
        </w:rPr>
        <w:t>s</w:t>
      </w:r>
      <w:r w:rsidR="00F637C2" w:rsidRPr="00B57AB7">
        <w:rPr>
          <w:rFonts w:ascii="Garamond" w:hAnsi="Garamond"/>
          <w:lang w:val="en-US"/>
        </w:rPr>
        <w:t xml:space="preserve"> spending and aggregate demand. However, for the net </w:t>
      </w:r>
      <w:r w:rsidR="00C45071" w:rsidRPr="00B57AB7">
        <w:rPr>
          <w:rFonts w:ascii="Garamond" w:hAnsi="Garamond"/>
          <w:lang w:val="en-US"/>
        </w:rPr>
        <w:t xml:space="preserve">oil importers, rising price is </w:t>
      </w:r>
      <w:r w:rsidR="00F637C2" w:rsidRPr="00B57AB7">
        <w:rPr>
          <w:rFonts w:ascii="Garamond" w:hAnsi="Garamond"/>
          <w:lang w:val="en-US"/>
        </w:rPr>
        <w:t>a significant burden on the budget balance of the government</w:t>
      </w:r>
      <w:r w:rsidR="00C45071" w:rsidRPr="00B57AB7">
        <w:rPr>
          <w:rFonts w:ascii="Garamond" w:hAnsi="Garamond"/>
          <w:lang w:val="en-US"/>
        </w:rPr>
        <w:t xml:space="preserve"> and </w:t>
      </w:r>
      <w:r w:rsidR="00F637C2" w:rsidRPr="00B57AB7">
        <w:rPr>
          <w:rFonts w:ascii="Garamond" w:hAnsi="Garamond"/>
          <w:lang w:val="en-US"/>
        </w:rPr>
        <w:t>put a strain on aggregate demand, and bank performance.</w:t>
      </w:r>
      <w:r w:rsidR="00885ABC">
        <w:rPr>
          <w:rFonts w:ascii="Garamond" w:hAnsi="Garamond"/>
          <w:lang w:val="en-US"/>
        </w:rPr>
        <w:t xml:space="preserve"> </w:t>
      </w:r>
    </w:p>
    <w:p w14:paraId="39623FA1" w14:textId="3D7EC40D" w:rsidR="00885ABC" w:rsidRDefault="00885ABC">
      <w:pPr>
        <w:spacing w:before="120" w:after="120" w:line="276" w:lineRule="auto"/>
        <w:jc w:val="both"/>
        <w:rPr>
          <w:rFonts w:ascii="Garamond" w:hAnsi="Garamond"/>
          <w:lang w:val="en-US"/>
        </w:rPr>
      </w:pPr>
      <w:r>
        <w:rPr>
          <w:rFonts w:ascii="Garamond" w:hAnsi="Garamond"/>
          <w:lang w:val="en-US"/>
        </w:rPr>
        <w:t>In the same vein, the response of the banking sector</w:t>
      </w:r>
      <w:r w:rsidR="009723A8">
        <w:rPr>
          <w:rFonts w:ascii="Garamond" w:hAnsi="Garamond"/>
          <w:lang w:val="en-US"/>
        </w:rPr>
        <w:t>'s</w:t>
      </w:r>
      <w:r>
        <w:rPr>
          <w:rFonts w:ascii="Garamond" w:hAnsi="Garamond"/>
          <w:lang w:val="en-US"/>
        </w:rPr>
        <w:t xml:space="preserve"> performance to government spending differs between oil importers and exporters. For oil</w:t>
      </w:r>
      <w:r w:rsidR="009723A8">
        <w:rPr>
          <w:rFonts w:ascii="Garamond" w:hAnsi="Garamond"/>
          <w:lang w:val="en-US"/>
        </w:rPr>
        <w:t>-</w:t>
      </w:r>
      <w:r>
        <w:rPr>
          <w:rFonts w:ascii="Garamond" w:hAnsi="Garamond"/>
          <w:lang w:val="en-US"/>
        </w:rPr>
        <w:t>exporting countries, current spending has a positive impact on all measured aspect</w:t>
      </w:r>
      <w:r w:rsidR="009723A8">
        <w:rPr>
          <w:rFonts w:ascii="Garamond" w:hAnsi="Garamond"/>
          <w:lang w:val="en-US"/>
        </w:rPr>
        <w:t>s</w:t>
      </w:r>
      <w:r>
        <w:rPr>
          <w:rFonts w:ascii="Garamond" w:hAnsi="Garamond"/>
          <w:lang w:val="en-US"/>
        </w:rPr>
        <w:t xml:space="preserve"> of bank performance. This is mainly due to the crucial role that current spending play</w:t>
      </w:r>
      <w:r w:rsidR="009723A8">
        <w:rPr>
          <w:rFonts w:ascii="Garamond" w:hAnsi="Garamond"/>
          <w:lang w:val="en-US"/>
        </w:rPr>
        <w:t>s</w:t>
      </w:r>
      <w:r>
        <w:rPr>
          <w:rFonts w:ascii="Garamond" w:hAnsi="Garamond"/>
          <w:lang w:val="en-US"/>
        </w:rPr>
        <w:t xml:space="preserve"> in stimulating aggregate demand. On the other hand, capital spending is detrimental to investment and leverage efficiency in banks in this sub-sample. Using oil revenues, oil exporters </w:t>
      </w:r>
      <w:r w:rsidR="009723A8">
        <w:rPr>
          <w:rFonts w:ascii="Garamond" w:hAnsi="Garamond"/>
          <w:lang w:val="en-US"/>
        </w:rPr>
        <w:t>can</w:t>
      </w:r>
      <w:r>
        <w:rPr>
          <w:rFonts w:ascii="Garamond" w:hAnsi="Garamond"/>
          <w:lang w:val="en-US"/>
        </w:rPr>
        <w:t xml:space="preserve"> undertake massive infrastructure projects without relying on internal debt. While this can lay the ground for </w:t>
      </w:r>
      <w:r w:rsidR="009723A8">
        <w:rPr>
          <w:rFonts w:ascii="Garamond" w:hAnsi="Garamond"/>
          <w:lang w:val="en-US"/>
        </w:rPr>
        <w:t xml:space="preserve">a </w:t>
      </w:r>
      <w:r>
        <w:rPr>
          <w:rFonts w:ascii="Garamond" w:hAnsi="Garamond"/>
          <w:lang w:val="en-US"/>
        </w:rPr>
        <w:t>more profitable private sector in the future, capital expenditure crowd</w:t>
      </w:r>
      <w:r w:rsidR="009723A8">
        <w:rPr>
          <w:rFonts w:ascii="Garamond" w:hAnsi="Garamond"/>
          <w:lang w:val="en-US"/>
        </w:rPr>
        <w:t xml:space="preserve"> </w:t>
      </w:r>
      <w:r>
        <w:rPr>
          <w:rFonts w:ascii="Garamond" w:hAnsi="Garamond"/>
          <w:lang w:val="en-US"/>
        </w:rPr>
        <w:t>out private sector investment and demand for credit, which reduce bank performance. Overall, government spending in oil</w:t>
      </w:r>
      <w:r w:rsidR="009723A8">
        <w:rPr>
          <w:rFonts w:ascii="Garamond" w:hAnsi="Garamond"/>
          <w:lang w:val="en-US"/>
        </w:rPr>
        <w:t>-</w:t>
      </w:r>
      <w:r>
        <w:rPr>
          <w:rFonts w:ascii="Garamond" w:hAnsi="Garamond"/>
          <w:lang w:val="en-US"/>
        </w:rPr>
        <w:t xml:space="preserve">exporting counties is a significant driver of the growth of the banking </w:t>
      </w:r>
      <w:r>
        <w:rPr>
          <w:rFonts w:ascii="Garamond" w:hAnsi="Garamond"/>
          <w:lang w:val="en-US"/>
        </w:rPr>
        <w:lastRenderedPageBreak/>
        <w:t>sector. However, the crowding-out effect of capital spending seem</w:t>
      </w:r>
      <w:r w:rsidR="009723A8">
        <w:rPr>
          <w:rFonts w:ascii="Garamond" w:hAnsi="Garamond"/>
          <w:lang w:val="en-US"/>
        </w:rPr>
        <w:t>s</w:t>
      </w:r>
      <w:r>
        <w:rPr>
          <w:rFonts w:ascii="Garamond" w:hAnsi="Garamond"/>
          <w:lang w:val="en-US"/>
        </w:rPr>
        <w:t xml:space="preserve"> to reduce the profitability of banking operations in the region.</w:t>
      </w:r>
    </w:p>
    <w:p w14:paraId="6549FAA9" w14:textId="2824B7EC" w:rsidR="00885ABC" w:rsidRPr="00B258BB" w:rsidRDefault="00885ABC" w:rsidP="00E13B94">
      <w:pPr>
        <w:spacing w:before="120" w:after="120" w:line="276" w:lineRule="auto"/>
        <w:jc w:val="both"/>
        <w:rPr>
          <w:rFonts w:ascii="Garamond" w:hAnsi="Garamond"/>
          <w:lang w:val="en-US"/>
        </w:rPr>
      </w:pPr>
      <w:r>
        <w:rPr>
          <w:rFonts w:ascii="Garamond" w:hAnsi="Garamond"/>
          <w:lang w:val="en-US"/>
        </w:rPr>
        <w:t>Analyzing the impact of government spending on banks from oil</w:t>
      </w:r>
      <w:r w:rsidR="009723A8">
        <w:rPr>
          <w:rFonts w:ascii="Garamond" w:hAnsi="Garamond"/>
          <w:lang w:val="en-US"/>
        </w:rPr>
        <w:t>-</w:t>
      </w:r>
      <w:r>
        <w:rPr>
          <w:rFonts w:ascii="Garamond" w:hAnsi="Garamond"/>
          <w:lang w:val="en-US"/>
        </w:rPr>
        <w:t>importing countries paints a grimmer picture. Similar to its effect on oil exporters, capital spending negatively affects bank performance in oil</w:t>
      </w:r>
      <w:r w:rsidR="009723A8">
        <w:rPr>
          <w:rFonts w:ascii="Garamond" w:hAnsi="Garamond"/>
          <w:lang w:val="en-US"/>
        </w:rPr>
        <w:t>-</w:t>
      </w:r>
      <w:r>
        <w:rPr>
          <w:rFonts w:ascii="Garamond" w:hAnsi="Garamond"/>
          <w:lang w:val="en-US"/>
        </w:rPr>
        <w:t xml:space="preserve">importing countries. </w:t>
      </w:r>
      <w:r w:rsidR="009743DB">
        <w:rPr>
          <w:rFonts w:ascii="Garamond" w:hAnsi="Garamond"/>
          <w:lang w:val="en-US"/>
        </w:rPr>
        <w:t>On</w:t>
      </w:r>
      <w:r>
        <w:rPr>
          <w:rFonts w:ascii="Garamond" w:hAnsi="Garamond"/>
          <w:lang w:val="en-US"/>
        </w:rPr>
        <w:t xml:space="preserve"> the other hand, </w:t>
      </w:r>
      <w:r w:rsidR="009723A8">
        <w:rPr>
          <w:rFonts w:ascii="Garamond" w:hAnsi="Garamond"/>
          <w:lang w:val="en-US"/>
        </w:rPr>
        <w:t xml:space="preserve">the </w:t>
      </w:r>
      <w:r>
        <w:rPr>
          <w:rFonts w:ascii="Garamond" w:hAnsi="Garamond"/>
          <w:lang w:val="en-US"/>
        </w:rPr>
        <w:t>current spending effect on bank performance is</w:t>
      </w:r>
      <w:r w:rsidR="00BD2132">
        <w:rPr>
          <w:rFonts w:ascii="Garamond" w:hAnsi="Garamond"/>
          <w:lang w:val="en-US"/>
        </w:rPr>
        <w:t xml:space="preserve"> more</w:t>
      </w:r>
      <w:r>
        <w:rPr>
          <w:rFonts w:ascii="Garamond" w:hAnsi="Garamond"/>
          <w:lang w:val="en-US"/>
        </w:rPr>
        <w:t xml:space="preserve"> ambiguous as it improves ROA, harms lending growth</w:t>
      </w:r>
      <w:r w:rsidR="009723A8">
        <w:rPr>
          <w:rFonts w:ascii="Garamond" w:hAnsi="Garamond"/>
          <w:lang w:val="en-US"/>
        </w:rPr>
        <w:t>,</w:t>
      </w:r>
      <w:r>
        <w:rPr>
          <w:rFonts w:ascii="Garamond" w:hAnsi="Garamond"/>
          <w:lang w:val="en-US"/>
        </w:rPr>
        <w:t xml:space="preserve"> and </w:t>
      </w:r>
      <w:r w:rsidR="00BD2132">
        <w:rPr>
          <w:rFonts w:ascii="Garamond" w:hAnsi="Garamond"/>
          <w:lang w:val="en-US"/>
        </w:rPr>
        <w:t>does not affect</w:t>
      </w:r>
      <w:r>
        <w:rPr>
          <w:rFonts w:ascii="Garamond" w:hAnsi="Garamond"/>
          <w:lang w:val="en-US"/>
        </w:rPr>
        <w:t xml:space="preserve"> ROE</w:t>
      </w:r>
      <w:r w:rsidR="0001451F">
        <w:rPr>
          <w:rFonts w:ascii="Garamond" w:hAnsi="Garamond"/>
          <w:lang w:val="en-US"/>
        </w:rPr>
        <w:t>.</w:t>
      </w:r>
      <w:r w:rsidR="00BD2132">
        <w:rPr>
          <w:rFonts w:ascii="Garamond" w:hAnsi="Garamond"/>
          <w:lang w:val="en-US"/>
        </w:rPr>
        <w:t xml:space="preserve"> Overall, the results show a negative impact of bank performance on oil importers through the negative effect of current and capital spending on credit intensity. </w:t>
      </w:r>
    </w:p>
    <w:p w14:paraId="3F7E1BA3" w14:textId="0A3FEF6A" w:rsidR="00BD2132" w:rsidRPr="00E13B94" w:rsidRDefault="00BD2132" w:rsidP="00E13B94">
      <w:pPr>
        <w:spacing w:before="120" w:after="120" w:line="276" w:lineRule="auto"/>
        <w:jc w:val="both"/>
        <w:rPr>
          <w:rFonts w:ascii="Garamond" w:hAnsi="Garamond"/>
          <w:lang w:val="en-US"/>
        </w:rPr>
      </w:pPr>
      <w:r w:rsidRPr="00E13B94">
        <w:rPr>
          <w:rFonts w:ascii="Garamond" w:hAnsi="Garamond"/>
          <w:lang w:val="en-US"/>
        </w:rPr>
        <w:t xml:space="preserve">To sum up, our findings shed a light on the role of the government spending level and composition on bank performance. </w:t>
      </w:r>
      <w:r w:rsidRPr="00E13B94">
        <w:rPr>
          <w:rFonts w:ascii="Garamond" w:hAnsi="Garamond"/>
          <w:lang w:val="en-US"/>
        </w:rPr>
        <w:tab/>
        <w:t>Fiscal policy in the MENA region is greatly affected by oil prices and can have unintended effects on the banking sector. While oil hikes permit oil exporters in the MENA region to use their fiscal revenues to boost aggregate demand and thus the demand for bank credit and intermediation services through current spending, their high levels of capital spending crowd out the private sector and put pressure on the banking sector's margins. On the other hand, both current and capital government expenditure in oil-importing countries harms credit growth, which can use an unintended negative effect on bank profitability. Further inquiry is required to assess the channels by which the negative effect of spending on credit affects bank performance in oil-importing countries.</w:t>
      </w:r>
    </w:p>
    <w:p w14:paraId="119A2A7C" w14:textId="625C9C21" w:rsidR="00885ABC" w:rsidRDefault="00885ABC" w:rsidP="00BD2132">
      <w:pPr>
        <w:pStyle w:val="Newparagraph"/>
        <w:spacing w:line="276" w:lineRule="auto"/>
        <w:ind w:firstLine="0"/>
        <w:jc w:val="both"/>
        <w:rPr>
          <w:rFonts w:ascii="Garamond" w:hAnsi="Garamond"/>
          <w:strike/>
          <w:color w:val="FF0000"/>
          <w:lang w:val="en-US"/>
        </w:rPr>
      </w:pPr>
    </w:p>
    <w:p w14:paraId="510DC74E" w14:textId="77777777" w:rsidR="00E13B94" w:rsidRDefault="00E13B94">
      <w:pPr>
        <w:spacing w:line="240" w:lineRule="auto"/>
        <w:rPr>
          <w:rFonts w:ascii="Garamond" w:hAnsi="Garamond" w:cs="Arial"/>
          <w:b/>
          <w:bCs/>
          <w:kern w:val="32"/>
          <w:sz w:val="28"/>
          <w:lang w:val="en-US"/>
        </w:rPr>
      </w:pPr>
      <w:r>
        <w:rPr>
          <w:lang w:val="en-US"/>
        </w:rPr>
        <w:br w:type="page"/>
      </w:r>
    </w:p>
    <w:p w14:paraId="333D6488" w14:textId="7E565527" w:rsidR="00F97C0F" w:rsidRPr="00B258BB" w:rsidRDefault="00B258BB" w:rsidP="00B258BB">
      <w:pPr>
        <w:pStyle w:val="Heading1"/>
        <w:tabs>
          <w:tab w:val="left" w:pos="360"/>
        </w:tabs>
        <w:spacing w:before="120" w:after="360" w:line="276" w:lineRule="auto"/>
        <w:ind w:left="274" w:right="562"/>
        <w:contextualSpacing w:val="0"/>
        <w:jc w:val="both"/>
        <w:rPr>
          <w:szCs w:val="24"/>
          <w:lang w:val="en-US"/>
        </w:rPr>
      </w:pPr>
      <w:r w:rsidRPr="00B258BB">
        <w:rPr>
          <w:szCs w:val="24"/>
          <w:lang w:val="en-US"/>
        </w:rPr>
        <w:lastRenderedPageBreak/>
        <w:t>REFERENCES</w:t>
      </w:r>
    </w:p>
    <w:p w14:paraId="5FD1A779" w14:textId="3E56519A"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b/>
          <w:bCs/>
          <w:lang w:val="en-US"/>
        </w:rPr>
        <w:fldChar w:fldCharType="begin" w:fldLock="1"/>
      </w:r>
      <w:r w:rsidRPr="00B258BB">
        <w:rPr>
          <w:rFonts w:ascii="Garamond" w:hAnsi="Garamond"/>
          <w:b/>
          <w:bCs/>
          <w:lang w:val="en-US"/>
        </w:rPr>
        <w:instrText xml:space="preserve">ADDIN Mendeley Bibliography CSL_BIBLIOGRAPHY </w:instrText>
      </w:r>
      <w:r w:rsidRPr="00B258BB">
        <w:rPr>
          <w:rFonts w:ascii="Garamond" w:hAnsi="Garamond"/>
          <w:b/>
          <w:bCs/>
          <w:lang w:val="en-US"/>
        </w:rPr>
        <w:fldChar w:fldCharType="separate"/>
      </w:r>
      <w:r w:rsidRPr="00B258BB">
        <w:rPr>
          <w:rFonts w:ascii="Garamond" w:hAnsi="Garamond"/>
          <w:noProof/>
          <w:lang w:val="en-US"/>
        </w:rPr>
        <w:t xml:space="preserve">Abdul Hadi, A. R., Hussain, H. I., Suryanto, T., &amp; Eddy Yap, T. H. (2018). Bank’s performance and its determinants – Evidence from middle east, Indian sub-continent and African banks. </w:t>
      </w:r>
      <w:r w:rsidRPr="00B258BB">
        <w:rPr>
          <w:rFonts w:ascii="Garamond" w:hAnsi="Garamond"/>
          <w:i/>
          <w:iCs/>
          <w:noProof/>
          <w:lang w:val="en-US"/>
        </w:rPr>
        <w:t>Polish Journal of Management Studies</w:t>
      </w:r>
      <w:r w:rsidRPr="00B258BB">
        <w:rPr>
          <w:rFonts w:ascii="Garamond" w:hAnsi="Garamond"/>
          <w:noProof/>
          <w:lang w:val="en-US"/>
        </w:rPr>
        <w:t xml:space="preserve">, </w:t>
      </w:r>
      <w:r w:rsidRPr="00B258BB">
        <w:rPr>
          <w:rFonts w:ascii="Garamond" w:hAnsi="Garamond"/>
          <w:i/>
          <w:iCs/>
          <w:noProof/>
          <w:lang w:val="en-US"/>
        </w:rPr>
        <w:t>17</w:t>
      </w:r>
      <w:r w:rsidRPr="00B258BB">
        <w:rPr>
          <w:rFonts w:ascii="Garamond" w:hAnsi="Garamond"/>
          <w:noProof/>
          <w:lang w:val="en-US"/>
        </w:rPr>
        <w:t>(1), 17–26. https://doi.org/10.17512/pjms.2018.17.1.02</w:t>
      </w:r>
    </w:p>
    <w:p w14:paraId="0912BE2D"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Alshammari, N. (2020). The Spillover Effect Of Government Spending On Banking Performance In Kuwait. </w:t>
      </w:r>
      <w:r w:rsidRPr="00B258BB">
        <w:rPr>
          <w:rFonts w:ascii="Garamond" w:hAnsi="Garamond"/>
          <w:i/>
          <w:iCs/>
          <w:noProof/>
          <w:lang w:val="en-US"/>
        </w:rPr>
        <w:t>Arab Journal of Administrative Science</w:t>
      </w:r>
      <w:r w:rsidRPr="00B258BB">
        <w:rPr>
          <w:rFonts w:ascii="Garamond" w:hAnsi="Garamond"/>
          <w:noProof/>
          <w:lang w:val="en-US"/>
        </w:rPr>
        <w:t xml:space="preserve">, </w:t>
      </w:r>
      <w:r w:rsidRPr="00B258BB">
        <w:rPr>
          <w:rFonts w:ascii="Garamond" w:hAnsi="Garamond"/>
          <w:i/>
          <w:iCs/>
          <w:noProof/>
          <w:lang w:val="en-US"/>
        </w:rPr>
        <w:t>27</w:t>
      </w:r>
      <w:r w:rsidRPr="00B258BB">
        <w:rPr>
          <w:rFonts w:ascii="Garamond" w:hAnsi="Garamond"/>
          <w:noProof/>
          <w:lang w:val="en-US"/>
        </w:rPr>
        <w:t>(1), 85. https://doi.org/10.34120/0430-027-001-004</w:t>
      </w:r>
    </w:p>
    <w:p w14:paraId="2F16896F"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Arellano, M., &amp; Bond, S. (1991). Some tests of specification for panel data:monte carlo evidence and an application to employment equations. </w:t>
      </w:r>
      <w:r w:rsidRPr="00B258BB">
        <w:rPr>
          <w:rFonts w:ascii="Garamond" w:hAnsi="Garamond"/>
          <w:i/>
          <w:iCs/>
          <w:noProof/>
          <w:lang w:val="en-US"/>
        </w:rPr>
        <w:t>Review of Economic Studies</w:t>
      </w:r>
      <w:r w:rsidRPr="00B258BB">
        <w:rPr>
          <w:rFonts w:ascii="Garamond" w:hAnsi="Garamond"/>
          <w:noProof/>
          <w:lang w:val="en-US"/>
        </w:rPr>
        <w:t xml:space="preserve">, </w:t>
      </w:r>
      <w:r w:rsidRPr="00B258BB">
        <w:rPr>
          <w:rFonts w:ascii="Garamond" w:hAnsi="Garamond"/>
          <w:i/>
          <w:iCs/>
          <w:noProof/>
          <w:lang w:val="en-US"/>
        </w:rPr>
        <w:t>58</w:t>
      </w:r>
      <w:r w:rsidRPr="00B258BB">
        <w:rPr>
          <w:rFonts w:ascii="Garamond" w:hAnsi="Garamond"/>
          <w:noProof/>
          <w:lang w:val="en-US"/>
        </w:rPr>
        <w:t>(2), 277–297. https://doi.org/10.2307/2297968</w:t>
      </w:r>
    </w:p>
    <w:p w14:paraId="0EA32CF0" w14:textId="0511FD0B" w:rsidR="00FE6FBA" w:rsidRPr="00B258BB" w:rsidRDefault="00FE6FBA" w:rsidP="00B0105E">
      <w:pPr>
        <w:widowControl w:val="0"/>
        <w:autoSpaceDE w:val="0"/>
        <w:autoSpaceDN w:val="0"/>
        <w:adjustRightInd w:val="0"/>
        <w:spacing w:line="360" w:lineRule="auto"/>
        <w:ind w:left="480" w:hanging="480"/>
        <w:rPr>
          <w:rFonts w:ascii="Garamond" w:hAnsi="Garamond"/>
          <w:noProof/>
          <w:lang w:val="en-US"/>
        </w:rPr>
      </w:pPr>
      <w:r w:rsidRPr="00B258BB">
        <w:rPr>
          <w:rFonts w:ascii="Garamond" w:hAnsi="Garamond"/>
          <w:noProof/>
          <w:lang w:val="en-US"/>
        </w:rPr>
        <w:t xml:space="preserve">Asimakopoulos, S., &amp; Karavias, Y. (2016). The impact of government size on economic growth: A threshold analysis. </w:t>
      </w:r>
      <w:r w:rsidRPr="00B258BB">
        <w:rPr>
          <w:rFonts w:ascii="Garamond" w:hAnsi="Garamond"/>
          <w:i/>
          <w:iCs/>
          <w:noProof/>
          <w:lang w:val="en-US"/>
        </w:rPr>
        <w:t>Economics Letters</w:t>
      </w:r>
      <w:r w:rsidRPr="00B258BB">
        <w:rPr>
          <w:rFonts w:ascii="Garamond" w:hAnsi="Garamond"/>
          <w:noProof/>
          <w:lang w:val="en-US"/>
        </w:rPr>
        <w:t xml:space="preserve">, </w:t>
      </w:r>
      <w:r w:rsidRPr="00B258BB">
        <w:rPr>
          <w:rFonts w:ascii="Garamond" w:hAnsi="Garamond"/>
          <w:i/>
          <w:iCs/>
          <w:noProof/>
          <w:lang w:val="en-US"/>
        </w:rPr>
        <w:t>139</w:t>
      </w:r>
      <w:r w:rsidRPr="00B258BB">
        <w:rPr>
          <w:rFonts w:ascii="Garamond" w:hAnsi="Garamond"/>
          <w:noProof/>
          <w:lang w:val="en-US"/>
        </w:rPr>
        <w:t>, 65–68.</w:t>
      </w:r>
      <w:r w:rsidR="00B0105E">
        <w:rPr>
          <w:rFonts w:ascii="Garamond" w:hAnsi="Garamond"/>
          <w:noProof/>
          <w:lang w:val="en-US"/>
        </w:rPr>
        <w:t xml:space="preserve"> </w:t>
      </w:r>
      <w:r w:rsidRPr="00B258BB">
        <w:rPr>
          <w:rFonts w:ascii="Garamond" w:hAnsi="Garamond"/>
          <w:noProof/>
          <w:lang w:val="en-US"/>
        </w:rPr>
        <w:t>https://doi.org/10.1016/j.econlet.2015.12.010</w:t>
      </w:r>
    </w:p>
    <w:p w14:paraId="24FF9CDA" w14:textId="0EFC77CF" w:rsidR="00FE6FBA" w:rsidRPr="00B258BB" w:rsidRDefault="00FE6FBA" w:rsidP="006C25CC">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Barro, R. J. (1990). Government Spending in a Simple Model of </w:t>
      </w:r>
      <w:r w:rsidR="006C25CC">
        <w:rPr>
          <w:rFonts w:ascii="Garamond" w:hAnsi="Garamond"/>
          <w:noProof/>
          <w:lang w:val="en-US"/>
        </w:rPr>
        <w:t>Endogenous</w:t>
      </w:r>
      <w:r w:rsidRPr="00B258BB">
        <w:rPr>
          <w:rFonts w:ascii="Garamond" w:hAnsi="Garamond"/>
          <w:noProof/>
          <w:lang w:val="en-US"/>
        </w:rPr>
        <w:t xml:space="preserve"> Growth. </w:t>
      </w:r>
      <w:r w:rsidRPr="00B258BB">
        <w:rPr>
          <w:rFonts w:ascii="Garamond" w:hAnsi="Garamond"/>
          <w:i/>
          <w:iCs/>
          <w:noProof/>
          <w:lang w:val="en-US"/>
        </w:rPr>
        <w:t>Journal of Political Economy</w:t>
      </w:r>
      <w:r w:rsidRPr="00B258BB">
        <w:rPr>
          <w:rFonts w:ascii="Garamond" w:hAnsi="Garamond"/>
          <w:noProof/>
          <w:lang w:val="en-US"/>
        </w:rPr>
        <w:t xml:space="preserve">, </w:t>
      </w:r>
      <w:r w:rsidRPr="00B258BB">
        <w:rPr>
          <w:rFonts w:ascii="Garamond" w:hAnsi="Garamond"/>
          <w:i/>
          <w:iCs/>
          <w:noProof/>
          <w:lang w:val="en-US"/>
        </w:rPr>
        <w:t>98</w:t>
      </w:r>
      <w:r w:rsidRPr="00B258BB">
        <w:rPr>
          <w:rFonts w:ascii="Garamond" w:hAnsi="Garamond"/>
          <w:noProof/>
          <w:lang w:val="en-US"/>
        </w:rPr>
        <w:t>(5, Part 2), S103–S125. https://doi.org/10.1086/261726</w:t>
      </w:r>
    </w:p>
    <w:p w14:paraId="7D310A5E"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Berger, A. N., Bonime, S. D., Covitz, D. M., &amp; Hancock, D. (2000). Why are bank profits so persistent? The roles of product market competition, informational opacity, and regional/macroeconomic shocks. </w:t>
      </w:r>
      <w:r w:rsidRPr="00B258BB">
        <w:rPr>
          <w:rFonts w:ascii="Garamond" w:hAnsi="Garamond"/>
          <w:i/>
          <w:iCs/>
          <w:noProof/>
          <w:lang w:val="en-US"/>
        </w:rPr>
        <w:t>Journal of Banking and Finance</w:t>
      </w:r>
      <w:r w:rsidRPr="00B258BB">
        <w:rPr>
          <w:rFonts w:ascii="Garamond" w:hAnsi="Garamond"/>
          <w:noProof/>
          <w:lang w:val="en-US"/>
        </w:rPr>
        <w:t xml:space="preserve">, </w:t>
      </w:r>
      <w:r w:rsidRPr="00B258BB">
        <w:rPr>
          <w:rFonts w:ascii="Garamond" w:hAnsi="Garamond"/>
          <w:i/>
          <w:iCs/>
          <w:noProof/>
          <w:lang w:val="en-US"/>
        </w:rPr>
        <w:t>24</w:t>
      </w:r>
      <w:r w:rsidRPr="00B258BB">
        <w:rPr>
          <w:rFonts w:ascii="Garamond" w:hAnsi="Garamond"/>
          <w:noProof/>
          <w:lang w:val="en-US"/>
        </w:rPr>
        <w:t>(7), 1203–1235. https://doi.org/10.1016/S0378-4266(99)00124-7</w:t>
      </w:r>
    </w:p>
    <w:p w14:paraId="5D67BAAC"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rPr>
      </w:pPr>
      <w:r w:rsidRPr="00B258BB">
        <w:rPr>
          <w:rFonts w:ascii="Garamond" w:hAnsi="Garamond"/>
          <w:noProof/>
          <w:lang w:val="en-US"/>
        </w:rPr>
        <w:t xml:space="preserve">Bose, N., Haque, M. E., &amp; Osborn, D. R. (2007). Public Expenditure and Economic Growth: A Disaggregated Analysis for Developing Countries. </w:t>
      </w:r>
      <w:r w:rsidRPr="00B258BB">
        <w:rPr>
          <w:rFonts w:ascii="Garamond" w:hAnsi="Garamond"/>
          <w:i/>
          <w:iCs/>
          <w:noProof/>
        </w:rPr>
        <w:t>Journal Compilation</w:t>
      </w:r>
      <w:r w:rsidRPr="00B258BB">
        <w:rPr>
          <w:rFonts w:ascii="Garamond" w:hAnsi="Garamond"/>
          <w:noProof/>
        </w:rPr>
        <w:t xml:space="preserve">, </w:t>
      </w:r>
      <w:r w:rsidRPr="00B258BB">
        <w:rPr>
          <w:rFonts w:ascii="Garamond" w:hAnsi="Garamond"/>
          <w:i/>
          <w:iCs/>
          <w:noProof/>
        </w:rPr>
        <w:t>75</w:t>
      </w:r>
      <w:r w:rsidRPr="00B258BB">
        <w:rPr>
          <w:rFonts w:ascii="Garamond" w:hAnsi="Garamond"/>
          <w:noProof/>
        </w:rPr>
        <w:t>(5). https://www.researchgate.net/publication/4994329</w:t>
      </w:r>
    </w:p>
    <w:p w14:paraId="6F714281"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rPr>
        <w:t xml:space="preserve">Butkiewicz, J. L., &amp; Yanikkaya, H. (2011). </w:t>
      </w:r>
      <w:r w:rsidRPr="00B258BB">
        <w:rPr>
          <w:rFonts w:ascii="Garamond" w:hAnsi="Garamond"/>
          <w:noProof/>
          <w:lang w:val="en-US"/>
        </w:rPr>
        <w:t xml:space="preserve">Institutions and the impact of government spending on growth. </w:t>
      </w:r>
      <w:r w:rsidRPr="00B258BB">
        <w:rPr>
          <w:rFonts w:ascii="Garamond" w:hAnsi="Garamond"/>
          <w:i/>
          <w:iCs/>
          <w:noProof/>
          <w:lang w:val="en-US"/>
        </w:rPr>
        <w:t>Journal of Applied Economics</w:t>
      </w:r>
      <w:r w:rsidRPr="00B258BB">
        <w:rPr>
          <w:rFonts w:ascii="Garamond" w:hAnsi="Garamond"/>
          <w:noProof/>
          <w:lang w:val="en-US"/>
        </w:rPr>
        <w:t xml:space="preserve">, </w:t>
      </w:r>
      <w:r w:rsidRPr="00B258BB">
        <w:rPr>
          <w:rFonts w:ascii="Garamond" w:hAnsi="Garamond"/>
          <w:i/>
          <w:iCs/>
          <w:noProof/>
          <w:lang w:val="en-US"/>
        </w:rPr>
        <w:t>14</w:t>
      </w:r>
      <w:r w:rsidRPr="00B258BB">
        <w:rPr>
          <w:rFonts w:ascii="Garamond" w:hAnsi="Garamond"/>
          <w:noProof/>
          <w:lang w:val="en-US"/>
        </w:rPr>
        <w:t>(2), 319–341. https://doi.org/10.1016/S1514-0326(11)60017-2</w:t>
      </w:r>
    </w:p>
    <w:p w14:paraId="67114FE3"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Daly, S., &amp; Frikha, M. (2017). Determinants of bank Performance: Comparative Study Between Conventional and Islamic Banking in Bahrain. </w:t>
      </w:r>
      <w:r w:rsidRPr="00B258BB">
        <w:rPr>
          <w:rFonts w:ascii="Garamond" w:hAnsi="Garamond"/>
          <w:i/>
          <w:iCs/>
          <w:noProof/>
          <w:lang w:val="en-US"/>
        </w:rPr>
        <w:t>Journal of the Knowledge Economy</w:t>
      </w:r>
      <w:r w:rsidRPr="00B258BB">
        <w:rPr>
          <w:rFonts w:ascii="Garamond" w:hAnsi="Garamond"/>
          <w:noProof/>
          <w:lang w:val="en-US"/>
        </w:rPr>
        <w:t xml:space="preserve">, </w:t>
      </w:r>
      <w:r w:rsidRPr="00B258BB">
        <w:rPr>
          <w:rFonts w:ascii="Garamond" w:hAnsi="Garamond"/>
          <w:i/>
          <w:iCs/>
          <w:noProof/>
          <w:lang w:val="en-US"/>
        </w:rPr>
        <w:t>8</w:t>
      </w:r>
      <w:r w:rsidRPr="00B258BB">
        <w:rPr>
          <w:rFonts w:ascii="Garamond" w:hAnsi="Garamond"/>
          <w:noProof/>
          <w:lang w:val="en-US"/>
        </w:rPr>
        <w:t>(2), 471–488. https://doi.org/10.1007/s13132-015-0261-8</w:t>
      </w:r>
    </w:p>
    <w:p w14:paraId="1E32AF94"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Devarajan, S., Swaroop, V., &amp; Zou, H. (1996). The composition of public expenditure and economic growth. </w:t>
      </w:r>
      <w:r w:rsidRPr="00B258BB">
        <w:rPr>
          <w:rFonts w:ascii="Garamond" w:hAnsi="Garamond"/>
          <w:i/>
          <w:iCs/>
          <w:noProof/>
          <w:lang w:val="en-US"/>
        </w:rPr>
        <w:t>Journal Monetary Economics</w:t>
      </w:r>
      <w:r w:rsidRPr="00B258BB">
        <w:rPr>
          <w:rFonts w:ascii="Garamond" w:hAnsi="Garamond"/>
          <w:noProof/>
          <w:lang w:val="en-US"/>
        </w:rPr>
        <w:t xml:space="preserve">, </w:t>
      </w:r>
      <w:r w:rsidRPr="00B258BB">
        <w:rPr>
          <w:rFonts w:ascii="Garamond" w:hAnsi="Garamond"/>
          <w:i/>
          <w:iCs/>
          <w:noProof/>
          <w:lang w:val="en-US"/>
        </w:rPr>
        <w:t>37</w:t>
      </w:r>
      <w:r w:rsidRPr="00B258BB">
        <w:rPr>
          <w:rFonts w:ascii="Garamond" w:hAnsi="Garamond"/>
          <w:noProof/>
          <w:lang w:val="en-US"/>
        </w:rPr>
        <w:t>, 313 344.</w:t>
      </w:r>
    </w:p>
    <w:p w14:paraId="19867AC3"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Djalilov, K., &amp; Piesse, J. (2016). Determinants of bank profitability in transition countries: What matters most? </w:t>
      </w:r>
      <w:r w:rsidRPr="00B258BB">
        <w:rPr>
          <w:rFonts w:ascii="Garamond" w:hAnsi="Garamond"/>
          <w:i/>
          <w:iCs/>
          <w:noProof/>
          <w:lang w:val="en-US"/>
        </w:rPr>
        <w:t>Research in International Business and Finance</w:t>
      </w:r>
      <w:r w:rsidRPr="00B258BB">
        <w:rPr>
          <w:rFonts w:ascii="Garamond" w:hAnsi="Garamond"/>
          <w:noProof/>
          <w:lang w:val="en-US"/>
        </w:rPr>
        <w:t xml:space="preserve">, </w:t>
      </w:r>
      <w:r w:rsidRPr="00B258BB">
        <w:rPr>
          <w:rFonts w:ascii="Garamond" w:hAnsi="Garamond"/>
          <w:i/>
          <w:iCs/>
          <w:noProof/>
          <w:lang w:val="en-US"/>
        </w:rPr>
        <w:t>38</w:t>
      </w:r>
      <w:r w:rsidRPr="00B258BB">
        <w:rPr>
          <w:rFonts w:ascii="Garamond" w:hAnsi="Garamond"/>
          <w:noProof/>
          <w:lang w:val="en-US"/>
        </w:rPr>
        <w:t>, 69–82. https://doi.org/10.1016/j.ribaf.2016.03.015</w:t>
      </w:r>
    </w:p>
    <w:p w14:paraId="572054F1"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Dobrescu, E. (2015). BARS curve in Romanian economy. </w:t>
      </w:r>
      <w:r w:rsidRPr="00B258BB">
        <w:rPr>
          <w:rFonts w:ascii="Garamond" w:hAnsi="Garamond"/>
          <w:i/>
          <w:iCs/>
          <w:noProof/>
          <w:lang w:val="en-US"/>
        </w:rPr>
        <w:t>Amfiteatru Economic</w:t>
      </w:r>
      <w:r w:rsidRPr="00B258BB">
        <w:rPr>
          <w:rFonts w:ascii="Garamond" w:hAnsi="Garamond"/>
          <w:noProof/>
          <w:lang w:val="en-US"/>
        </w:rPr>
        <w:t xml:space="preserve">, </w:t>
      </w:r>
      <w:r w:rsidRPr="00B258BB">
        <w:rPr>
          <w:rFonts w:ascii="Garamond" w:hAnsi="Garamond"/>
          <w:i/>
          <w:iCs/>
          <w:noProof/>
          <w:lang w:val="en-US"/>
        </w:rPr>
        <w:t>17</w:t>
      </w:r>
      <w:r w:rsidRPr="00B258BB">
        <w:rPr>
          <w:rFonts w:ascii="Garamond" w:hAnsi="Garamond"/>
          <w:noProof/>
          <w:lang w:val="en-US"/>
        </w:rPr>
        <w:t>(39), 693–705.</w:t>
      </w:r>
    </w:p>
    <w:p w14:paraId="0E67940B"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lastRenderedPageBreak/>
        <w:t xml:space="preserve">El Mahmah, A., &amp; Trabelsi, M. (2021). Banks’ Performance Amid Oil Price Shocks: Empirical Evidence from GCC Countries, 2002-2017. </w:t>
      </w:r>
      <w:r w:rsidRPr="00B258BB">
        <w:rPr>
          <w:rFonts w:ascii="Garamond" w:hAnsi="Garamond"/>
          <w:i/>
          <w:iCs/>
          <w:noProof/>
          <w:lang w:val="en-US"/>
        </w:rPr>
        <w:t>Sustainable Development Goals and External Shocks in the Mena Region: From Resilience to Change in the Wake of Covid-19</w:t>
      </w:r>
      <w:r w:rsidRPr="00B258BB">
        <w:rPr>
          <w:rFonts w:ascii="Garamond" w:hAnsi="Garamond"/>
          <w:noProof/>
          <w:lang w:val="en-US"/>
        </w:rPr>
        <w:t>, 2002–2017.</w:t>
      </w:r>
    </w:p>
    <w:p w14:paraId="36A73274" w14:textId="3416DFE7" w:rsidR="00FE6FBA" w:rsidRPr="00B258BB" w:rsidRDefault="00FE6FBA" w:rsidP="006C25CC">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Friedman, M. (1997). If Only the U.S. Were as Free as Hong Kong. </w:t>
      </w:r>
      <w:r w:rsidRPr="00B258BB">
        <w:rPr>
          <w:rFonts w:ascii="Garamond" w:hAnsi="Garamond"/>
          <w:i/>
          <w:iCs/>
          <w:noProof/>
          <w:lang w:val="en-US"/>
        </w:rPr>
        <w:t xml:space="preserve">Wall Street </w:t>
      </w:r>
      <w:r w:rsidR="006C25CC">
        <w:rPr>
          <w:rFonts w:ascii="Garamond" w:hAnsi="Garamond"/>
          <w:i/>
          <w:iCs/>
          <w:noProof/>
          <w:lang w:val="en-US"/>
        </w:rPr>
        <w:t>Journal</w:t>
      </w:r>
      <w:r w:rsidRPr="00B258BB">
        <w:rPr>
          <w:rFonts w:ascii="Garamond" w:hAnsi="Garamond"/>
          <w:noProof/>
          <w:lang w:val="en-US"/>
        </w:rPr>
        <w:t xml:space="preserve">, </w:t>
      </w:r>
      <w:r w:rsidRPr="00B258BB">
        <w:rPr>
          <w:rFonts w:ascii="Garamond" w:hAnsi="Garamond"/>
          <w:i/>
          <w:iCs/>
          <w:noProof/>
          <w:lang w:val="en-US"/>
        </w:rPr>
        <w:t>July</w:t>
      </w:r>
      <w:r w:rsidRPr="00B258BB">
        <w:rPr>
          <w:rFonts w:ascii="Garamond" w:hAnsi="Garamond"/>
          <w:noProof/>
          <w:lang w:val="en-US"/>
        </w:rPr>
        <w:t>, 12–14. https://www.wsj.com/articles/SB868305843450108500</w:t>
      </w:r>
    </w:p>
    <w:p w14:paraId="4747586B" w14:textId="77777777" w:rsidR="00FE6FBA" w:rsidRPr="00B258BB" w:rsidRDefault="00FE6FBA" w:rsidP="00B0105E">
      <w:pPr>
        <w:widowControl w:val="0"/>
        <w:autoSpaceDE w:val="0"/>
        <w:autoSpaceDN w:val="0"/>
        <w:adjustRightInd w:val="0"/>
        <w:spacing w:line="360" w:lineRule="auto"/>
        <w:ind w:left="480" w:hanging="480"/>
        <w:rPr>
          <w:rFonts w:ascii="Garamond" w:hAnsi="Garamond"/>
          <w:noProof/>
          <w:lang w:val="en-US"/>
        </w:rPr>
      </w:pPr>
      <w:r w:rsidRPr="00B258BB">
        <w:rPr>
          <w:rFonts w:ascii="Garamond" w:hAnsi="Garamond"/>
          <w:noProof/>
          <w:lang w:val="en-US"/>
        </w:rPr>
        <w:t xml:space="preserve">Ghali, K. H. (1999). Government size and economic growth: Evidence from a multivariate cointegration analysis. </w:t>
      </w:r>
      <w:r w:rsidRPr="00B258BB">
        <w:rPr>
          <w:rFonts w:ascii="Garamond" w:hAnsi="Garamond"/>
          <w:i/>
          <w:iCs/>
          <w:noProof/>
          <w:lang w:val="en-US"/>
        </w:rPr>
        <w:t>Applied Economics</w:t>
      </w:r>
      <w:r w:rsidRPr="00B258BB">
        <w:rPr>
          <w:rFonts w:ascii="Garamond" w:hAnsi="Garamond"/>
          <w:noProof/>
          <w:lang w:val="en-US"/>
        </w:rPr>
        <w:t xml:space="preserve">, </w:t>
      </w:r>
      <w:r w:rsidRPr="00B258BB">
        <w:rPr>
          <w:rFonts w:ascii="Garamond" w:hAnsi="Garamond"/>
          <w:i/>
          <w:iCs/>
          <w:noProof/>
          <w:lang w:val="en-US"/>
        </w:rPr>
        <w:t>31</w:t>
      </w:r>
      <w:r w:rsidRPr="00B258BB">
        <w:rPr>
          <w:rFonts w:ascii="Garamond" w:hAnsi="Garamond"/>
          <w:noProof/>
          <w:lang w:val="en-US"/>
        </w:rPr>
        <w:t>(8), 975–987. https://doi.org/10.1080/000368499323698</w:t>
      </w:r>
    </w:p>
    <w:p w14:paraId="1717D744"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Ghosh, S., &amp; Gregoriou, A. (2008). The composition of government spending and growth: Is current or capital spending better? </w:t>
      </w:r>
      <w:r w:rsidRPr="00B258BB">
        <w:rPr>
          <w:rFonts w:ascii="Garamond" w:hAnsi="Garamond"/>
          <w:i/>
          <w:iCs/>
          <w:noProof/>
          <w:lang w:val="en-US"/>
        </w:rPr>
        <w:t>Oxford Economic Papers</w:t>
      </w:r>
      <w:r w:rsidRPr="00B258BB">
        <w:rPr>
          <w:rFonts w:ascii="Garamond" w:hAnsi="Garamond"/>
          <w:noProof/>
          <w:lang w:val="en-US"/>
        </w:rPr>
        <w:t xml:space="preserve">, </w:t>
      </w:r>
      <w:r w:rsidRPr="00B258BB">
        <w:rPr>
          <w:rFonts w:ascii="Garamond" w:hAnsi="Garamond"/>
          <w:i/>
          <w:iCs/>
          <w:noProof/>
          <w:lang w:val="en-US"/>
        </w:rPr>
        <w:t>60</w:t>
      </w:r>
      <w:r w:rsidRPr="00B258BB">
        <w:rPr>
          <w:rFonts w:ascii="Garamond" w:hAnsi="Garamond"/>
          <w:noProof/>
          <w:lang w:val="en-US"/>
        </w:rPr>
        <w:t>(3), 484–516. https://doi.org/10.1093/oep/gpn005</w:t>
      </w:r>
    </w:p>
    <w:p w14:paraId="08AA0FBE"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Grigorian, D. A., &amp; Manole, V. (2006). Determinants of Commercial Bank Performance in Transition: An Application of Data Envelopment Analysis. </w:t>
      </w:r>
      <w:r w:rsidRPr="00B258BB">
        <w:rPr>
          <w:rFonts w:ascii="Garamond" w:hAnsi="Garamond"/>
          <w:i/>
          <w:iCs/>
          <w:noProof/>
          <w:lang w:val="en-US"/>
        </w:rPr>
        <w:t>Comparative Economic Studies</w:t>
      </w:r>
      <w:r w:rsidRPr="00B258BB">
        <w:rPr>
          <w:rFonts w:ascii="Garamond" w:hAnsi="Garamond"/>
          <w:noProof/>
          <w:lang w:val="en-US"/>
        </w:rPr>
        <w:t xml:space="preserve">, </w:t>
      </w:r>
      <w:r w:rsidRPr="00B258BB">
        <w:rPr>
          <w:rFonts w:ascii="Garamond" w:hAnsi="Garamond"/>
          <w:i/>
          <w:iCs/>
          <w:noProof/>
          <w:lang w:val="en-US"/>
        </w:rPr>
        <w:t>48</w:t>
      </w:r>
      <w:r w:rsidRPr="00B258BB">
        <w:rPr>
          <w:rFonts w:ascii="Garamond" w:hAnsi="Garamond"/>
          <w:noProof/>
          <w:lang w:val="en-US"/>
        </w:rPr>
        <w:t>(3), 497–522. https://doi.org/10.1057/palgrave.ces.8100129</w:t>
      </w:r>
    </w:p>
    <w:p w14:paraId="7F2A9CCC"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Gupta, S., Clemennts, B., Baldacci, E., &amp; Mulas-Granados, C. (2005). Fiscal policy, expenditure composition, and growth in low-income countries. </w:t>
      </w:r>
      <w:r w:rsidRPr="00B258BB">
        <w:rPr>
          <w:rFonts w:ascii="Garamond" w:hAnsi="Garamond"/>
          <w:i/>
          <w:iCs/>
          <w:noProof/>
          <w:lang w:val="en-US"/>
        </w:rPr>
        <w:t>Journal of International Money and Finance</w:t>
      </w:r>
      <w:r w:rsidRPr="00B258BB">
        <w:rPr>
          <w:rFonts w:ascii="Garamond" w:hAnsi="Garamond"/>
          <w:noProof/>
          <w:lang w:val="en-US"/>
        </w:rPr>
        <w:t xml:space="preserve">, </w:t>
      </w:r>
      <w:r w:rsidRPr="00B258BB">
        <w:rPr>
          <w:rFonts w:ascii="Garamond" w:hAnsi="Garamond"/>
          <w:i/>
          <w:iCs/>
          <w:noProof/>
          <w:lang w:val="en-US"/>
        </w:rPr>
        <w:t>24</w:t>
      </w:r>
      <w:r w:rsidRPr="00B258BB">
        <w:rPr>
          <w:rFonts w:ascii="Garamond" w:hAnsi="Garamond"/>
          <w:noProof/>
          <w:lang w:val="en-US"/>
        </w:rPr>
        <w:t>(3), 441–463. https://doi.org/10.1016/j.jimonfin.2005.01.004</w:t>
      </w:r>
    </w:p>
    <w:p w14:paraId="20CE47D4"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rPr>
        <w:t>Jara</w:t>
      </w:r>
      <w:r w:rsidRPr="00FE6FBA">
        <w:rPr>
          <w:noProof/>
        </w:rPr>
        <w:t>‐</w:t>
      </w:r>
      <w:r w:rsidRPr="00B258BB">
        <w:rPr>
          <w:rFonts w:ascii="Garamond" w:hAnsi="Garamond"/>
          <w:noProof/>
        </w:rPr>
        <w:t xml:space="preserve">Bertin, M., Arias Moya, J., &amp; Rodríguez Perales, A. (2014). </w:t>
      </w:r>
      <w:r w:rsidRPr="00B258BB">
        <w:rPr>
          <w:rFonts w:ascii="Garamond" w:hAnsi="Garamond"/>
          <w:noProof/>
          <w:lang w:val="en-US"/>
        </w:rPr>
        <w:t xml:space="preserve">Determinants of bank performance: evidence for Latin America. </w:t>
      </w:r>
      <w:r w:rsidRPr="00B258BB">
        <w:rPr>
          <w:rFonts w:ascii="Garamond" w:hAnsi="Garamond"/>
          <w:i/>
          <w:iCs/>
          <w:noProof/>
          <w:lang w:val="en-US"/>
        </w:rPr>
        <w:t>Academia Revista Latinoamericana de Administracion</w:t>
      </w:r>
      <w:r w:rsidRPr="00B258BB">
        <w:rPr>
          <w:rFonts w:ascii="Garamond" w:hAnsi="Garamond"/>
          <w:noProof/>
          <w:lang w:val="en-US"/>
        </w:rPr>
        <w:t xml:space="preserve">, </w:t>
      </w:r>
      <w:r w:rsidRPr="00B258BB">
        <w:rPr>
          <w:rFonts w:ascii="Garamond" w:hAnsi="Garamond"/>
          <w:i/>
          <w:iCs/>
          <w:noProof/>
          <w:lang w:val="en-US"/>
        </w:rPr>
        <w:t>27</w:t>
      </w:r>
      <w:r w:rsidRPr="00B258BB">
        <w:rPr>
          <w:rFonts w:ascii="Garamond" w:hAnsi="Garamond"/>
          <w:noProof/>
          <w:lang w:val="en-US"/>
        </w:rPr>
        <w:t>(2), 164–182. https://doi.org/10.1108/ARLA-04-2013-0030</w:t>
      </w:r>
    </w:p>
    <w:p w14:paraId="24A66476"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Kashyap, A. K., &amp; Stein, J. C. (1995). The impact of monetary policy on bank balance sheets. </w:t>
      </w:r>
      <w:r w:rsidRPr="00B258BB">
        <w:rPr>
          <w:rFonts w:ascii="Garamond" w:hAnsi="Garamond"/>
          <w:i/>
          <w:iCs/>
          <w:noProof/>
          <w:lang w:val="en-US"/>
        </w:rPr>
        <w:t>Carnegie-Rochester Confer. Series on Public Policy</w:t>
      </w:r>
      <w:r w:rsidRPr="00B258BB">
        <w:rPr>
          <w:rFonts w:ascii="Garamond" w:hAnsi="Garamond"/>
          <w:noProof/>
          <w:lang w:val="en-US"/>
        </w:rPr>
        <w:t xml:space="preserve">, </w:t>
      </w:r>
      <w:r w:rsidRPr="00B258BB">
        <w:rPr>
          <w:rFonts w:ascii="Garamond" w:hAnsi="Garamond"/>
          <w:i/>
          <w:iCs/>
          <w:noProof/>
          <w:lang w:val="en-US"/>
        </w:rPr>
        <w:t>42</w:t>
      </w:r>
      <w:r w:rsidRPr="00B258BB">
        <w:rPr>
          <w:rFonts w:ascii="Garamond" w:hAnsi="Garamond"/>
          <w:noProof/>
          <w:lang w:val="en-US"/>
        </w:rPr>
        <w:t>(C), 151–195. https://doi.org/10.1016/0167-2231(95)00032-U</w:t>
      </w:r>
    </w:p>
    <w:p w14:paraId="1E68D18B"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Kim, D. H., Wu, Y. C., &amp; Lin, S. C. (2018). Heterogeneity in the effects of government size and governance on economic growth. </w:t>
      </w:r>
      <w:r w:rsidRPr="00B258BB">
        <w:rPr>
          <w:rFonts w:ascii="Garamond" w:hAnsi="Garamond"/>
          <w:i/>
          <w:iCs/>
          <w:noProof/>
          <w:lang w:val="en-US"/>
        </w:rPr>
        <w:t>Economic Modelling</w:t>
      </w:r>
      <w:r w:rsidRPr="00B258BB">
        <w:rPr>
          <w:rFonts w:ascii="Garamond" w:hAnsi="Garamond"/>
          <w:noProof/>
          <w:lang w:val="en-US"/>
        </w:rPr>
        <w:t xml:space="preserve">, </w:t>
      </w:r>
      <w:r w:rsidRPr="00B258BB">
        <w:rPr>
          <w:rFonts w:ascii="Garamond" w:hAnsi="Garamond"/>
          <w:i/>
          <w:iCs/>
          <w:noProof/>
          <w:lang w:val="en-US"/>
        </w:rPr>
        <w:t>68</w:t>
      </w:r>
      <w:r w:rsidRPr="00B258BB">
        <w:rPr>
          <w:rFonts w:ascii="Garamond" w:hAnsi="Garamond"/>
          <w:noProof/>
          <w:lang w:val="en-US"/>
        </w:rPr>
        <w:t>(June), 205–216. https://doi.org/10.1016/j.econmod.2017.07.014</w:t>
      </w:r>
    </w:p>
    <w:p w14:paraId="363B90B2" w14:textId="41870D5F" w:rsidR="00FE6FBA" w:rsidRPr="00B258BB" w:rsidRDefault="00FE6FBA" w:rsidP="006C25CC">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Kimaro, E. L., Keong, C. C., &amp; Sea, L. L. (2017). Government Expenditure, Efficiency and Economic Growth: A Panel Analysis of Sub Saharan African L</w:t>
      </w:r>
      <w:r w:rsidR="006C25CC">
        <w:rPr>
          <w:rFonts w:ascii="Garamond" w:hAnsi="Garamond"/>
          <w:noProof/>
          <w:lang w:val="en-US"/>
        </w:rPr>
        <w:t>Low-Income</w:t>
      </w:r>
      <w:r w:rsidRPr="00B258BB">
        <w:rPr>
          <w:rFonts w:ascii="Garamond" w:hAnsi="Garamond"/>
          <w:noProof/>
          <w:lang w:val="en-US"/>
        </w:rPr>
        <w:t xml:space="preserve">Countries. </w:t>
      </w:r>
      <w:r w:rsidRPr="00B258BB">
        <w:rPr>
          <w:rFonts w:ascii="Garamond" w:hAnsi="Garamond"/>
          <w:i/>
          <w:iCs/>
          <w:noProof/>
          <w:lang w:val="en-US"/>
        </w:rPr>
        <w:t>African Journal of Economic Review</w:t>
      </w:r>
      <w:r w:rsidRPr="00B258BB">
        <w:rPr>
          <w:rFonts w:ascii="Garamond" w:hAnsi="Garamond"/>
          <w:noProof/>
          <w:lang w:val="en-US"/>
        </w:rPr>
        <w:t xml:space="preserve">, </w:t>
      </w:r>
      <w:r w:rsidRPr="00B258BB">
        <w:rPr>
          <w:rFonts w:ascii="Garamond" w:hAnsi="Garamond"/>
          <w:i/>
          <w:iCs/>
          <w:noProof/>
          <w:lang w:val="en-US"/>
        </w:rPr>
        <w:t>5</w:t>
      </w:r>
      <w:r w:rsidRPr="00B258BB">
        <w:rPr>
          <w:rFonts w:ascii="Garamond" w:hAnsi="Garamond"/>
          <w:noProof/>
          <w:lang w:val="en-US"/>
        </w:rPr>
        <w:t>(2), 34–54.</w:t>
      </w:r>
    </w:p>
    <w:p w14:paraId="262AD648"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Landau, D. (1983). Government Expenditure and Economic Growth</w:t>
      </w:r>
      <w:r w:rsidRPr="004A3A66">
        <w:rPr>
          <w:noProof/>
          <w:lang w:val="en-US"/>
        </w:rPr>
        <w:t> </w:t>
      </w:r>
      <w:r w:rsidRPr="00B258BB">
        <w:rPr>
          <w:rFonts w:ascii="Garamond" w:hAnsi="Garamond"/>
          <w:noProof/>
          <w:lang w:val="en-US"/>
        </w:rPr>
        <w:t xml:space="preserve">: Government Expenditure A Cross-Country Study. </w:t>
      </w:r>
      <w:r w:rsidRPr="00B258BB">
        <w:rPr>
          <w:rFonts w:ascii="Garamond" w:hAnsi="Garamond"/>
          <w:i/>
          <w:iCs/>
          <w:noProof/>
          <w:lang w:val="en-US"/>
        </w:rPr>
        <w:t>Southern Economic Journal</w:t>
      </w:r>
      <w:r w:rsidRPr="00B258BB">
        <w:rPr>
          <w:rFonts w:ascii="Garamond" w:hAnsi="Garamond"/>
          <w:noProof/>
          <w:lang w:val="en-US"/>
        </w:rPr>
        <w:t xml:space="preserve">, </w:t>
      </w:r>
      <w:r w:rsidRPr="00B258BB">
        <w:rPr>
          <w:rFonts w:ascii="Garamond" w:hAnsi="Garamond"/>
          <w:i/>
          <w:iCs/>
          <w:noProof/>
          <w:lang w:val="en-US"/>
        </w:rPr>
        <w:t>49</w:t>
      </w:r>
      <w:r w:rsidRPr="00B258BB">
        <w:rPr>
          <w:rFonts w:ascii="Garamond" w:hAnsi="Garamond"/>
          <w:noProof/>
          <w:lang w:val="en-US"/>
        </w:rPr>
        <w:t>(3), 783–792. http://www.jstor.org/stable/1058716</w:t>
      </w:r>
    </w:p>
    <w:p w14:paraId="546B44EC"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Nouaili, M., Abaoub, E., &amp; Ochi, A. (2015). The Determinants of Banking Performance in Front of Financial Changes: Case of Trade Banks in Tunisia. </w:t>
      </w:r>
      <w:r w:rsidRPr="00B258BB">
        <w:rPr>
          <w:rFonts w:ascii="Garamond" w:hAnsi="Garamond"/>
          <w:i/>
          <w:iCs/>
          <w:noProof/>
          <w:lang w:val="en-US"/>
        </w:rPr>
        <w:t xml:space="preserve">International Journal of Economics and </w:t>
      </w:r>
      <w:r w:rsidRPr="00B258BB">
        <w:rPr>
          <w:rFonts w:ascii="Garamond" w:hAnsi="Garamond"/>
          <w:i/>
          <w:iCs/>
          <w:noProof/>
          <w:lang w:val="en-US"/>
        </w:rPr>
        <w:lastRenderedPageBreak/>
        <w:t>Financial Issues</w:t>
      </w:r>
      <w:r w:rsidRPr="00B258BB">
        <w:rPr>
          <w:rFonts w:ascii="Garamond" w:hAnsi="Garamond"/>
          <w:noProof/>
          <w:lang w:val="en-US"/>
        </w:rPr>
        <w:t xml:space="preserve">, </w:t>
      </w:r>
      <w:r w:rsidRPr="00B258BB">
        <w:rPr>
          <w:rFonts w:ascii="Garamond" w:hAnsi="Garamond"/>
          <w:i/>
          <w:iCs/>
          <w:noProof/>
          <w:lang w:val="en-US"/>
        </w:rPr>
        <w:t>5</w:t>
      </w:r>
      <w:r w:rsidRPr="00B258BB">
        <w:rPr>
          <w:rFonts w:ascii="Garamond" w:hAnsi="Garamond"/>
          <w:noProof/>
          <w:lang w:val="en-US"/>
        </w:rPr>
        <w:t>(2), 410–417. http:www.econjournals.com</w:t>
      </w:r>
    </w:p>
    <w:p w14:paraId="323FF77D"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Nyasha, S., &amp; Odhiambo, N. M. (2019). The Impact of Public Expenditure on Economic Growth: A Review of International Literature. </w:t>
      </w:r>
      <w:r w:rsidRPr="00B258BB">
        <w:rPr>
          <w:rFonts w:ascii="Garamond" w:hAnsi="Garamond"/>
          <w:i/>
          <w:iCs/>
          <w:noProof/>
          <w:lang w:val="en-US"/>
        </w:rPr>
        <w:t>Folia Oeconomica Stetinensia</w:t>
      </w:r>
      <w:r w:rsidRPr="00B258BB">
        <w:rPr>
          <w:rFonts w:ascii="Garamond" w:hAnsi="Garamond"/>
          <w:noProof/>
          <w:lang w:val="en-US"/>
        </w:rPr>
        <w:t xml:space="preserve">, </w:t>
      </w:r>
      <w:r w:rsidRPr="00B258BB">
        <w:rPr>
          <w:rFonts w:ascii="Garamond" w:hAnsi="Garamond"/>
          <w:i/>
          <w:iCs/>
          <w:noProof/>
          <w:lang w:val="en-US"/>
        </w:rPr>
        <w:t>19</w:t>
      </w:r>
      <w:r w:rsidRPr="00B258BB">
        <w:rPr>
          <w:rFonts w:ascii="Garamond" w:hAnsi="Garamond"/>
          <w:noProof/>
          <w:lang w:val="en-US"/>
        </w:rPr>
        <w:t>(2), 81–101. https://doi.org/10.2478/foli-2019-0015</w:t>
      </w:r>
    </w:p>
    <w:p w14:paraId="5B064383"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Olaoye, O. O., Eluwole, O. O., Ayesha, A., &amp; Afolabi, O. O. (2020). Government spending and economic growth in ECOWAS: An asymmetric analysis. </w:t>
      </w:r>
      <w:r w:rsidRPr="00B258BB">
        <w:rPr>
          <w:rFonts w:ascii="Garamond" w:hAnsi="Garamond"/>
          <w:i/>
          <w:iCs/>
          <w:noProof/>
          <w:lang w:val="en-US"/>
        </w:rPr>
        <w:t>Journal of Economic Asymmetries</w:t>
      </w:r>
      <w:r w:rsidRPr="00B258BB">
        <w:rPr>
          <w:rFonts w:ascii="Garamond" w:hAnsi="Garamond"/>
          <w:noProof/>
          <w:lang w:val="en-US"/>
        </w:rPr>
        <w:t xml:space="preserve">, </w:t>
      </w:r>
      <w:r w:rsidRPr="00B258BB">
        <w:rPr>
          <w:rFonts w:ascii="Garamond" w:hAnsi="Garamond"/>
          <w:i/>
          <w:iCs/>
          <w:noProof/>
          <w:lang w:val="en-US"/>
        </w:rPr>
        <w:t>22</w:t>
      </w:r>
      <w:r w:rsidRPr="00B258BB">
        <w:rPr>
          <w:rFonts w:ascii="Garamond" w:hAnsi="Garamond"/>
          <w:noProof/>
          <w:lang w:val="en-US"/>
        </w:rPr>
        <w:t>(August), e00180. https://doi.org/10.1016/j.jeca.2020.e00180</w:t>
      </w:r>
    </w:p>
    <w:p w14:paraId="1A58CEE9" w14:textId="0961AF8A" w:rsidR="00FE6FBA" w:rsidRPr="00B258BB" w:rsidRDefault="00FE6FBA" w:rsidP="006C25CC">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Owusu-Antwi, G., Mensah, Lord, Crabbe, M., &amp; Antwi, J. (2014). Determinants of Bank Performance in Ghana, the Economic Value Added (EVA) A</w:t>
      </w:r>
      <w:r w:rsidR="006C25CC">
        <w:rPr>
          <w:rFonts w:ascii="Garamond" w:hAnsi="Garamond"/>
          <w:noProof/>
          <w:lang w:val="en-US"/>
        </w:rPr>
        <w:t>approach</w:t>
      </w:r>
      <w:r w:rsidRPr="00B258BB">
        <w:rPr>
          <w:rFonts w:ascii="Garamond" w:hAnsi="Garamond"/>
          <w:noProof/>
          <w:lang w:val="en-US"/>
        </w:rPr>
        <w:t xml:space="preserve"> </w:t>
      </w:r>
      <w:r w:rsidRPr="00B258BB">
        <w:rPr>
          <w:rFonts w:ascii="Garamond" w:hAnsi="Garamond"/>
          <w:i/>
          <w:iCs/>
          <w:noProof/>
          <w:lang w:val="en-US"/>
        </w:rPr>
        <w:t>International Journal of Economics and Finance</w:t>
      </w:r>
      <w:r w:rsidRPr="00B258BB">
        <w:rPr>
          <w:rFonts w:ascii="Garamond" w:hAnsi="Garamond"/>
          <w:noProof/>
          <w:lang w:val="en-US"/>
        </w:rPr>
        <w:t xml:space="preserve">, </w:t>
      </w:r>
      <w:r w:rsidRPr="00B258BB">
        <w:rPr>
          <w:rFonts w:ascii="Garamond" w:hAnsi="Garamond"/>
          <w:i/>
          <w:iCs/>
          <w:noProof/>
          <w:lang w:val="en-US"/>
        </w:rPr>
        <w:t>7</w:t>
      </w:r>
      <w:r w:rsidRPr="00B258BB">
        <w:rPr>
          <w:rFonts w:ascii="Garamond" w:hAnsi="Garamond"/>
          <w:noProof/>
          <w:lang w:val="en-US"/>
        </w:rPr>
        <w:t>(1), 203–215. https://doi.org/10.5539/ijef.v7n1p203</w:t>
      </w:r>
    </w:p>
    <w:p w14:paraId="5C067DB6"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Ram, R. (1986). Government size and economic growth: A new framework and some evidence from cross-section and time-series data. </w:t>
      </w:r>
      <w:r w:rsidRPr="00B258BB">
        <w:rPr>
          <w:rFonts w:ascii="Garamond" w:hAnsi="Garamond"/>
          <w:i/>
          <w:iCs/>
          <w:noProof/>
          <w:lang w:val="en-US"/>
        </w:rPr>
        <w:t>American Economic Review</w:t>
      </w:r>
      <w:r w:rsidRPr="00B258BB">
        <w:rPr>
          <w:rFonts w:ascii="Garamond" w:hAnsi="Garamond"/>
          <w:noProof/>
          <w:lang w:val="en-US"/>
        </w:rPr>
        <w:t xml:space="preserve">, </w:t>
      </w:r>
      <w:r w:rsidRPr="00B258BB">
        <w:rPr>
          <w:rFonts w:ascii="Garamond" w:hAnsi="Garamond"/>
          <w:i/>
          <w:iCs/>
          <w:noProof/>
          <w:lang w:val="en-US"/>
        </w:rPr>
        <w:t>76</w:t>
      </w:r>
      <w:r w:rsidRPr="00B258BB">
        <w:rPr>
          <w:rFonts w:ascii="Garamond" w:hAnsi="Garamond"/>
          <w:noProof/>
          <w:lang w:val="en-US"/>
        </w:rPr>
        <w:t>(1), 191–203.</w:t>
      </w:r>
    </w:p>
    <w:p w14:paraId="00118A62"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Rashid, A., &amp; Jabeen, S. (2016). Analyzing performance determinants: Conventional versus Islamic Banks in Pakistan. </w:t>
      </w:r>
      <w:r w:rsidRPr="00B258BB">
        <w:rPr>
          <w:rFonts w:ascii="Garamond" w:hAnsi="Garamond"/>
          <w:i/>
          <w:iCs/>
          <w:noProof/>
          <w:lang w:val="en-US"/>
        </w:rPr>
        <w:t>Borsa Istanbul Review</w:t>
      </w:r>
      <w:r w:rsidRPr="00B258BB">
        <w:rPr>
          <w:rFonts w:ascii="Garamond" w:hAnsi="Garamond"/>
          <w:noProof/>
          <w:lang w:val="en-US"/>
        </w:rPr>
        <w:t xml:space="preserve">, </w:t>
      </w:r>
      <w:r w:rsidRPr="00B258BB">
        <w:rPr>
          <w:rFonts w:ascii="Garamond" w:hAnsi="Garamond"/>
          <w:i/>
          <w:iCs/>
          <w:noProof/>
          <w:lang w:val="en-US"/>
        </w:rPr>
        <w:t>16</w:t>
      </w:r>
      <w:r w:rsidRPr="00B258BB">
        <w:rPr>
          <w:rFonts w:ascii="Garamond" w:hAnsi="Garamond"/>
          <w:noProof/>
          <w:lang w:val="en-US"/>
        </w:rPr>
        <w:t>(2), 92–107. https://doi.org/10.1016/j.bir.2016.03.002</w:t>
      </w:r>
    </w:p>
    <w:p w14:paraId="3BF68E38"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Romer, P. M. (1986). </w:t>
      </w:r>
      <w:r w:rsidRPr="00B258BB">
        <w:rPr>
          <w:rFonts w:ascii="Garamond" w:hAnsi="Garamond"/>
          <w:i/>
          <w:iCs/>
          <w:noProof/>
          <w:lang w:val="en-US"/>
        </w:rPr>
        <w:t>Increasing Returns and Long-Run Growth</w:t>
      </w:r>
      <w:r w:rsidRPr="00B258BB">
        <w:rPr>
          <w:rFonts w:ascii="Garamond" w:hAnsi="Garamond"/>
          <w:noProof/>
          <w:lang w:val="en-US"/>
        </w:rPr>
        <w:t xml:space="preserve">. </w:t>
      </w:r>
      <w:r w:rsidRPr="00B258BB">
        <w:rPr>
          <w:rFonts w:ascii="Garamond" w:hAnsi="Garamond"/>
          <w:i/>
          <w:iCs/>
          <w:noProof/>
          <w:lang w:val="en-US"/>
        </w:rPr>
        <w:t>94</w:t>
      </w:r>
      <w:r w:rsidRPr="00B258BB">
        <w:rPr>
          <w:rFonts w:ascii="Garamond" w:hAnsi="Garamond"/>
          <w:noProof/>
          <w:lang w:val="en-US"/>
        </w:rPr>
        <w:t>(5).</w:t>
      </w:r>
    </w:p>
    <w:p w14:paraId="7CBAD228"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Sargan, D. (1958). The Estimation of Economic Relationships using Instrumental Variables. </w:t>
      </w:r>
      <w:r w:rsidRPr="00B258BB">
        <w:rPr>
          <w:rFonts w:ascii="Garamond" w:hAnsi="Garamond"/>
          <w:i/>
          <w:iCs/>
          <w:noProof/>
          <w:lang w:val="en-US"/>
        </w:rPr>
        <w:t>Econometrica</w:t>
      </w:r>
      <w:r w:rsidRPr="00B258BB">
        <w:rPr>
          <w:rFonts w:ascii="Garamond" w:hAnsi="Garamond"/>
          <w:noProof/>
          <w:lang w:val="en-US"/>
        </w:rPr>
        <w:t xml:space="preserve">, </w:t>
      </w:r>
      <w:r w:rsidRPr="00B258BB">
        <w:rPr>
          <w:rFonts w:ascii="Garamond" w:hAnsi="Garamond"/>
          <w:i/>
          <w:iCs/>
          <w:noProof/>
          <w:lang w:val="en-US"/>
        </w:rPr>
        <w:t>26</w:t>
      </w:r>
      <w:r w:rsidRPr="00B258BB">
        <w:rPr>
          <w:rFonts w:ascii="Garamond" w:hAnsi="Garamond"/>
          <w:noProof/>
          <w:lang w:val="en-US"/>
        </w:rPr>
        <w:t>(3), 393–415.</w:t>
      </w:r>
    </w:p>
    <w:p w14:paraId="261D51E0" w14:textId="6251CE0C" w:rsidR="00FE6FBA" w:rsidRPr="00B258BB" w:rsidRDefault="00FE6FBA" w:rsidP="006C25CC">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Sufian, F., &amp; Noor Mohamad, M. A. (2012). Determinants of bank performance in a developing economy: Does bank origins </w:t>
      </w:r>
      <w:r w:rsidR="006C25CC">
        <w:rPr>
          <w:rFonts w:ascii="Garamond" w:hAnsi="Garamond"/>
          <w:noProof/>
          <w:lang w:val="en-US"/>
        </w:rPr>
        <w:t>matter</w:t>
      </w:r>
      <w:r w:rsidRPr="00B258BB">
        <w:rPr>
          <w:rFonts w:ascii="Garamond" w:hAnsi="Garamond"/>
          <w:noProof/>
          <w:lang w:val="en-US"/>
        </w:rPr>
        <w:t xml:space="preserve">? </w:t>
      </w:r>
      <w:r w:rsidRPr="00B258BB">
        <w:rPr>
          <w:rFonts w:ascii="Garamond" w:hAnsi="Garamond"/>
          <w:i/>
          <w:iCs/>
          <w:noProof/>
          <w:lang w:val="en-US"/>
        </w:rPr>
        <w:t>Global Business Review</w:t>
      </w:r>
      <w:r w:rsidRPr="00B258BB">
        <w:rPr>
          <w:rFonts w:ascii="Garamond" w:hAnsi="Garamond"/>
          <w:noProof/>
          <w:lang w:val="en-US"/>
        </w:rPr>
        <w:t xml:space="preserve">, </w:t>
      </w:r>
      <w:r w:rsidRPr="00B258BB">
        <w:rPr>
          <w:rFonts w:ascii="Garamond" w:hAnsi="Garamond"/>
          <w:i/>
          <w:iCs/>
          <w:noProof/>
          <w:lang w:val="en-US"/>
        </w:rPr>
        <w:t>13</w:t>
      </w:r>
      <w:r w:rsidRPr="00B258BB">
        <w:rPr>
          <w:rFonts w:ascii="Garamond" w:hAnsi="Garamond"/>
          <w:noProof/>
          <w:lang w:val="en-US"/>
        </w:rPr>
        <w:t>(1), 1–23. https://doi.org/10.1177/097215091101300101</w:t>
      </w:r>
    </w:p>
    <w:p w14:paraId="4DDAD644" w14:textId="08189E8C" w:rsidR="00FE6FBA" w:rsidRPr="00B258BB" w:rsidRDefault="00FE6FBA" w:rsidP="006C25CC">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Sun, P. H., Mohamad, S., &amp; Ariff, M. (2017). Determinants driving bank performance: A comparison of two types of banks in the OIC. </w:t>
      </w:r>
      <w:r w:rsidR="006C25CC">
        <w:rPr>
          <w:rFonts w:ascii="Garamond" w:hAnsi="Garamond"/>
          <w:i/>
          <w:iCs/>
          <w:noProof/>
          <w:lang w:val="en-US"/>
        </w:rPr>
        <w:t>Pacific-Basin</w:t>
      </w:r>
      <w:r w:rsidRPr="00B258BB">
        <w:rPr>
          <w:rFonts w:ascii="Garamond" w:hAnsi="Garamond"/>
          <w:i/>
          <w:iCs/>
          <w:noProof/>
          <w:lang w:val="en-US"/>
        </w:rPr>
        <w:t xml:space="preserve"> Finance Journal</w:t>
      </w:r>
      <w:r w:rsidRPr="00B258BB">
        <w:rPr>
          <w:rFonts w:ascii="Garamond" w:hAnsi="Garamond"/>
          <w:noProof/>
          <w:lang w:val="en-US"/>
        </w:rPr>
        <w:t xml:space="preserve">, </w:t>
      </w:r>
      <w:r w:rsidRPr="00B258BB">
        <w:rPr>
          <w:rFonts w:ascii="Garamond" w:hAnsi="Garamond"/>
          <w:i/>
          <w:iCs/>
          <w:noProof/>
          <w:lang w:val="en-US"/>
        </w:rPr>
        <w:t>42</w:t>
      </w:r>
      <w:r w:rsidRPr="00B258BB">
        <w:rPr>
          <w:rFonts w:ascii="Garamond" w:hAnsi="Garamond"/>
          <w:noProof/>
          <w:lang w:val="en-US"/>
        </w:rPr>
        <w:t>, 193–203. https://doi.org/10.1016/j.pacfin.2016.02.007</w:t>
      </w:r>
    </w:p>
    <w:p w14:paraId="5F5ACB03"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Wahab, M. (2011). Asymmetric output growth effects of government spending: Cross-sectional and panel data evidence. </w:t>
      </w:r>
      <w:r w:rsidRPr="00B258BB">
        <w:rPr>
          <w:rFonts w:ascii="Garamond" w:hAnsi="Garamond"/>
          <w:i/>
          <w:iCs/>
          <w:noProof/>
          <w:lang w:val="en-US"/>
        </w:rPr>
        <w:t>International Review of Economics and Finance</w:t>
      </w:r>
      <w:r w:rsidRPr="00B258BB">
        <w:rPr>
          <w:rFonts w:ascii="Garamond" w:hAnsi="Garamond"/>
          <w:noProof/>
          <w:lang w:val="en-US"/>
        </w:rPr>
        <w:t xml:space="preserve">, </w:t>
      </w:r>
      <w:r w:rsidRPr="00B258BB">
        <w:rPr>
          <w:rFonts w:ascii="Garamond" w:hAnsi="Garamond"/>
          <w:i/>
          <w:iCs/>
          <w:noProof/>
          <w:lang w:val="en-US"/>
        </w:rPr>
        <w:t>20</w:t>
      </w:r>
      <w:r w:rsidRPr="00B258BB">
        <w:rPr>
          <w:rFonts w:ascii="Garamond" w:hAnsi="Garamond"/>
          <w:noProof/>
          <w:lang w:val="en-US"/>
        </w:rPr>
        <w:t>(4), 574–590. https://doi.org/10.1016/j.iref.2010.10.005</w:t>
      </w:r>
    </w:p>
    <w:p w14:paraId="392B29E7" w14:textId="77777777" w:rsidR="00FE6FBA" w:rsidRPr="00B258BB" w:rsidRDefault="00FE6FBA" w:rsidP="00B258BB">
      <w:pPr>
        <w:widowControl w:val="0"/>
        <w:autoSpaceDE w:val="0"/>
        <w:autoSpaceDN w:val="0"/>
        <w:adjustRightInd w:val="0"/>
        <w:spacing w:line="360" w:lineRule="auto"/>
        <w:ind w:left="480" w:hanging="480"/>
        <w:jc w:val="both"/>
        <w:rPr>
          <w:rFonts w:ascii="Garamond" w:hAnsi="Garamond"/>
          <w:noProof/>
          <w:lang w:val="en-US"/>
        </w:rPr>
      </w:pPr>
      <w:r w:rsidRPr="00B258BB">
        <w:rPr>
          <w:rFonts w:ascii="Garamond" w:hAnsi="Garamond"/>
          <w:noProof/>
          <w:lang w:val="en-US"/>
        </w:rPr>
        <w:t xml:space="preserve">Watanabe, W. (2007). Prudential Regulation and the “Credit Crunch”: Evidence from Japan. </w:t>
      </w:r>
      <w:r w:rsidRPr="00B258BB">
        <w:rPr>
          <w:rFonts w:ascii="Garamond" w:hAnsi="Garamond"/>
          <w:i/>
          <w:iCs/>
          <w:noProof/>
          <w:lang w:val="en-US"/>
        </w:rPr>
        <w:t>Journal of Money, Credit and Banking</w:t>
      </w:r>
      <w:r w:rsidRPr="00B258BB">
        <w:rPr>
          <w:rFonts w:ascii="Garamond" w:hAnsi="Garamond"/>
          <w:noProof/>
          <w:lang w:val="en-US"/>
        </w:rPr>
        <w:t xml:space="preserve">, </w:t>
      </w:r>
      <w:r w:rsidRPr="00B258BB">
        <w:rPr>
          <w:rFonts w:ascii="Garamond" w:hAnsi="Garamond"/>
          <w:i/>
          <w:iCs/>
          <w:noProof/>
          <w:lang w:val="en-US"/>
        </w:rPr>
        <w:t>39</w:t>
      </w:r>
      <w:r w:rsidRPr="00B258BB">
        <w:rPr>
          <w:rFonts w:ascii="Garamond" w:hAnsi="Garamond"/>
          <w:noProof/>
          <w:lang w:val="en-US"/>
        </w:rPr>
        <w:t>(2–3), 639–665. https://doi.org/10.1111/j.0022-2879.2007.00039.x</w:t>
      </w:r>
    </w:p>
    <w:p w14:paraId="69F9F83B" w14:textId="39BDB85B" w:rsidR="00FE6FBA" w:rsidRPr="0001451F" w:rsidRDefault="00FE6FBA" w:rsidP="00B258BB">
      <w:pPr>
        <w:spacing w:line="360" w:lineRule="auto"/>
        <w:jc w:val="both"/>
        <w:rPr>
          <w:b/>
          <w:bCs/>
          <w:lang w:val="en-US"/>
        </w:rPr>
      </w:pPr>
      <w:r w:rsidRPr="00B258BB">
        <w:rPr>
          <w:rFonts w:ascii="Garamond" w:hAnsi="Garamond"/>
          <w:b/>
          <w:bCs/>
          <w:lang w:val="en-US"/>
        </w:rPr>
        <w:fldChar w:fldCharType="end"/>
      </w:r>
    </w:p>
    <w:p w14:paraId="11B01A11" w14:textId="2BE4BFED" w:rsidR="007E15E5" w:rsidRPr="00B57AB7" w:rsidRDefault="007E15E5" w:rsidP="00FE6FBA">
      <w:pPr>
        <w:widowControl w:val="0"/>
        <w:autoSpaceDE w:val="0"/>
        <w:autoSpaceDN w:val="0"/>
        <w:adjustRightInd w:val="0"/>
        <w:spacing w:before="120" w:after="120" w:line="276" w:lineRule="auto"/>
        <w:ind w:left="480" w:hanging="480"/>
        <w:jc w:val="both"/>
        <w:rPr>
          <w:rFonts w:ascii="Garamond" w:hAnsi="Garamond"/>
          <w:lang w:val="en-US"/>
        </w:rPr>
      </w:pPr>
    </w:p>
    <w:p w14:paraId="36BC8F6C" w14:textId="7AD704D6" w:rsidR="007E15E5" w:rsidRPr="00B57AB7" w:rsidRDefault="007E15E5" w:rsidP="00A74E5B">
      <w:pPr>
        <w:widowControl w:val="0"/>
        <w:autoSpaceDE w:val="0"/>
        <w:autoSpaceDN w:val="0"/>
        <w:adjustRightInd w:val="0"/>
        <w:spacing w:before="120" w:after="120" w:line="276" w:lineRule="auto"/>
        <w:ind w:left="480" w:hanging="480"/>
        <w:jc w:val="both"/>
        <w:rPr>
          <w:rFonts w:ascii="Garamond" w:hAnsi="Garamond"/>
          <w:lang w:val="en-US"/>
        </w:rPr>
      </w:pPr>
    </w:p>
    <w:p w14:paraId="39742ADA" w14:textId="77777777" w:rsidR="007E15E5" w:rsidRPr="00B57AB7" w:rsidRDefault="007E15E5" w:rsidP="00A74E5B">
      <w:pPr>
        <w:widowControl w:val="0"/>
        <w:autoSpaceDE w:val="0"/>
        <w:autoSpaceDN w:val="0"/>
        <w:adjustRightInd w:val="0"/>
        <w:spacing w:before="120" w:after="120" w:line="276" w:lineRule="auto"/>
        <w:ind w:left="480" w:hanging="480"/>
        <w:jc w:val="both"/>
        <w:rPr>
          <w:rFonts w:ascii="Garamond" w:hAnsi="Garamond"/>
          <w:lang w:val="en-US"/>
        </w:rPr>
        <w:sectPr w:rsidR="007E15E5" w:rsidRPr="00B57AB7">
          <w:footerReference w:type="default" r:id="rId10"/>
          <w:pgSz w:w="11906" w:h="16838"/>
          <w:pgMar w:top="1417" w:right="1417" w:bottom="1417" w:left="1417" w:header="708" w:footer="708" w:gutter="0"/>
          <w:cols w:space="708"/>
          <w:docGrid w:linePitch="360"/>
        </w:sectPr>
      </w:pPr>
    </w:p>
    <w:p w14:paraId="2B4F76F7" w14:textId="12DAFFCD" w:rsidR="00D85342" w:rsidRPr="00B57AB7" w:rsidRDefault="00D85342" w:rsidP="00D85342">
      <w:pPr>
        <w:pStyle w:val="Heading1"/>
        <w:rPr>
          <w:lang w:val="en-US"/>
        </w:rPr>
      </w:pPr>
      <w:r w:rsidRPr="00B57AB7">
        <w:rPr>
          <w:lang w:val="en-US"/>
        </w:rPr>
        <w:lastRenderedPageBreak/>
        <w:t>Appendices</w:t>
      </w:r>
    </w:p>
    <w:p w14:paraId="790F9518" w14:textId="7C53862D" w:rsidR="007E15E5" w:rsidRPr="00B57AB7" w:rsidRDefault="007E15E5" w:rsidP="00D85342">
      <w:pPr>
        <w:pStyle w:val="Heading2"/>
        <w:rPr>
          <w:lang w:val="en-US"/>
        </w:rPr>
      </w:pPr>
      <w:r w:rsidRPr="00B57AB7">
        <w:rPr>
          <w:lang w:val="en-US"/>
        </w:rPr>
        <w:t>Appendix A: A summary of the consulted empirical literature on the growth effect on government spending</w:t>
      </w:r>
    </w:p>
    <w:tbl>
      <w:tblPr>
        <w:tblStyle w:val="TableGrid"/>
        <w:tblW w:w="0" w:type="auto"/>
        <w:jc w:val="center"/>
        <w:tblLook w:val="04A0" w:firstRow="1" w:lastRow="0" w:firstColumn="1" w:lastColumn="0" w:noHBand="0" w:noVBand="1"/>
      </w:tblPr>
      <w:tblGrid>
        <w:gridCol w:w="2997"/>
        <w:gridCol w:w="2472"/>
        <w:gridCol w:w="2118"/>
        <w:gridCol w:w="3410"/>
      </w:tblGrid>
      <w:tr w:rsidR="007E15E5" w:rsidRPr="00B57AB7" w14:paraId="3F7CCF8C" w14:textId="77777777" w:rsidTr="00B0105E">
        <w:trPr>
          <w:trHeight w:val="330"/>
          <w:jc w:val="center"/>
        </w:trPr>
        <w:tc>
          <w:tcPr>
            <w:tcW w:w="2997" w:type="dxa"/>
            <w:vAlign w:val="center"/>
          </w:tcPr>
          <w:p w14:paraId="65D7BC64" w14:textId="77777777" w:rsidR="007E15E5" w:rsidRPr="00B0105E" w:rsidRDefault="007E15E5" w:rsidP="00491595">
            <w:pPr>
              <w:tabs>
                <w:tab w:val="left" w:pos="7470"/>
              </w:tabs>
              <w:spacing w:line="240" w:lineRule="auto"/>
              <w:jc w:val="center"/>
              <w:rPr>
                <w:rFonts w:ascii="Garamond" w:hAnsi="Garamond"/>
                <w:b/>
                <w:bCs/>
                <w:lang w:val="en-US"/>
              </w:rPr>
            </w:pPr>
            <w:r w:rsidRPr="00B0105E">
              <w:rPr>
                <w:rFonts w:ascii="Garamond" w:hAnsi="Garamond"/>
                <w:b/>
                <w:bCs/>
                <w:lang w:val="en-US"/>
              </w:rPr>
              <w:t>Study</w:t>
            </w:r>
          </w:p>
        </w:tc>
        <w:tc>
          <w:tcPr>
            <w:tcW w:w="2472" w:type="dxa"/>
            <w:vAlign w:val="center"/>
          </w:tcPr>
          <w:p w14:paraId="20634024" w14:textId="4ED128DF" w:rsidR="007E15E5" w:rsidRPr="00B0105E" w:rsidRDefault="007E15E5" w:rsidP="00491595">
            <w:pPr>
              <w:tabs>
                <w:tab w:val="left" w:pos="7470"/>
              </w:tabs>
              <w:spacing w:line="240" w:lineRule="auto"/>
              <w:jc w:val="center"/>
              <w:rPr>
                <w:rFonts w:ascii="Garamond" w:hAnsi="Garamond"/>
                <w:b/>
                <w:bCs/>
                <w:lang w:val="en-US"/>
              </w:rPr>
            </w:pPr>
            <w:r w:rsidRPr="00B0105E">
              <w:rPr>
                <w:rFonts w:ascii="Garamond" w:hAnsi="Garamond"/>
                <w:b/>
                <w:bCs/>
                <w:lang w:val="en-US"/>
              </w:rPr>
              <w:t>The type of the effect</w:t>
            </w:r>
          </w:p>
        </w:tc>
        <w:tc>
          <w:tcPr>
            <w:tcW w:w="2118" w:type="dxa"/>
            <w:vAlign w:val="center"/>
          </w:tcPr>
          <w:p w14:paraId="1AA06991" w14:textId="4919C3EF" w:rsidR="007E15E5" w:rsidRPr="00B0105E" w:rsidRDefault="007E15E5" w:rsidP="00491595">
            <w:pPr>
              <w:tabs>
                <w:tab w:val="left" w:pos="7470"/>
              </w:tabs>
              <w:spacing w:line="240" w:lineRule="auto"/>
              <w:jc w:val="center"/>
              <w:rPr>
                <w:rFonts w:ascii="Garamond" w:hAnsi="Garamond"/>
                <w:b/>
                <w:bCs/>
                <w:lang w:val="en-US"/>
              </w:rPr>
            </w:pPr>
            <w:r w:rsidRPr="00B0105E">
              <w:rPr>
                <w:rFonts w:ascii="Garamond" w:hAnsi="Garamond"/>
                <w:b/>
                <w:bCs/>
                <w:lang w:val="en-US"/>
              </w:rPr>
              <w:t>The symmetry of effect</w:t>
            </w:r>
          </w:p>
        </w:tc>
        <w:tc>
          <w:tcPr>
            <w:tcW w:w="3410" w:type="dxa"/>
            <w:vAlign w:val="center"/>
          </w:tcPr>
          <w:p w14:paraId="16FE93E7" w14:textId="77777777" w:rsidR="007E15E5" w:rsidRPr="00B0105E" w:rsidRDefault="007E15E5" w:rsidP="00491595">
            <w:pPr>
              <w:tabs>
                <w:tab w:val="left" w:pos="7470"/>
              </w:tabs>
              <w:spacing w:line="240" w:lineRule="auto"/>
              <w:jc w:val="center"/>
              <w:rPr>
                <w:rFonts w:ascii="Garamond" w:hAnsi="Garamond"/>
                <w:b/>
                <w:bCs/>
                <w:lang w:val="en-US"/>
              </w:rPr>
            </w:pPr>
            <w:r w:rsidRPr="00B0105E">
              <w:rPr>
                <w:rFonts w:ascii="Garamond" w:hAnsi="Garamond"/>
                <w:b/>
                <w:bCs/>
                <w:lang w:val="en-US"/>
              </w:rPr>
              <w:t>Results</w:t>
            </w:r>
          </w:p>
        </w:tc>
      </w:tr>
      <w:tr w:rsidR="007E15E5" w:rsidRPr="00491595" w14:paraId="1851989A" w14:textId="77777777" w:rsidTr="00B0105E">
        <w:trPr>
          <w:trHeight w:val="347"/>
          <w:jc w:val="center"/>
        </w:trPr>
        <w:tc>
          <w:tcPr>
            <w:tcW w:w="2997" w:type="dxa"/>
            <w:vAlign w:val="center"/>
          </w:tcPr>
          <w:p w14:paraId="32330467" w14:textId="77777777" w:rsidR="007E15E5" w:rsidRPr="00B57AB7" w:rsidRDefault="007E15E5" w:rsidP="00491595">
            <w:pPr>
              <w:tabs>
                <w:tab w:val="left" w:pos="7470"/>
              </w:tabs>
              <w:spacing w:line="240" w:lineRule="auto"/>
              <w:rPr>
                <w:rFonts w:ascii="Garamond" w:hAnsi="Garamond"/>
                <w:b/>
                <w:bCs/>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{"citationItems":[{"id":"ITEM-1","itemData":{"author":[{"dropping-particle":"","family":"Landau","given":"Daniel","non-dropping-particle":"","parse-names":false,"suffix":""}],"container-title":"Southern Economic Journal","id":"ITEM-1","issue":"3","issued":{"date-parts":[["1983"]]},"page":"783-792","title":"Government Expenditure and Economic Growth : Government Expenditure A Cross-Country Study","type":"article-journal","volume":"49"},"uris":["http://www.mendeley.com/documents/?uuid=1eba4d93-5f2e-4b1a-a1c2-57a78f2dbe5c"]}],"mendeley":{"formattedCitation":"(Landau, 1983)","plainTextFormattedCitation":"(Landau, 1983)","previouslyFormattedCitation":"(Landau, 1983)"},"properties":{"noteIndex":0},"schema":"https://github.com/citation-style-language/schema/raw/master/csl-citation.json"}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(Landau, 1983)</w:t>
            </w:r>
            <w:r w:rsidRPr="00B57AB7">
              <w:rPr>
                <w:rFonts w:ascii="Garamond" w:hAnsi="Garamond"/>
                <w:sz w:val="20"/>
                <w:szCs w:val="20"/>
                <w:lang w:val="en-US"/>
              </w:rPr>
              <w:fldChar w:fldCharType="end"/>
            </w:r>
          </w:p>
        </w:tc>
        <w:tc>
          <w:tcPr>
            <w:tcW w:w="2472" w:type="dxa"/>
            <w:vAlign w:val="center"/>
          </w:tcPr>
          <w:p w14:paraId="6A3CB563" w14:textId="77777777" w:rsidR="007E15E5" w:rsidRPr="00B57AB7" w:rsidRDefault="007E15E5" w:rsidP="00491595">
            <w:pPr>
              <w:tabs>
                <w:tab w:val="left" w:pos="7470"/>
              </w:tabs>
              <w:spacing w:line="240" w:lineRule="auto"/>
              <w:rPr>
                <w:rFonts w:ascii="Garamond" w:hAnsi="Garamond"/>
                <w:b/>
                <w:bCs/>
                <w:sz w:val="20"/>
                <w:szCs w:val="20"/>
                <w:lang w:val="en-US"/>
              </w:rPr>
            </w:pPr>
            <w:r w:rsidRPr="00B57AB7">
              <w:rPr>
                <w:rFonts w:ascii="Garamond" w:hAnsi="Garamond"/>
                <w:sz w:val="20"/>
                <w:szCs w:val="20"/>
                <w:lang w:val="en-US"/>
              </w:rPr>
              <w:t>Aggregated</w:t>
            </w:r>
          </w:p>
        </w:tc>
        <w:tc>
          <w:tcPr>
            <w:tcW w:w="2118" w:type="dxa"/>
            <w:vAlign w:val="center"/>
          </w:tcPr>
          <w:p w14:paraId="36078C3B" w14:textId="77777777" w:rsidR="007E15E5" w:rsidRPr="00B57AB7" w:rsidRDefault="007E15E5" w:rsidP="00491595">
            <w:pPr>
              <w:tabs>
                <w:tab w:val="left" w:pos="7470"/>
              </w:tabs>
              <w:spacing w:line="240" w:lineRule="auto"/>
              <w:rPr>
                <w:rFonts w:ascii="Garamond" w:hAnsi="Garamond"/>
                <w:b/>
                <w:bCs/>
                <w:sz w:val="20"/>
                <w:szCs w:val="20"/>
                <w:lang w:val="en-US"/>
              </w:rPr>
            </w:pPr>
            <w:r w:rsidRPr="00B57AB7">
              <w:rPr>
                <w:rFonts w:ascii="Garamond" w:hAnsi="Garamond"/>
                <w:sz w:val="20"/>
                <w:szCs w:val="20"/>
                <w:lang w:val="en-US"/>
              </w:rPr>
              <w:t>Symmetric</w:t>
            </w:r>
          </w:p>
        </w:tc>
        <w:tc>
          <w:tcPr>
            <w:tcW w:w="3410" w:type="dxa"/>
            <w:vAlign w:val="center"/>
          </w:tcPr>
          <w:p w14:paraId="5A9B712C" w14:textId="77777777" w:rsidR="007E15E5" w:rsidRPr="00B57AB7" w:rsidRDefault="007E15E5" w:rsidP="00491595">
            <w:pPr>
              <w:tabs>
                <w:tab w:val="left" w:pos="7470"/>
              </w:tabs>
              <w:spacing w:line="240" w:lineRule="auto"/>
              <w:rPr>
                <w:rFonts w:ascii="Garamond" w:hAnsi="Garamond"/>
                <w:b/>
                <w:bCs/>
                <w:sz w:val="20"/>
                <w:szCs w:val="20"/>
                <w:lang w:val="en-US"/>
              </w:rPr>
            </w:pPr>
            <w:r w:rsidRPr="00B57AB7">
              <w:rPr>
                <w:rFonts w:ascii="Garamond" w:hAnsi="Garamond"/>
                <w:sz w:val="20"/>
                <w:szCs w:val="20"/>
                <w:lang w:val="en-US"/>
              </w:rPr>
              <w:t>Negative effect of current spending</w:t>
            </w:r>
          </w:p>
        </w:tc>
      </w:tr>
      <w:tr w:rsidR="007E15E5" w:rsidRPr="00491595" w14:paraId="49C53A29" w14:textId="77777777" w:rsidTr="00B0105E">
        <w:trPr>
          <w:trHeight w:val="330"/>
          <w:jc w:val="center"/>
        </w:trPr>
        <w:tc>
          <w:tcPr>
            <w:tcW w:w="2997" w:type="dxa"/>
            <w:vAlign w:val="center"/>
          </w:tcPr>
          <w:p w14:paraId="0D5809D7"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{"citationItems":[{"id":"ITEM-1","itemData":{"abstract":"This paper analyzes the impact of government expenditure and efficiency on economic growth of Sub Saharan African low income countries. The paper uses a panel data of 25 Sub-Saharan African low income countries spanning from 2002-2015 which are obtained from World Development Indicators (WDI) database. The paper executes panel unit root tests by using Im-Pesaran-Shin and Fisher ADF tests. The paper also uses Pedroni test to accomplish panel cointegration tests. Finally Generalized Methods of Moments (GMM) is applied to answer the two research questions. The results demonstrate that increasing government expenditure accelerates economic growth of low income countries in Sub Saharan Africa. However, when government expenditure is interacted with government efficiency we find no evidence for government efficiency to boost the impacts of government expenditure on economic growth. Fiscal policy makers in Sub Saharan African low income region should consider the rationale for using their spending to accelerate economic growth.","author":[{"dropping-particle":"","family":"Kimaro","given":"Edmund Lawrence","non-dropping-particle":"","parse-names":false,"suffix":""},{"dropping-particle":"","family":"Keong","given":"Choong Chee","non-dropping-particle":"","parse-names":false,"suffix":""},{"dropping-particle":"","family":"Sea","given":"Lau Lin","non-dropping-particle":"","parse-names":false,"suffix":""}],"container-title":"African Journal of Economic Review","id":"ITEM-1","issue":"2","issued":{"date-parts":[["2017"]]},"page":"34-54","title":"Government Expenditure, Efficiency and Economic Growth: A Panel Analysis of Sub Saharan African Low Income Countries","type":"article-journal","volume":"5"},"uris":["http://www.mendeley.com/documents/?uuid=8c19cafc-f531-4c30-9305-dab937f2cdfe"]}],"mendeley":{"formattedCitation":"(Kimaro et al., 2017)","plainTextFormattedCitation":"(Kimaro et al., 2017)","previouslyFormattedCitation":"(Kimaro et al., 2017)"},"properties":{"noteIndex":0},"schema":"https://github.com/citation-style-language/schema/raw/master/csl-citation.json"}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(Kimaro et al., 2017)</w:t>
            </w:r>
            <w:r w:rsidRPr="00B57AB7">
              <w:rPr>
                <w:rFonts w:ascii="Garamond" w:hAnsi="Garamond"/>
                <w:sz w:val="20"/>
                <w:szCs w:val="20"/>
                <w:lang w:val="en-US"/>
              </w:rPr>
              <w:fldChar w:fldCharType="end"/>
            </w:r>
          </w:p>
        </w:tc>
        <w:tc>
          <w:tcPr>
            <w:tcW w:w="2472" w:type="dxa"/>
            <w:vAlign w:val="center"/>
          </w:tcPr>
          <w:p w14:paraId="057E31EF"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Aggregated</w:t>
            </w:r>
          </w:p>
        </w:tc>
        <w:tc>
          <w:tcPr>
            <w:tcW w:w="2118" w:type="dxa"/>
            <w:vAlign w:val="center"/>
          </w:tcPr>
          <w:p w14:paraId="554E5379"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Symmetric</w:t>
            </w:r>
          </w:p>
        </w:tc>
        <w:tc>
          <w:tcPr>
            <w:tcW w:w="3410" w:type="dxa"/>
            <w:vAlign w:val="center"/>
          </w:tcPr>
          <w:p w14:paraId="38E524E5"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Positive effect of total spending </w:t>
            </w:r>
          </w:p>
        </w:tc>
      </w:tr>
      <w:tr w:rsidR="007E15E5" w:rsidRPr="00491595" w14:paraId="00BA327F" w14:textId="77777777" w:rsidTr="00B0105E">
        <w:trPr>
          <w:trHeight w:val="347"/>
          <w:jc w:val="center"/>
        </w:trPr>
        <w:tc>
          <w:tcPr>
            <w:tcW w:w="2997" w:type="dxa"/>
            <w:vAlign w:val="center"/>
          </w:tcPr>
          <w:p w14:paraId="2E550FFC"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{"citationItems":[{"id":"ITEM-1","itemData":{"DOI":"10.1016/j.econlet.2015.12.010","ISSN":"01651765","abstract":"We examine the nature of the relationship between government size and economic growth and identify the optimal level of government size using a large dataset through a novel and very general non-linear panel Generalized Method of Moments approach. We show that this relationship is statistically significant above and below the optimal level, even after splitting our sample to developed and developing countries. Finally, we find an asymmetric impact of government size on economic growth in both developed and developing countries around the estimated threshold.","author":[{"dropping-particle":"","family":"Asimakopoulos","given":"Stylianos","non-dropping-particle":"","parse-names":false,"suffix":""},{"dropping-particle":"","family":"Karavias","given":"Yiannis","non-dropping-particle":"","parse-names":false,"suffix":""}],"container-title":"Economics Letters","id":"ITEM-1","issued":{"date-parts":[["2016"]]},"page":"65-68","publisher":"Elsevier B.V.","title":"The impact of government size on economic growth: A threshold analysis","type":"article-journal","volume":"139"},"uris":["http://www.mendeley.com/documents/?uuid=7ac96b11-0b54-4e1d-b783-a561603b713e"]}],"mendeley":{"formattedCitation":"(Asimakopoulos &amp; Karavias, 2016)","plainTextFormattedCitation":"(Asimakopoulos &amp; Karavias, 2016)","previouslyFormattedCitation":"(Asimakopoulos &amp; Karavias, 2016)"},"properties":{"noteIndex":0},"schema":"https://github.com/citation-style-language/schema/raw/master/csl-citation.json"}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(Asimakopoulos &amp; Karavias, 2016)</w:t>
            </w:r>
            <w:r w:rsidRPr="00B57AB7">
              <w:rPr>
                <w:rFonts w:ascii="Garamond" w:hAnsi="Garamond"/>
                <w:sz w:val="20"/>
                <w:szCs w:val="20"/>
                <w:lang w:val="en-US"/>
              </w:rPr>
              <w:fldChar w:fldCharType="end"/>
            </w:r>
          </w:p>
        </w:tc>
        <w:tc>
          <w:tcPr>
            <w:tcW w:w="2472" w:type="dxa"/>
            <w:vAlign w:val="center"/>
          </w:tcPr>
          <w:p w14:paraId="10530F44"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Aggregated</w:t>
            </w:r>
          </w:p>
        </w:tc>
        <w:tc>
          <w:tcPr>
            <w:tcW w:w="2118" w:type="dxa"/>
            <w:vAlign w:val="center"/>
          </w:tcPr>
          <w:p w14:paraId="5D7D5993"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Asymmetric</w:t>
            </w:r>
          </w:p>
        </w:tc>
        <w:tc>
          <w:tcPr>
            <w:tcW w:w="3410" w:type="dxa"/>
            <w:vAlign w:val="center"/>
          </w:tcPr>
          <w:p w14:paraId="2CE24D3F"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Bell-shaped effect of total spending</w:t>
            </w:r>
          </w:p>
        </w:tc>
      </w:tr>
      <w:tr w:rsidR="007E15E5" w:rsidRPr="00491595" w14:paraId="25DB85B1" w14:textId="77777777" w:rsidTr="00B0105E">
        <w:trPr>
          <w:trHeight w:val="330"/>
          <w:jc w:val="center"/>
        </w:trPr>
        <w:tc>
          <w:tcPr>
            <w:tcW w:w="2997" w:type="dxa"/>
            <w:vAlign w:val="center"/>
          </w:tcPr>
          <w:p w14:paraId="022FE5FE"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{"citationItems":[{"id":"ITEM-1","itemData":{"DOI":"10.1016/j.econmod.2017.07.014","ISSN":"02649993","abstract":"This paper explores whether there exist nonlinear threshold effects of government size and governance on output growth and whether the effect is mainly mediated through the productivity growth channel. Using the panel smooth transition regression (PSTR) approach to a sample of developed and developing countries, it finds that (i) better governance helps government size increase productivity and hence output growth, and bigger government size helps governance raise productivity and then output growth; (ii) government size turns harmful to growth above some threshold level of government size; (iii) governance becomes beneficial to growth above some threshold level of governance; and (iv) the evidence is more pronounced in countries with abundant natural resources. The findings are robust and provide circumstantial support for government size and governance to promote economic growth.","author":[{"dropping-particle":"","family":"Kim","given":"Dong Hyeon","non-dropping-particle":"","parse-names":false,"suffix":""},{"dropping-particle":"","family":"Wu","given":"Yi Chen","non-dropping-particle":"","parse-names":false,"suffix":""},{"dropping-particle":"","family":"Lin","given":"Shu Chin","non-dropping-particle":"","parse-names":false,"suffix":""}],"container-title":"Economic Modelling","id":"ITEM-1","issue":"June","issued":{"date-parts":[["2018"]]},"page":"205-216","publisher":"Elsevier","title":"Heterogeneity in the effects of government size and governance on economic growth","type":"article-journal","volume":"68"},"uris":["http://www.mendeley.com/documents/?uuid=c9ded13c-71ef-4694-a85f-89571fad3f0a"]}],"mendeley":{"formattedCitation":"(Kim et al., 2018)","plainTextFormattedCitation":"(Kim et al., 2018)","previouslyFormattedCitation":"(Kim et al., 2018)"},"properties":{"noteIndex":0},"schema":"https://github.com/citation-style-language/schema/raw/master/csl-citation.json"}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(Kim et al., 2018)</w:t>
            </w:r>
            <w:r w:rsidRPr="00B57AB7">
              <w:rPr>
                <w:rFonts w:ascii="Garamond" w:hAnsi="Garamond"/>
                <w:sz w:val="20"/>
                <w:szCs w:val="20"/>
                <w:lang w:val="en-US"/>
              </w:rPr>
              <w:fldChar w:fldCharType="end"/>
            </w:r>
          </w:p>
        </w:tc>
        <w:tc>
          <w:tcPr>
            <w:tcW w:w="2472" w:type="dxa"/>
            <w:vAlign w:val="center"/>
          </w:tcPr>
          <w:p w14:paraId="0296E911"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Aggregated</w:t>
            </w:r>
          </w:p>
        </w:tc>
        <w:tc>
          <w:tcPr>
            <w:tcW w:w="2118" w:type="dxa"/>
            <w:vAlign w:val="center"/>
          </w:tcPr>
          <w:p w14:paraId="7277DB18"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Asymmetric</w:t>
            </w:r>
          </w:p>
        </w:tc>
        <w:tc>
          <w:tcPr>
            <w:tcW w:w="3410" w:type="dxa"/>
            <w:vAlign w:val="center"/>
          </w:tcPr>
          <w:p w14:paraId="7B1D15D5"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Bell-shaped effect of total spending</w:t>
            </w:r>
          </w:p>
        </w:tc>
      </w:tr>
      <w:tr w:rsidR="007E15E5" w:rsidRPr="00491595" w14:paraId="658E26B4" w14:textId="77777777" w:rsidTr="00B0105E">
        <w:trPr>
          <w:trHeight w:val="347"/>
          <w:jc w:val="center"/>
        </w:trPr>
        <w:tc>
          <w:tcPr>
            <w:tcW w:w="2997" w:type="dxa"/>
            <w:vAlign w:val="center"/>
          </w:tcPr>
          <w:p w14:paraId="71A48DC5"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{"citationItems":[{"id":"ITEM-1","itemData":{"DOI":"10.1016/j.jeca.2020.e00180","ISSN":"17034949","abstract":"This study examines the asymmetry phenomenon in government spending-growth nexus in ECOWAS. The study adopts the System Generalized Method of Moment within the framework of panel data analysis as proposed by (Arellano &amp; Bover, 1995; Blundell &amp; Bond, 1998) which addresses the issue of potential endogeneity of fiscal variables through the use of internal instruments, and follow in the footsteps of Hatemi-J (2011, 2012), Granger and Yoon (2002) to separate negative shocks from positive shocks to government spending. In addition, we adopt Driscoll and Kraay's nonparametric covariance matrix estimator, to account for cross-section dependency and cross-country heterogeneity inherent in empirical modelling. Our findings reveal that there is evidence of asymmetry in the government spending-economic growth nexus in ECOWAS over the period of study. We find that the response of economic growth to government spending shocks differs according to the nature of shocks on them. More specifically, the cumulative effect of expansionary government spending shocks on economic growth is positive and statistically significant. While the cumulative effect of a contractionary government spending exerts a negative and statistically significant impact on economic growth. Also, we found strong evidence of the existence of an inverted “U-shaped” relationship between government spending and economic growth.","author":[{"dropping-particle":"","family":"Olaoye","given":"Olumide O.","non-dropping-particle":"","parse-names":false,"suffix":""},{"dropping-particle":"","family":"Eluwole","given":"Oluwatosin O.","non-dropping-particle":"","parse-names":false,"suffix":""},{"dropping-particle":"","family":"Ayesha","given":"Aziz","non-dropping-particle":"","parse-names":false,"suffix":""},{"dropping-particle":"","family":"Afolabi","given":"Olugbenga O.","non-dropping-particle":"","parse-names":false,"suffix":""}],"container-title":"Journal of Economic Asymmetries","id":"ITEM-1","issue":"August","issued":{"date-parts":[["2020"]]},"page":"e00180","publisher":"Elsevier Ltd","title":"Government spending and economic growth in ECOWAS: An asymmetric analysis","type":"article-journal","volume":"22"},"uris":["http://www.mendeley.com/documents/?uuid=1091ddb5-556e-4822-8748-ef63ee2f96c6"]}],"mendeley":{"formattedCitation":"(Olaoye et al., 2020)","plainTextFormattedCitation":"(Olaoye et al., 2020)","previouslyFormattedCitation":"(Olaoye et al., 2020)"},"properties":{"noteIndex":0},"schema":"https://github.com/citation-style-language/schema/raw/master/csl-citation.json"}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(Olaoye et al., 2020)</w:t>
            </w:r>
            <w:r w:rsidRPr="00B57AB7">
              <w:rPr>
                <w:rFonts w:ascii="Garamond" w:hAnsi="Garamond"/>
                <w:sz w:val="20"/>
                <w:szCs w:val="20"/>
                <w:lang w:val="en-US"/>
              </w:rPr>
              <w:fldChar w:fldCharType="end"/>
            </w:r>
          </w:p>
        </w:tc>
        <w:tc>
          <w:tcPr>
            <w:tcW w:w="2472" w:type="dxa"/>
            <w:vAlign w:val="center"/>
          </w:tcPr>
          <w:p w14:paraId="50DFC0CB"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Aggregated</w:t>
            </w:r>
          </w:p>
        </w:tc>
        <w:tc>
          <w:tcPr>
            <w:tcW w:w="2118" w:type="dxa"/>
            <w:vAlign w:val="center"/>
          </w:tcPr>
          <w:p w14:paraId="32F3F9E6"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Asymmetric</w:t>
            </w:r>
          </w:p>
        </w:tc>
        <w:tc>
          <w:tcPr>
            <w:tcW w:w="3410" w:type="dxa"/>
            <w:vAlign w:val="center"/>
          </w:tcPr>
          <w:p w14:paraId="54C6B157"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Bell-shaped effect of total spending</w:t>
            </w:r>
          </w:p>
        </w:tc>
      </w:tr>
      <w:tr w:rsidR="007E15E5" w:rsidRPr="00491595" w14:paraId="7D4FAE8A" w14:textId="77777777" w:rsidTr="00B0105E">
        <w:trPr>
          <w:trHeight w:val="677"/>
          <w:jc w:val="center"/>
        </w:trPr>
        <w:tc>
          <w:tcPr>
            <w:tcW w:w="2997" w:type="dxa"/>
            <w:vAlign w:val="center"/>
          </w:tcPr>
          <w:p w14:paraId="196FA7E7"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{"citationItems":[{"id":"ITEM-1","itemData":{"DOI":"10.1016/j.jimonfin.2005.01.004","ISSN":"02615606","abstract":"This paper assesses the effects of fiscal consolidation and expenditure composition on economic growth in a sample of 39 low-income countries during the 1990s. The paper finds that strong budgetary positions are generally associated with higher economic growth in both the short and long terms. The composition of public outlays also matters: countries where spending is concentrated on wages tend to have lower growth, while those that allocate higher shares to capital and nonwage goods and services enjoy faster output expansion. Finally, initial fiscal conditions also have a bearing on the nexus between fiscal deficits and growth. © 2005 Elsevier Ltd. All rights reserved.","author":[{"dropping-particle":"","family":"Gupta","given":"Sanjeev","non-dropping-particle":"","parse-names":false,"suffix":""},{"dropping-particle":"","family":"Clemennts","given":"Benedict","non-dropping-particle":"","parse-names":false,"suffix":""},{"dropping-particle":"","family":"Baldacci","given":"Emmanuel","non-dropping-particle":"","parse-names":false,"suffix":""},{"dropping-particle":"","family":"Mulas-Granados","given":"Carlos","non-dropping-particle":"","parse-names":false,"suffix":""}],"container-title":"Journal of International Money and Finance","id":"ITEM-1","issue":"3","issued":{"date-parts":[["2005"]]},"page":"441-463","title":"Fiscal policy, expenditure composition, and growth in low-income countries","type":"article-journal","volume":"24"},"uris":["http://www.mendeley.com/documents/?uuid=143b459d-9c1e-455e-a40e-617c447fe0a0"]}],"mendeley":{"formattedCitation":"(Gupta et al., 2005)","plainTextFormattedCitation":"(Gupta et al., 2005)","previouslyFormattedCitation":"(Gupta et al., 2005)"},"properties":{"noteIndex":0},"schema":"https://github.com/citation-style-language/schema/raw/master/csl-citation.json"}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(Gupta et al., 2005)</w:t>
            </w:r>
            <w:r w:rsidRPr="00B57AB7">
              <w:rPr>
                <w:rFonts w:ascii="Garamond" w:hAnsi="Garamond"/>
                <w:sz w:val="20"/>
                <w:szCs w:val="20"/>
                <w:lang w:val="en-US"/>
              </w:rPr>
              <w:fldChar w:fldCharType="end"/>
            </w:r>
          </w:p>
        </w:tc>
        <w:tc>
          <w:tcPr>
            <w:tcW w:w="2472" w:type="dxa"/>
            <w:vAlign w:val="center"/>
          </w:tcPr>
          <w:p w14:paraId="6B88FA98"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Disaggregated</w:t>
            </w:r>
          </w:p>
        </w:tc>
        <w:tc>
          <w:tcPr>
            <w:tcW w:w="2118" w:type="dxa"/>
            <w:vAlign w:val="center"/>
          </w:tcPr>
          <w:p w14:paraId="01028379"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Symmetric</w:t>
            </w:r>
          </w:p>
        </w:tc>
        <w:tc>
          <w:tcPr>
            <w:tcW w:w="3410" w:type="dxa"/>
            <w:vAlign w:val="center"/>
          </w:tcPr>
          <w:p w14:paraId="587A5BF3"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Negative effect of current spending </w:t>
            </w:r>
          </w:p>
          <w:p w14:paraId="69264C72"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Positive effect of capital spending</w:t>
            </w:r>
          </w:p>
        </w:tc>
      </w:tr>
      <w:tr w:rsidR="007E15E5" w:rsidRPr="00491595" w14:paraId="07E33312" w14:textId="77777777" w:rsidTr="00B0105E">
        <w:trPr>
          <w:trHeight w:val="1025"/>
          <w:jc w:val="center"/>
        </w:trPr>
        <w:tc>
          <w:tcPr>
            <w:tcW w:w="2997" w:type="dxa"/>
            <w:vAlign w:val="center"/>
          </w:tcPr>
          <w:p w14:paraId="74E7F15F"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w:t>
            </w:r>
            <w:proofErr w:type="spellStart"/>
            <w:r w:rsidRPr="00B57AB7">
              <w:rPr>
                <w:rFonts w:ascii="Garamond" w:hAnsi="Garamond"/>
                <w:sz w:val="20"/>
                <w:szCs w:val="20"/>
                <w:lang w:val="en-US"/>
              </w:rPr>
              <w:t>Butkiewicz</w:t>
            </w:r>
            <w:proofErr w:type="spellEnd"/>
            <w:r w:rsidRPr="00B57AB7">
              <w:rPr>
                <w:rFonts w:ascii="Garamond" w:hAnsi="Garamond"/>
                <w:sz w:val="20"/>
                <w:szCs w:val="20"/>
                <w:lang w:val="en-US"/>
              </w:rPr>
              <w:t xml:space="preserve"> and </w:t>
            </w:r>
            <w:proofErr w:type="spellStart"/>
            <w:r w:rsidRPr="00B57AB7">
              <w:rPr>
                <w:rFonts w:ascii="Garamond" w:hAnsi="Garamond"/>
                <w:sz w:val="20"/>
                <w:szCs w:val="20"/>
                <w:lang w:val="en-US"/>
              </w:rPr>
              <w:t>Yanikkaya</w:t>
            </w:r>
            <w:proofErr w:type="spellEnd"/>
            <w:r w:rsidRPr="00B57AB7">
              <w:rPr>
                <w:rFonts w:ascii="Garamond" w:hAnsi="Garamond"/>
                <w:sz w:val="20"/>
                <w:szCs w:val="20"/>
                <w:lang w:val="en-US"/>
              </w:rPr>
              <w:t>, 2011)</w:t>
            </w:r>
          </w:p>
        </w:tc>
        <w:tc>
          <w:tcPr>
            <w:tcW w:w="2472" w:type="dxa"/>
            <w:vAlign w:val="center"/>
          </w:tcPr>
          <w:p w14:paraId="0123B27E"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Disaggregated</w:t>
            </w:r>
          </w:p>
        </w:tc>
        <w:tc>
          <w:tcPr>
            <w:tcW w:w="2118" w:type="dxa"/>
            <w:vAlign w:val="center"/>
          </w:tcPr>
          <w:p w14:paraId="51832B51"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Symmetric</w:t>
            </w:r>
          </w:p>
        </w:tc>
        <w:tc>
          <w:tcPr>
            <w:tcW w:w="3410" w:type="dxa"/>
            <w:vAlign w:val="center"/>
          </w:tcPr>
          <w:p w14:paraId="3021AE53"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Negative effect of total spending </w:t>
            </w:r>
          </w:p>
          <w:p w14:paraId="17297AAD"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Negative effect of current spending </w:t>
            </w:r>
          </w:p>
          <w:p w14:paraId="2D53EE21"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Positive effect of capital spending </w:t>
            </w:r>
          </w:p>
        </w:tc>
      </w:tr>
      <w:tr w:rsidR="007E15E5" w:rsidRPr="00491595" w14:paraId="02ACD79A" w14:textId="77777777" w:rsidTr="00B0105E">
        <w:trPr>
          <w:trHeight w:val="677"/>
          <w:jc w:val="center"/>
        </w:trPr>
        <w:tc>
          <w:tcPr>
            <w:tcW w:w="2997" w:type="dxa"/>
            <w:vAlign w:val="center"/>
          </w:tcPr>
          <w:p w14:paraId="322AED2A"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{"citationItems":[{"id":"ITEM-1","itemData":{"abstract":"In this paper, we examine the growth effects of government expenditure for a panel of 30 developing countries over the 1970s and 1980s, with a particular focus on disaggregated government expenditures. Our methodology improves on previous research on this topic by explicitly recognizing the role of the government budget constraint and the possible biases arising from omitted variables. Our primary results are twofold. First, the share of government capital expenditure in GDP is positively and significantly correlated with economic growth, but current expenditure is insignificant. Second, at the disaggregated level, government investment in education and total expenditures in education are the only outlays that are significantly associated with growth once the budget constraint and omitted variables are taken into consideration.","author":[{"dropping-particle":"","family":"Bose","given":"Niloy","non-dropping-particle":"","parse-names":false,"suffix":""},{"dropping-particle":"","family":"Haque","given":"M Emranul","non-dropping-particle":"","parse-names":false,"suffix":""},{"dropping-particle":"","family":"Osborn","given":"Denise R","non-dropping-particle":"","parse-names":false,"suffix":""}],"container-title":"Journal compilation","id":"ITEM-1","issue":"5","issued":{"date-parts":[["2007"]]},"title":"Public Expenditure and Economic Growth: A Disaggregated Analysis for Developing Countries","type":"article-journal","volume":"75"},"uris":["http://www.mendeley.com/documents/?uuid=14919441-6db4-4610-a13e-1d675e687733"]}],"mendeley":{"formattedCitation":"(Bose et al., 2007)","plainTextFormattedCitation":"(Bose et al., 2007)","previouslyFormattedCitation":"(Bose et al., 2007)"},"properties":{"noteIndex":0},"schema":"https://github.com/citation-style-language/schema/raw/master/csl-citation.json"}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(Bose et al., 2007)</w:t>
            </w:r>
            <w:r w:rsidRPr="00B57AB7">
              <w:rPr>
                <w:rFonts w:ascii="Garamond" w:hAnsi="Garamond"/>
                <w:sz w:val="20"/>
                <w:szCs w:val="20"/>
                <w:lang w:val="en-US"/>
              </w:rPr>
              <w:fldChar w:fldCharType="end"/>
            </w:r>
          </w:p>
        </w:tc>
        <w:tc>
          <w:tcPr>
            <w:tcW w:w="2472" w:type="dxa"/>
            <w:vAlign w:val="center"/>
          </w:tcPr>
          <w:p w14:paraId="33D943DE"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Disaggregated</w:t>
            </w:r>
          </w:p>
        </w:tc>
        <w:tc>
          <w:tcPr>
            <w:tcW w:w="2118" w:type="dxa"/>
            <w:vAlign w:val="center"/>
          </w:tcPr>
          <w:p w14:paraId="310D6CCC"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Symmetric</w:t>
            </w:r>
          </w:p>
        </w:tc>
        <w:tc>
          <w:tcPr>
            <w:tcW w:w="3410" w:type="dxa"/>
            <w:vAlign w:val="center"/>
          </w:tcPr>
          <w:p w14:paraId="6B139D15"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No effect of current spending </w:t>
            </w:r>
          </w:p>
          <w:p w14:paraId="6A7E19B3"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Positive effect of capital spending</w:t>
            </w:r>
          </w:p>
        </w:tc>
      </w:tr>
      <w:tr w:rsidR="007E15E5" w:rsidRPr="00491595" w14:paraId="4E9231F7" w14:textId="77777777" w:rsidTr="00B0105E">
        <w:trPr>
          <w:trHeight w:val="677"/>
          <w:jc w:val="center"/>
        </w:trPr>
        <w:tc>
          <w:tcPr>
            <w:tcW w:w="2997" w:type="dxa"/>
            <w:vAlign w:val="center"/>
          </w:tcPr>
          <w:p w14:paraId="3BD7CDD1"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{"citationItems":[{"id":"ITEM-1","itemData":{"abstract":"Noting that the literature has focused on the link between the level of public expenditure and growth, we derive conditions under which a change in the composition of expenditure leads to a higher steady-state growth rate of the economy. The conditions depend not just on the physical productivity of the different components of public expenditure but also on the initial shares. Using data from 43 developing countries over 20 years we show that an increase in the share of current expenditure has positive and statistically significant growth effects. By contrast, the relationship between the capital component of public expenditure and per-capita growth is negative. Thus, seemingly productive expenditures, when used in excess, could become unproductive. These results imply that developing-country governments have been misallocating public expenditures in favor of capital expenditures at the expense of current expenditures.","author":[{"dropping-particle":"","family":"Devarajan","given":"Shantayanan","non-dropping-particle":"","parse-names":false,"suffix":""},{"dropping-particle":"","family":"Swaroop","given":"Vinaya","non-dropping-particle":"","parse-names":false,"suffix":""},{"dropping-particle":"","family":"Zou","given":"Heng-fu","non-dropping-particle":"","parse-names":false,"suffix":""}],"container-title":"Journal Monetary Economics","id":"ITEM-1","issued":{"date-parts":[["1996"]]},"page":"313 344","title":"The composition of public expenditure and economic growth","type":"article-journal","volume":"37"},"uris":["http://www.mendeley.com/documents/?uuid=f851f199-c732-4171-8f06-cc113a9a9142"]}],"mendeley":{"formattedCitation":"(Devarajan et al., 1996)","plainTextFormattedCitation":"(Devarajan et al., 1996)","previouslyFormattedCitation":"(Devarajan et al., 1996)"},"properties":{"noteIndex":0},"schema":"https://github.com/citation-style-language/schema/raw/master/csl-citation.json"}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(Devarajan et al., 1996)</w:t>
            </w:r>
            <w:r w:rsidRPr="00B57AB7">
              <w:rPr>
                <w:rFonts w:ascii="Garamond" w:hAnsi="Garamond"/>
                <w:sz w:val="20"/>
                <w:szCs w:val="20"/>
                <w:lang w:val="en-US"/>
              </w:rPr>
              <w:fldChar w:fldCharType="end"/>
            </w:r>
          </w:p>
        </w:tc>
        <w:tc>
          <w:tcPr>
            <w:tcW w:w="2472" w:type="dxa"/>
            <w:vAlign w:val="center"/>
          </w:tcPr>
          <w:p w14:paraId="60FF9E79"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Disaggregated</w:t>
            </w:r>
          </w:p>
        </w:tc>
        <w:tc>
          <w:tcPr>
            <w:tcW w:w="2118" w:type="dxa"/>
            <w:vAlign w:val="center"/>
          </w:tcPr>
          <w:p w14:paraId="496F66BE"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Symmetric</w:t>
            </w:r>
          </w:p>
        </w:tc>
        <w:tc>
          <w:tcPr>
            <w:tcW w:w="3410" w:type="dxa"/>
            <w:vAlign w:val="center"/>
          </w:tcPr>
          <w:p w14:paraId="51C5583F"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Positive effect of current spending </w:t>
            </w:r>
          </w:p>
          <w:p w14:paraId="1AD73ED5"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Negative effect of capital spending</w:t>
            </w:r>
          </w:p>
        </w:tc>
      </w:tr>
      <w:tr w:rsidR="007E15E5" w:rsidRPr="00491595" w14:paraId="6306AC67" w14:textId="77777777" w:rsidTr="00B0105E">
        <w:trPr>
          <w:trHeight w:val="677"/>
          <w:jc w:val="center"/>
        </w:trPr>
        <w:tc>
          <w:tcPr>
            <w:tcW w:w="2997" w:type="dxa"/>
            <w:vAlign w:val="center"/>
          </w:tcPr>
          <w:p w14:paraId="5993C099"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{"citationItems":[{"id":"ITEM-1","itemData":{"DOI":"10.1093/oep/gpn005","ISSN":"00307653","abstract":"In an endogenous growth framework with two public goods with differing productivities, this paper analytically characterizes optimal fiscal policy for a decentralized economy, whereby the optimal values of the growth rate, tax rate and expenditure shares on the two public goods are linked directly to their productivity parameters. Using panel data for 15 developing countries over 28 years, we show using GMM techniques, that current (capital) spending has positive (negative) and significant effects on the growth rate, contrary to commonly held views. For instance, spending on operations and maintenance has a stronger impact on growth than both health and education spending. We consider the various components on the revenue side of the government budget constraint to take into account possible omitted variable bias that could arise if tax revenue alone was considered. © Oxford University Press 2008 All rights reserved.","author":[{"dropping-particle":"","family":"Ghosh","given":"Sugata","non-dropping-particle":"","parse-names":false,"suffix":""},{"dropping-particle":"","family":"Gregoriou","given":"Andros","non-dropping-particle":"","parse-names":false,"suffix":""}],"container-title":"Oxford Economic Papers","id":"ITEM-1","issue":"3","issued":{"date-parts":[["2008"]]},"page":"484-516","title":"The composition of government spending and growth: Is current or capital spending better?","type":"article-journal","volume":"60"},"uris":["http://www.mendeley.com/documents/?uuid=5a76faf4-6ef8-4748-8d1d-65f0cd4b1489"]}],"mendeley":{"formattedCitation":"(Ghosh &amp; Gregoriou, 2008)","plainTextFormattedCitation":"(Ghosh &amp; Gregoriou, 2008)","previouslyFormattedCitation":"(Ghosh &amp; Gregoriou, 2008)"},"properties":{"noteIndex":0},"schema":"https://github.com/citation-style-language/schema/raw/master/csl-citation.json"}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(Ghosh &amp; Gregoriou, 2008)</w:t>
            </w:r>
            <w:r w:rsidRPr="00B57AB7">
              <w:rPr>
                <w:rFonts w:ascii="Garamond" w:hAnsi="Garamond"/>
                <w:sz w:val="20"/>
                <w:szCs w:val="20"/>
                <w:lang w:val="en-US"/>
              </w:rPr>
              <w:fldChar w:fldCharType="end"/>
            </w:r>
          </w:p>
        </w:tc>
        <w:tc>
          <w:tcPr>
            <w:tcW w:w="2472" w:type="dxa"/>
            <w:vAlign w:val="center"/>
          </w:tcPr>
          <w:p w14:paraId="14508EB1"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Disaggregated</w:t>
            </w:r>
          </w:p>
        </w:tc>
        <w:tc>
          <w:tcPr>
            <w:tcW w:w="2118" w:type="dxa"/>
            <w:vAlign w:val="center"/>
          </w:tcPr>
          <w:p w14:paraId="717EDF5C"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Symmetric</w:t>
            </w:r>
          </w:p>
        </w:tc>
        <w:tc>
          <w:tcPr>
            <w:tcW w:w="3410" w:type="dxa"/>
            <w:vAlign w:val="center"/>
          </w:tcPr>
          <w:p w14:paraId="2B4BBC11"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Positive effect of current spending </w:t>
            </w:r>
          </w:p>
          <w:p w14:paraId="137AA488"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Negative effect of capital spending</w:t>
            </w:r>
          </w:p>
        </w:tc>
      </w:tr>
      <w:tr w:rsidR="007E15E5" w:rsidRPr="00491595" w14:paraId="727A8554" w14:textId="77777777" w:rsidTr="00B0105E">
        <w:trPr>
          <w:trHeight w:val="1025"/>
          <w:jc w:val="center"/>
        </w:trPr>
        <w:tc>
          <w:tcPr>
            <w:tcW w:w="2997" w:type="dxa"/>
            <w:vAlign w:val="center"/>
          </w:tcPr>
          <w:p w14:paraId="1210D1B3"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{"citationItems":[{"id":"ITEM-1","itemData":{"DOI":"10.1016/j.iref.2010.10.005","ISSN":"10590560","abstract":"Using a model that accommodates asymmetric adjustments of output growth to changes in growth of government spending, the effects of aggregate and disaggregate government spending variables on output growth are examined. Both cross-section and panel regression estimations are conducted. Robustness of results to joint-endogeneity of output and government spending, alternative conditioning variables, and cointegration is investigated. Aggregate government spending appears to have positive output growth effects particularly in periods of below-trend growth in this variable. The government sector's productivity appears to be higher than non-government sector's productivity when spending growth is below-trend growth and only for non-OECD countries; no differences in sectoral productivities are detected for OECD countries. Government consumption spending has no significant output growth effects, but government investment spending has positive output growth effects particularly when its growth falls below its trend-growth; this favorable effect turns negative when government investment spending growth exceeds its trend-growth. Results are robust across alternative model specifications and estimation methods. © 2010 Elsevier Inc.","author":[{"dropping-particle":"","family":"Wahab","given":"Mahmoud","non-dropping-particle":"","parse-names":false,"suffix":""}],"container-title":"International Review of Economics and Finance","id":"ITEM-1","issue":"4","issued":{"date-parts":[["2011"]]},"page":"574-590","publisher":"Elsevier Inc.","title":"Asymmetric output growth effects of government spending: Cross-sectional and panel data evidence","type":"article-journal","volume":"20"},"uris":["http://www.mendeley.com/documents/?uuid=8529c06c-ae46-47ba-96ee-82a09094b13d"]}],"mendeley":{"formattedCitation":"(Wahab, 2011)","plainTextFormattedCitation":"(Wahab, 2011)","previouslyFormattedCitation":"(Wahab, 2011)"},"properties":{"noteIndex":0},"schema":"https://github.com/citation-style-language/schema/raw/master/csl-citation.json"}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(Wahab, 2011)</w:t>
            </w:r>
            <w:r w:rsidRPr="00B57AB7">
              <w:rPr>
                <w:rFonts w:ascii="Garamond" w:hAnsi="Garamond"/>
                <w:sz w:val="20"/>
                <w:szCs w:val="20"/>
                <w:lang w:val="en-US"/>
              </w:rPr>
              <w:fldChar w:fldCharType="end"/>
            </w:r>
          </w:p>
        </w:tc>
        <w:tc>
          <w:tcPr>
            <w:tcW w:w="2472" w:type="dxa"/>
            <w:vAlign w:val="center"/>
          </w:tcPr>
          <w:p w14:paraId="2A49712F"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Disaggregated</w:t>
            </w:r>
          </w:p>
        </w:tc>
        <w:tc>
          <w:tcPr>
            <w:tcW w:w="2118" w:type="dxa"/>
            <w:vAlign w:val="center"/>
          </w:tcPr>
          <w:p w14:paraId="5E87D18B"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Asymmetric</w:t>
            </w:r>
          </w:p>
        </w:tc>
        <w:tc>
          <w:tcPr>
            <w:tcW w:w="3410" w:type="dxa"/>
            <w:vAlign w:val="center"/>
          </w:tcPr>
          <w:p w14:paraId="1B7EA78D"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Positive effect of total spending </w:t>
            </w:r>
          </w:p>
          <w:p w14:paraId="64EE8ED5"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 xml:space="preserve">No effect of current spending </w:t>
            </w:r>
          </w:p>
          <w:p w14:paraId="2EEA6D94" w14:textId="77777777" w:rsidR="007E15E5" w:rsidRPr="00B57AB7" w:rsidRDefault="007E15E5" w:rsidP="00491595">
            <w:pPr>
              <w:tabs>
                <w:tab w:val="left" w:pos="7470"/>
              </w:tabs>
              <w:spacing w:line="240" w:lineRule="auto"/>
              <w:rPr>
                <w:rFonts w:ascii="Garamond" w:hAnsi="Garamond"/>
                <w:sz w:val="20"/>
                <w:szCs w:val="20"/>
                <w:lang w:val="en-US"/>
              </w:rPr>
            </w:pPr>
            <w:r w:rsidRPr="00B57AB7">
              <w:rPr>
                <w:rFonts w:ascii="Garamond" w:hAnsi="Garamond"/>
                <w:sz w:val="20"/>
                <w:szCs w:val="20"/>
                <w:lang w:val="en-US"/>
              </w:rPr>
              <w:t>Bell-shaped effect of capital spending</w:t>
            </w:r>
          </w:p>
        </w:tc>
      </w:tr>
    </w:tbl>
    <w:p w14:paraId="6159DB0E" w14:textId="77777777" w:rsidR="007E15E5" w:rsidRPr="00B57AB7" w:rsidRDefault="007E15E5" w:rsidP="007E15E5">
      <w:pPr>
        <w:tabs>
          <w:tab w:val="left" w:pos="7470"/>
        </w:tabs>
        <w:spacing w:line="276" w:lineRule="auto"/>
        <w:jc w:val="both"/>
        <w:rPr>
          <w:rFonts w:ascii="Garamond" w:hAnsi="Garamond"/>
          <w:lang w:val="en-US"/>
        </w:rPr>
        <w:sectPr w:rsidR="007E15E5" w:rsidRPr="00B57AB7" w:rsidSect="00D033BE">
          <w:pgSz w:w="16838" w:h="11906" w:orient="landscape"/>
          <w:pgMar w:top="1417" w:right="1417" w:bottom="1417" w:left="1417" w:header="708" w:footer="708" w:gutter="0"/>
          <w:cols w:space="708"/>
          <w:docGrid w:linePitch="360"/>
        </w:sectPr>
      </w:pPr>
    </w:p>
    <w:p w14:paraId="69789599" w14:textId="636994B4" w:rsidR="007E15E5" w:rsidRPr="00B57AB7" w:rsidRDefault="007E15E5" w:rsidP="00D85342">
      <w:pPr>
        <w:pStyle w:val="Heading2"/>
        <w:rPr>
          <w:lang w:val="en-US"/>
        </w:rPr>
      </w:pPr>
      <w:r w:rsidRPr="00B57AB7">
        <w:rPr>
          <w:lang w:val="en-US"/>
        </w:rPr>
        <w:lastRenderedPageBreak/>
        <w:t>Appendix B: A summary of the consulted empirical literature on the determinants of bank performance</w:t>
      </w:r>
    </w:p>
    <w:tbl>
      <w:tblPr>
        <w:tblStyle w:val="TableGrid"/>
        <w:tblW w:w="0" w:type="auto"/>
        <w:jc w:val="center"/>
        <w:tblLook w:val="04A0" w:firstRow="1" w:lastRow="0" w:firstColumn="1" w:lastColumn="0" w:noHBand="0" w:noVBand="1"/>
      </w:tblPr>
      <w:tblGrid>
        <w:gridCol w:w="2875"/>
        <w:gridCol w:w="2429"/>
        <w:gridCol w:w="1981"/>
        <w:gridCol w:w="4921"/>
      </w:tblGrid>
      <w:tr w:rsidR="007E15E5" w:rsidRPr="00B57AB7" w14:paraId="6056D121" w14:textId="77777777" w:rsidTr="00E13B94">
        <w:trPr>
          <w:trHeight w:val="408"/>
          <w:jc w:val="center"/>
        </w:trPr>
        <w:tc>
          <w:tcPr>
            <w:tcW w:w="2875" w:type="dxa"/>
            <w:vAlign w:val="center"/>
          </w:tcPr>
          <w:p w14:paraId="520FFC93" w14:textId="77777777" w:rsidR="007E15E5" w:rsidRPr="00B57AB7" w:rsidRDefault="007E15E5" w:rsidP="00D033BE">
            <w:pPr>
              <w:tabs>
                <w:tab w:val="left" w:pos="7470"/>
              </w:tabs>
              <w:spacing w:line="276" w:lineRule="auto"/>
              <w:jc w:val="center"/>
              <w:rPr>
                <w:rFonts w:ascii="Garamond" w:hAnsi="Garamond"/>
                <w:b/>
                <w:bCs/>
                <w:sz w:val="20"/>
                <w:szCs w:val="20"/>
                <w:lang w:val="en-US"/>
              </w:rPr>
            </w:pPr>
            <w:r w:rsidRPr="00B57AB7">
              <w:rPr>
                <w:rFonts w:ascii="Garamond" w:hAnsi="Garamond"/>
                <w:b/>
                <w:bCs/>
                <w:sz w:val="20"/>
                <w:szCs w:val="20"/>
                <w:lang w:val="en-US"/>
              </w:rPr>
              <w:t>Study</w:t>
            </w:r>
          </w:p>
        </w:tc>
        <w:tc>
          <w:tcPr>
            <w:tcW w:w="2429" w:type="dxa"/>
            <w:vAlign w:val="center"/>
          </w:tcPr>
          <w:p w14:paraId="4A59861E" w14:textId="77777777" w:rsidR="007E15E5" w:rsidRPr="00B57AB7" w:rsidRDefault="007E15E5" w:rsidP="00D033BE">
            <w:pPr>
              <w:tabs>
                <w:tab w:val="left" w:pos="7470"/>
              </w:tabs>
              <w:spacing w:line="276" w:lineRule="auto"/>
              <w:jc w:val="center"/>
              <w:rPr>
                <w:rFonts w:ascii="Garamond" w:hAnsi="Garamond"/>
                <w:b/>
                <w:bCs/>
                <w:sz w:val="20"/>
                <w:szCs w:val="20"/>
                <w:lang w:val="en-US"/>
              </w:rPr>
            </w:pPr>
            <w:r w:rsidRPr="00B57AB7">
              <w:rPr>
                <w:rFonts w:ascii="Garamond" w:hAnsi="Garamond"/>
                <w:b/>
                <w:bCs/>
                <w:sz w:val="20"/>
                <w:szCs w:val="20"/>
                <w:lang w:val="en-US"/>
              </w:rPr>
              <w:t>Empirical methodology</w:t>
            </w:r>
          </w:p>
        </w:tc>
        <w:tc>
          <w:tcPr>
            <w:tcW w:w="1981" w:type="dxa"/>
            <w:vAlign w:val="center"/>
          </w:tcPr>
          <w:p w14:paraId="677B0A42" w14:textId="77777777" w:rsidR="007E15E5" w:rsidRPr="00B57AB7" w:rsidRDefault="007E15E5" w:rsidP="00D033BE">
            <w:pPr>
              <w:tabs>
                <w:tab w:val="left" w:pos="7470"/>
              </w:tabs>
              <w:spacing w:line="276" w:lineRule="auto"/>
              <w:jc w:val="center"/>
              <w:rPr>
                <w:rFonts w:ascii="Garamond" w:hAnsi="Garamond"/>
                <w:b/>
                <w:bCs/>
                <w:sz w:val="20"/>
                <w:szCs w:val="20"/>
                <w:lang w:val="en-US"/>
              </w:rPr>
            </w:pPr>
            <w:r w:rsidRPr="00B57AB7">
              <w:rPr>
                <w:rFonts w:ascii="Garamond" w:hAnsi="Garamond"/>
                <w:b/>
                <w:bCs/>
                <w:sz w:val="20"/>
                <w:szCs w:val="20"/>
                <w:lang w:val="en-US"/>
              </w:rPr>
              <w:t>The growth effect</w:t>
            </w:r>
          </w:p>
        </w:tc>
        <w:tc>
          <w:tcPr>
            <w:tcW w:w="4921" w:type="dxa"/>
          </w:tcPr>
          <w:p w14:paraId="76456C40" w14:textId="77777777" w:rsidR="007E15E5" w:rsidRPr="00B57AB7" w:rsidRDefault="007E15E5" w:rsidP="00D033BE">
            <w:pPr>
              <w:tabs>
                <w:tab w:val="left" w:pos="7470"/>
              </w:tabs>
              <w:spacing w:line="276" w:lineRule="auto"/>
              <w:jc w:val="center"/>
              <w:rPr>
                <w:rFonts w:ascii="Garamond" w:hAnsi="Garamond"/>
                <w:b/>
                <w:bCs/>
                <w:sz w:val="20"/>
                <w:szCs w:val="20"/>
                <w:lang w:val="en-US"/>
              </w:rPr>
            </w:pPr>
            <w:r w:rsidRPr="00B57AB7">
              <w:rPr>
                <w:rFonts w:ascii="Garamond" w:hAnsi="Garamond"/>
                <w:b/>
                <w:bCs/>
                <w:sz w:val="20"/>
                <w:szCs w:val="20"/>
                <w:lang w:val="en-US"/>
              </w:rPr>
              <w:t>The government intervention effect</w:t>
            </w:r>
          </w:p>
        </w:tc>
      </w:tr>
      <w:tr w:rsidR="007E15E5" w:rsidRPr="00B57AB7" w14:paraId="1609A114" w14:textId="77777777" w:rsidTr="00E13B94">
        <w:trPr>
          <w:trHeight w:val="423"/>
          <w:jc w:val="center"/>
        </w:trPr>
        <w:tc>
          <w:tcPr>
            <w:tcW w:w="2875" w:type="dxa"/>
            <w:vAlign w:val="center"/>
          </w:tcPr>
          <w:p w14:paraId="7DA1BED1" w14:textId="77777777" w:rsidR="007E15E5" w:rsidRPr="00B57AB7" w:rsidRDefault="007E15E5" w:rsidP="00D033BE">
            <w:pPr>
              <w:tabs>
                <w:tab w:val="left" w:pos="7470"/>
              </w:tabs>
              <w:spacing w:line="276" w:lineRule="auto"/>
              <w:jc w:val="center"/>
              <w:rPr>
                <w:rFonts w:ascii="Garamond" w:hAnsi="Garamond"/>
                <w:b/>
                <w:bCs/>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{"citationItems":[{"id":"ITEM-1","itemData":{"DOI":"10.1177/097215091101300101","ISSN":"09721509","abstract":"The article seeks to examine the internal and external factors that influenced the performance of banks operating in the Indian banking sector during the period 2000-08. The empirical findings from this study suggest that credit risk, network embeddedness, operating expenses, liquidity and size have statistically significant impact on the profitability of Indian banks. However, the impact is not uniform across banks of different nations of origin. During the period under study, the empirical findings do not lend support for the 'limited form' of global advantage hypothesis. Likewise, the liability of unfamiliarness hypothesis is also rejected, since we do not find significant advantage accruing to foreign banks from other Asian countries. © 2012 International Management Institute, New Delhi.","author":[{"dropping-particle":"","family":"Sufian","given":"Fadzlan","non-dropping-particle":"","parse-names":false,"suffix":""},{"dropping-particle":"","family":"Noor Mohamad","given":"Mohamad Akbar","non-dropping-particle":"","parse-names":false,"suffix":""}],"container-title":"Global Business Review","id":"ITEM-1","issue":"1","issued":{"date-parts":[["2012"]]},"page":"1-23","title":"Determinants of bank performance in a developing economy: Does bank origins matters?","type":"article-journal","volume":"13"},"uris":["http://www.mendeley.com/documents/?uuid=d3fd771f-62c5-45a4-be80-6fcc7ddcfa71"]}],"mendeley":{"formattedCitation":"(Sufian &amp; Noor Mohamad, 2012)","plainTextFormattedCitation":"(Sufian &amp; Noor Mohamad, 2012)","previouslyFormattedCitation":"(Sufian &amp; Noor Mohamad, 2012)"},"properties":{"noteIndex":0},"schema":"https://github.com/citation-style-language/schema/raw/master/csl-citation.json"}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(Sufian &amp; Noor Mohamad, 2012)</w:t>
            </w:r>
            <w:r w:rsidRPr="00B57AB7">
              <w:rPr>
                <w:rFonts w:ascii="Garamond" w:hAnsi="Garamond"/>
                <w:sz w:val="20"/>
                <w:szCs w:val="20"/>
                <w:lang w:val="en-US"/>
              </w:rPr>
              <w:fldChar w:fldCharType="end"/>
            </w:r>
          </w:p>
        </w:tc>
        <w:tc>
          <w:tcPr>
            <w:tcW w:w="2429" w:type="dxa"/>
            <w:vAlign w:val="center"/>
          </w:tcPr>
          <w:p w14:paraId="41226457" w14:textId="77777777" w:rsidR="007E15E5" w:rsidRPr="00B57AB7" w:rsidRDefault="007E15E5" w:rsidP="00E13B94">
            <w:pPr>
              <w:tabs>
                <w:tab w:val="left" w:pos="7470"/>
              </w:tabs>
              <w:spacing w:line="276" w:lineRule="auto"/>
              <w:jc w:val="center"/>
              <w:rPr>
                <w:rFonts w:ascii="Garamond" w:hAnsi="Garamond"/>
                <w:b/>
                <w:bCs/>
                <w:sz w:val="20"/>
                <w:szCs w:val="20"/>
                <w:lang w:val="en-US"/>
              </w:rPr>
            </w:pPr>
            <w:r w:rsidRPr="00B57AB7">
              <w:rPr>
                <w:rFonts w:ascii="Garamond" w:hAnsi="Garamond"/>
                <w:sz w:val="20"/>
                <w:szCs w:val="20"/>
                <w:lang w:val="en-US"/>
              </w:rPr>
              <w:t>Fixed effect model</w:t>
            </w:r>
          </w:p>
        </w:tc>
        <w:tc>
          <w:tcPr>
            <w:tcW w:w="1981" w:type="dxa"/>
            <w:vAlign w:val="center"/>
          </w:tcPr>
          <w:p w14:paraId="5F7046BA"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Positive</w:t>
            </w:r>
          </w:p>
        </w:tc>
        <w:tc>
          <w:tcPr>
            <w:tcW w:w="4921" w:type="dxa"/>
            <w:vAlign w:val="center"/>
          </w:tcPr>
          <w:p w14:paraId="715647B3"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7E15E5" w:rsidRPr="00B57AB7" w14:paraId="215F8B71" w14:textId="77777777" w:rsidTr="00E13B94">
        <w:trPr>
          <w:trHeight w:val="408"/>
          <w:jc w:val="center"/>
        </w:trPr>
        <w:tc>
          <w:tcPr>
            <w:tcW w:w="2875" w:type="dxa"/>
            <w:vAlign w:val="center"/>
          </w:tcPr>
          <w:p w14:paraId="0A754A45" w14:textId="77777777"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{"citationItems":[{"id":"ITEM-1","itemData":{"ISSN":"2146-4138","abstract":"The banking sector in Tunisia has undergone, in the past decades, numerous structural changes which have affected the banking industry in particular and the economy as whole. This paper studies the internal and external determinants of bank performance in Tunisia during the period after financial reforms. We used regression analysis and panel data technique with the linear model of Bourke (1989) and followed the methodology employed by Demirgüç-Kunt and Huizinga (1999) and Dietrich and Wanzenried (2011) in order to address the issue. The empirical results showed that bank performance is positively related with capitalization, privatization and quotation. While, bank size, concentration index and efficiency are negatively related with performance indicators (measured by net interest margin, LIQ, return on assets and return on equity). As for the macroeconomic determinants, our analysis showed that the business cycle, measured by the growth of the gross domestic product is supposed to be favorable to the improvement of the performance of the banks and negative relationship was found with inflation rate.Those variables have to arouse the interest of the decision-makers of economic and restructuring policies to direct their strategies and aiming corrective actions to promote the performance of banking and financial systems.","author":[{"dropping-particle":"","family":"Nouaili","given":"Makram","non-dropping-particle":"","parse-names":false,"suffix":""},{"dropping-particle":"","family":"Abaoub","given":"Ezzeddine","non-dropping-particle":"","parse-names":false,"suffix":""},{"dropping-particle":"","family":"Ochi","given":"Anis","non-dropping-particle":"","parse-names":false,"suffix":""}],"container-title":"International Journal of Economics and Financial Issues","id":"ITEM-1","issue":"2","issued":{"date-parts":[["2015"]]},"page":"410-417","title":"The Determinants of Banking Performance in Front of Financial Changes: Case of Trade Banks in Tunisia","type":"article-journal","volume":"5"},"uris":["http://www.mendeley.com/documents/?uuid=1b742fcf-9cef-4c6b-8ebd-883800fb8974"]}],"mendeley":{"formattedCitation":"(Nouaili et al., 2015)","plainTextFormattedCitation":"(Nouaili et al., 2015)","previouslyFormattedCitation":"(Nouaili et al., 2015)"},"properties":{"noteIndex":0},"schema":"https://github.com/citation-style-language/schema/raw/master/csl-citation.json"}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(Nouaili et al., 2015)</w:t>
            </w:r>
            <w:r w:rsidRPr="00B57AB7">
              <w:rPr>
                <w:rFonts w:ascii="Garamond" w:hAnsi="Garamond"/>
                <w:sz w:val="20"/>
                <w:szCs w:val="20"/>
                <w:lang w:val="en-US"/>
              </w:rPr>
              <w:fldChar w:fldCharType="end"/>
            </w:r>
          </w:p>
        </w:tc>
        <w:tc>
          <w:tcPr>
            <w:tcW w:w="2429" w:type="dxa"/>
            <w:vAlign w:val="center"/>
          </w:tcPr>
          <w:p w14:paraId="50AEEFEA"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Random effect model</w:t>
            </w:r>
          </w:p>
        </w:tc>
        <w:tc>
          <w:tcPr>
            <w:tcW w:w="1981" w:type="dxa"/>
            <w:vAlign w:val="center"/>
          </w:tcPr>
          <w:p w14:paraId="6236BC59"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Positive</w:t>
            </w:r>
          </w:p>
        </w:tc>
        <w:tc>
          <w:tcPr>
            <w:tcW w:w="4921" w:type="dxa"/>
            <w:vAlign w:val="center"/>
          </w:tcPr>
          <w:p w14:paraId="68E48217"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7E15E5" w:rsidRPr="00B57AB7" w14:paraId="1D4A34D2" w14:textId="77777777" w:rsidTr="00E13B94">
        <w:trPr>
          <w:trHeight w:val="423"/>
          <w:jc w:val="center"/>
        </w:trPr>
        <w:tc>
          <w:tcPr>
            <w:tcW w:w="2875" w:type="dxa"/>
            <w:vAlign w:val="center"/>
          </w:tcPr>
          <w:p w14:paraId="697534C8" w14:textId="77777777"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{"citationItems":[{"id":"ITEM-1","itemData":{"DOI":"10.17512/pjms.2018.17.1.02","ISSN":"20817452","abstract":"This study is driven by a motivation to examine the key determinants of bank’s performance as proxied by bank’s liquidity (LR), non-performing loans (NPL), capital adequacy ratio (CAR), loan growth (FEXP) and default risk premium (FQL) within the framework of credit creation theory of banking. Using random effect model as an estimation tool on 93 banks in Middle East, Africa and Indian subcontinent over study period from 2009 through 2016, the findings reveal that there are significant relationships between bank’s performance and its loan growth. Both ROA and FEXP are also found to be positively correlated. In contrast, the NPL and CAR are found to be negatively correlated with ROA. As a whole, it is evident that loan growth plays a very important role in supporting bank’s long term performance.","author":[{"dropping-particle":"","family":"Abdul Hadi","given":"Abdul Razak","non-dropping-particle":"","parse-names":false,"suffix":""},{"dropping-particle":"","family":"Hussain","given":"Hafezali Iqbal","non-dropping-particle":"","parse-names":false,"suffix":""},{"dropping-particle":"","family":"Suryanto","given":"Tulus","non-dropping-particle":"","parse-names":false,"suffix":""},{"dropping-particle":"","family":"Eddy Yap","given":"Tat Hiung","non-dropping-particle":"","parse-names":false,"suffix":""}],"container-title":"Polish Journal of Management Studies","id":"ITEM-1","issue":"1","issued":{"date-parts":[["2018"]]},"note":"- Only bank specific factors\n- Methodology: Pooled reg, Hausman test, Breusch Pagan test","page":"17-26","title":"Bank’s performance and its determinants – Evidence from middle east, Indian sub-continent and African banks","type":"article-journal","volume":"17"},"uris":["http://www.mendeley.com/documents/?uuid=84c57539-7db3-4269-a441-1a5212b6339a"]}],"mendeley":{"formattedCitation":"(Abdul Hadi et al., 2018)","plainTextFormattedCitation":"(Abdul Hadi et al., 2018)","previouslyFormattedCitation":"(Abdul Hadi et al., 2018)"},"properties":{"noteIndex":0},"schema":"https://github.com/citation-style-language/schema/raw/master/csl-citation.json"}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(Abdul Hadi et al., 2018)</w:t>
            </w:r>
            <w:r w:rsidRPr="00B57AB7">
              <w:rPr>
                <w:rFonts w:ascii="Garamond" w:hAnsi="Garamond"/>
                <w:sz w:val="20"/>
                <w:szCs w:val="20"/>
                <w:lang w:val="en-US"/>
              </w:rPr>
              <w:fldChar w:fldCharType="end"/>
            </w:r>
          </w:p>
        </w:tc>
        <w:tc>
          <w:tcPr>
            <w:tcW w:w="2429" w:type="dxa"/>
            <w:vAlign w:val="center"/>
          </w:tcPr>
          <w:p w14:paraId="5076C87A"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Random effect model</w:t>
            </w:r>
          </w:p>
        </w:tc>
        <w:tc>
          <w:tcPr>
            <w:tcW w:w="1981" w:type="dxa"/>
            <w:vAlign w:val="center"/>
          </w:tcPr>
          <w:p w14:paraId="77F5D8C4"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c>
          <w:tcPr>
            <w:tcW w:w="4921" w:type="dxa"/>
            <w:vAlign w:val="center"/>
          </w:tcPr>
          <w:p w14:paraId="2D89DF59"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183E4D" w:rsidRPr="00B57AB7" w14:paraId="297C9499" w14:textId="77777777" w:rsidTr="00E13B94">
        <w:trPr>
          <w:trHeight w:val="408"/>
          <w:jc w:val="center"/>
        </w:trPr>
        <w:tc>
          <w:tcPr>
            <w:tcW w:w="2875" w:type="dxa"/>
            <w:vAlign w:val="center"/>
          </w:tcPr>
          <w:p w14:paraId="073D3B82" w14:textId="05EA8C08" w:rsidR="00183E4D" w:rsidRPr="00B57AB7" w:rsidRDefault="00183E4D"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00CA49AC">
              <w:rPr>
                <w:rFonts w:ascii="Garamond" w:hAnsi="Garamond"/>
                <w:sz w:val="20"/>
                <w:szCs w:val="20"/>
                <w:lang w:val="en-US"/>
              </w:rPr>
              <w:instrText>ADDIN CSL_CITATION {"citationItems":[{"id":"ITEM-1","itemData":{"DOI":"10.34120/0430-027-001-004","ISBN":"0430027001","author":[{"dropping-particle":"","family":"Alshammari","given":"Nayef","non-dropping-particle":"","parse-names":false,"suffix":""}],"container-title":"Arab Journal of Administrative Science","id":"ITEM-1","issue":"1","issued":{"date-parts":[["2020"]]},"page":"85","title":"The Spillover Effect Of Government Spending On Banking Performance In Kuwait","type":"article-journal","volume":"27"},"uris":["http://www.mendeley.com/documents/?uuid=d2faa9f0-cfa8-4199-8b03-7d5ce9596d03"]}],"mendeley":{"formattedCitation":"(Alshammari, 2020)","plainTextFormattedCitation":"(Alshammari, 2020)","previouslyFormattedCitation":"(Alshammari, 2020)"},"properties":{"noteIndex":0},"schema":"https://github.com/citation-style-language/schema/raw/master/csl-citation.json"}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(Alshammari, 2020)</w:t>
            </w:r>
            <w:r w:rsidRPr="00B57AB7">
              <w:rPr>
                <w:rFonts w:ascii="Garamond" w:hAnsi="Garamond"/>
                <w:sz w:val="20"/>
                <w:szCs w:val="20"/>
                <w:lang w:val="en-US"/>
              </w:rPr>
              <w:fldChar w:fldCharType="end"/>
            </w:r>
          </w:p>
        </w:tc>
        <w:tc>
          <w:tcPr>
            <w:tcW w:w="2429" w:type="dxa"/>
            <w:vAlign w:val="center"/>
          </w:tcPr>
          <w:p w14:paraId="5320A545" w14:textId="29E5A172" w:rsidR="00183E4D"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Ordinary least squares</w:t>
            </w:r>
          </w:p>
        </w:tc>
        <w:tc>
          <w:tcPr>
            <w:tcW w:w="1981" w:type="dxa"/>
            <w:vAlign w:val="center"/>
          </w:tcPr>
          <w:p w14:paraId="26712701" w14:textId="6EFDFE30" w:rsidR="00183E4D"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Positive (</w:t>
            </w:r>
            <w:r w:rsidR="00D8149A">
              <w:rPr>
                <w:rFonts w:ascii="Garamond" w:hAnsi="Garamond"/>
                <w:sz w:val="20"/>
                <w:szCs w:val="20"/>
                <w:lang w:val="en-US"/>
              </w:rPr>
              <w:t>investment</w:t>
            </w:r>
            <w:r w:rsidRPr="00B57AB7">
              <w:rPr>
                <w:rFonts w:ascii="Garamond" w:hAnsi="Garamond"/>
                <w:sz w:val="20"/>
                <w:szCs w:val="20"/>
                <w:lang w:val="en-US"/>
              </w:rPr>
              <w:t>)</w:t>
            </w:r>
          </w:p>
        </w:tc>
        <w:tc>
          <w:tcPr>
            <w:tcW w:w="4921" w:type="dxa"/>
            <w:vAlign w:val="center"/>
          </w:tcPr>
          <w:p w14:paraId="5DF20A28" w14:textId="7103032E" w:rsidR="00183E4D"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Negative effect</w:t>
            </w:r>
          </w:p>
        </w:tc>
      </w:tr>
      <w:tr w:rsidR="007E15E5" w:rsidRPr="00B57AB7" w14:paraId="255364AF" w14:textId="77777777" w:rsidTr="00E13B94">
        <w:trPr>
          <w:trHeight w:val="423"/>
          <w:jc w:val="center"/>
        </w:trPr>
        <w:tc>
          <w:tcPr>
            <w:tcW w:w="2875" w:type="dxa"/>
            <w:vAlign w:val="center"/>
          </w:tcPr>
          <w:p w14:paraId="42D92DD0" w14:textId="210D5B78" w:rsidR="007E15E5" w:rsidRPr="00B57AB7" w:rsidRDefault="00D8149A" w:rsidP="00D033BE">
            <w:pPr>
              <w:tabs>
                <w:tab w:val="left" w:pos="7470"/>
              </w:tabs>
              <w:spacing w:line="276" w:lineRule="auto"/>
              <w:jc w:val="center"/>
              <w:rPr>
                <w:rFonts w:ascii="Garamond" w:hAnsi="Garamond"/>
                <w:sz w:val="20"/>
                <w:szCs w:val="20"/>
                <w:lang w:val="en-US"/>
              </w:rPr>
            </w:pPr>
            <w:r>
              <w:rPr>
                <w:rFonts w:ascii="Garamond" w:hAnsi="Garamond"/>
                <w:sz w:val="20"/>
                <w:szCs w:val="20"/>
                <w:lang w:val="en-US"/>
              </w:rPr>
              <w:t>Generalized</w:t>
            </w:r>
          </w:p>
        </w:tc>
        <w:tc>
          <w:tcPr>
            <w:tcW w:w="2429" w:type="dxa"/>
            <w:vAlign w:val="center"/>
          </w:tcPr>
          <w:p w14:paraId="20BF5004" w14:textId="187AD0F4" w:rsidR="007E15E5" w:rsidRPr="00B57AB7" w:rsidRDefault="00D8149A"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Generalized</w:t>
            </w:r>
            <w:r w:rsidR="00183E4D" w:rsidRPr="00B57AB7">
              <w:rPr>
                <w:rFonts w:ascii="Garamond" w:hAnsi="Garamond"/>
                <w:sz w:val="20"/>
                <w:szCs w:val="20"/>
                <w:lang w:val="en-US"/>
              </w:rPr>
              <w:t xml:space="preserve"> least squares</w:t>
            </w:r>
          </w:p>
        </w:tc>
        <w:tc>
          <w:tcPr>
            <w:tcW w:w="1981" w:type="dxa"/>
            <w:vAlign w:val="center"/>
          </w:tcPr>
          <w:p w14:paraId="666D7FEB"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Negative</w:t>
            </w:r>
          </w:p>
        </w:tc>
        <w:tc>
          <w:tcPr>
            <w:tcW w:w="4921" w:type="dxa"/>
            <w:vAlign w:val="center"/>
          </w:tcPr>
          <w:p w14:paraId="11D14BBE"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7E15E5" w:rsidRPr="00B57AB7" w14:paraId="032EB206" w14:textId="77777777" w:rsidTr="00E13B94">
        <w:trPr>
          <w:trHeight w:val="408"/>
          <w:jc w:val="center"/>
        </w:trPr>
        <w:tc>
          <w:tcPr>
            <w:tcW w:w="2875" w:type="dxa"/>
            <w:vAlign w:val="center"/>
          </w:tcPr>
          <w:p w14:paraId="0B4A4AF2" w14:textId="77777777"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{"citationItems":[{"id":"ITEM-1","itemData":{"DOI":"10.1057/palgrave.ces.8100129","ISSN":"0888-7233","abstract":"Banking sectors in transition economies have experienced major transformations throughout the 1990s. While some countries have been successful in eliminating underlying distortions and restructuring their financial sectors, in some cases financial sectors remain underdeveloped and the rates of financial intermediation continue to be low. We estimate indicators of commercial bank efficiency by applying a non-parametric estimation technique, data envelopment analysis (DEA), to bank-level data from a wide range of transition countries. In addition to stressing the importance of some bank-specific variables, the censored Tobit analysis suggests that: (1) foreign ownership with controlling power and enterprise restructuring enhance commercial bank efficiency; (2) the effects of prudential tightening on the efficiency of banks vary across different prudential norms; and (3) consolidation is likely to improve efficiency of banking operations. Overall, the results confirm the usefulness of DEA for transition-related applications and shed some light on the question of the optimal architecture of a banking system. [PUBLICATION ABSTRACT]","author":[{"dropping-particle":"","family":"Grigorian","given":"David A","non-dropping-particle":"","parse-names":false,"suffix":""},{"dropping-particle":"","family":"Manole","given":"Vlad","non-dropping-particle":"","parse-names":false,"suffix":""}],"container-title":"Comparative Economic Studies","id":"ITEM-1","issue":"3","issued":{"date-parts":[["2006"]]},"page":"497-522","title":"Determinants of Commercial Bank Performance in Transition: An Application of Data Envelopment Analysis","type":"article-journal","volume":"48"},"uris":["http://www.mendeley.com/documents/?uuid=25cac8aa-9235-4edf-b9ed-d1900d757c64"]}],"mendeley":{"formattedCitation":"(Grigorian &amp; Manole, 2006)","plainTextFormattedCitation":"(Grigorian &amp; Manole, 2006)","previouslyFormattedCitation":"(Grigorian &amp; Manole, 2006)"},"properties":{"noteIndex":0},"schema":"https://github.com/citation-style-language/schema/raw/master/csl-citation.json"}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(Grigorian &amp; Manole, 2006)</w:t>
            </w:r>
            <w:r w:rsidRPr="00B57AB7">
              <w:rPr>
                <w:rFonts w:ascii="Garamond" w:hAnsi="Garamond"/>
                <w:sz w:val="20"/>
                <w:szCs w:val="20"/>
                <w:lang w:val="en-US"/>
              </w:rPr>
              <w:fldChar w:fldCharType="end"/>
            </w:r>
          </w:p>
        </w:tc>
        <w:tc>
          <w:tcPr>
            <w:tcW w:w="2429" w:type="dxa"/>
            <w:vAlign w:val="center"/>
          </w:tcPr>
          <w:p w14:paraId="3C29D053"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Data Envelopment Analysis</w:t>
            </w:r>
          </w:p>
        </w:tc>
        <w:tc>
          <w:tcPr>
            <w:tcW w:w="1981" w:type="dxa"/>
            <w:vAlign w:val="center"/>
          </w:tcPr>
          <w:p w14:paraId="2B29D2A6"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Positive</w:t>
            </w:r>
          </w:p>
        </w:tc>
        <w:tc>
          <w:tcPr>
            <w:tcW w:w="4921" w:type="dxa"/>
            <w:vAlign w:val="center"/>
          </w:tcPr>
          <w:p w14:paraId="7E83039E"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7E15E5" w:rsidRPr="00491595" w14:paraId="04B612A9" w14:textId="77777777" w:rsidTr="00E13B94">
        <w:trPr>
          <w:trHeight w:val="831"/>
          <w:jc w:val="center"/>
        </w:trPr>
        <w:tc>
          <w:tcPr>
            <w:tcW w:w="2875" w:type="dxa"/>
            <w:vAlign w:val="center"/>
          </w:tcPr>
          <w:p w14:paraId="317039C4" w14:textId="77777777"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{"citationItems":[{"id":"ITEM-1","itemData":{"DOI":"10.1007/s13132-015-0261-8","ISBN":"1313201502","ISSN":"18687873","abstract":"In this study, Data Envelopment Analysis (DEA) is used to examine the determinants of banking performance in Bahrain between 2005 and 2009. This performance is analyzed through a comparative study of 12 banks (six conventional and six Islamic banks). A diversity of internal and external banking characteristics were used to forecast this performance. The main of them are the return on assets (ROA), return on equity (ROE), and efficiency (EFF). Our determinant study of bank performance confirms previous investigations. The increase in size of Islamic banks and the rapid growth in the customers’ deposits are the important factors of performance. Moreover, our results indicate that the variables related to the government intervention have a negative impact on the banking performance in the conventional funding model.","author":[{"dropping-particle":"","family":"Daly","given":"Saida","non-dropping-particle":"","parse-names":false,"suffix":""},{"dropping-particle":"","family":"Frikha","given":"Mohamed","non-dropping-particle":"","parse-names":false,"suffix":""}],"container-title":"Journal of the Knowledge Economy","id":"ITEM-1","issue":"2","issued":{"date-parts":[["2017"]]},"page":"471-488","publisher":"Journal of the Knowledge Economy","title":"Determinants of bank Performance: Comparative Study Between Conventional and Islamic Banking in Bahrain","type":"article-journal","volume":"8"},"uris":["http://www.mendeley.com/documents/?uuid=c7295f4c-bcf2-4836-b853-a85098b58338"]}],"mendeley":{"formattedCitation":"(Daly &amp; Frikha, 2017)","plainTextFormattedCitation":"(Daly &amp; Frikha, 2017)","previouslyFormattedCitation":"(Daly &amp; Frikha, 2017)"},"properties":{"noteIndex":0},"schema":"https://github.com/citation-style-language/schema/raw/master/csl-citation.json"}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(Daly &amp; Frikha, 2017)</w:t>
            </w:r>
            <w:r w:rsidRPr="00B57AB7">
              <w:rPr>
                <w:rFonts w:ascii="Garamond" w:hAnsi="Garamond"/>
                <w:sz w:val="20"/>
                <w:szCs w:val="20"/>
                <w:lang w:val="en-US"/>
              </w:rPr>
              <w:fldChar w:fldCharType="end"/>
            </w:r>
          </w:p>
        </w:tc>
        <w:tc>
          <w:tcPr>
            <w:tcW w:w="2429" w:type="dxa"/>
            <w:vAlign w:val="center"/>
          </w:tcPr>
          <w:p w14:paraId="3964E6C7"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Data Envelopment Analysis</w:t>
            </w:r>
          </w:p>
        </w:tc>
        <w:tc>
          <w:tcPr>
            <w:tcW w:w="1981" w:type="dxa"/>
            <w:vAlign w:val="center"/>
          </w:tcPr>
          <w:p w14:paraId="6EF63137" w14:textId="77777777"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c>
          <w:tcPr>
            <w:tcW w:w="4921" w:type="dxa"/>
            <w:vAlign w:val="center"/>
          </w:tcPr>
          <w:p w14:paraId="75CAEB69" w14:textId="1077658C" w:rsidR="007E15E5" w:rsidRPr="00B57AB7" w:rsidRDefault="007E15E5"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 xml:space="preserve">Negative effect </w:t>
            </w:r>
            <w:r w:rsidR="00183E4D" w:rsidRPr="00B57AB7">
              <w:rPr>
                <w:rFonts w:ascii="Garamond" w:hAnsi="Garamond"/>
                <w:sz w:val="20"/>
                <w:szCs w:val="20"/>
                <w:lang w:val="en-US"/>
              </w:rPr>
              <w:t>(</w:t>
            </w:r>
            <w:r w:rsidRPr="00B57AB7">
              <w:rPr>
                <w:rFonts w:ascii="Garamond" w:hAnsi="Garamond"/>
                <w:sz w:val="20"/>
                <w:szCs w:val="20"/>
                <w:lang w:val="en-US"/>
              </w:rPr>
              <w:t>government effectiveness</w:t>
            </w:r>
            <w:r w:rsidR="00183E4D" w:rsidRPr="00B57AB7">
              <w:rPr>
                <w:rFonts w:ascii="Garamond" w:hAnsi="Garamond"/>
                <w:sz w:val="20"/>
                <w:szCs w:val="20"/>
                <w:lang w:val="en-US"/>
              </w:rPr>
              <w:t>)</w:t>
            </w:r>
            <w:r w:rsidRPr="00B57AB7">
              <w:rPr>
                <w:rFonts w:ascii="Garamond" w:hAnsi="Garamond"/>
                <w:sz w:val="20"/>
                <w:szCs w:val="20"/>
                <w:lang w:val="en-US"/>
              </w:rPr>
              <w:br/>
              <w:t xml:space="preserve">Positive effect </w:t>
            </w:r>
            <w:r w:rsidR="00183E4D" w:rsidRPr="00B57AB7">
              <w:rPr>
                <w:rFonts w:ascii="Garamond" w:hAnsi="Garamond"/>
                <w:sz w:val="20"/>
                <w:szCs w:val="20"/>
                <w:lang w:val="en-US"/>
              </w:rPr>
              <w:t>(</w:t>
            </w:r>
            <w:r w:rsidRPr="00B57AB7">
              <w:rPr>
                <w:rFonts w:ascii="Garamond" w:hAnsi="Garamond"/>
                <w:sz w:val="20"/>
                <w:szCs w:val="20"/>
                <w:lang w:val="en-US"/>
              </w:rPr>
              <w:t>regulatory quality</w:t>
            </w:r>
            <w:r w:rsidR="00183E4D" w:rsidRPr="00B57AB7">
              <w:rPr>
                <w:rFonts w:ascii="Garamond" w:hAnsi="Garamond"/>
                <w:sz w:val="20"/>
                <w:szCs w:val="20"/>
                <w:lang w:val="en-US"/>
              </w:rPr>
              <w:t>)</w:t>
            </w:r>
          </w:p>
        </w:tc>
      </w:tr>
      <w:tr w:rsidR="007E15E5" w:rsidRPr="00B57AB7" w14:paraId="5DD1289F" w14:textId="77777777" w:rsidTr="00E13B94">
        <w:trPr>
          <w:trHeight w:val="423"/>
          <w:jc w:val="center"/>
        </w:trPr>
        <w:tc>
          <w:tcPr>
            <w:tcW w:w="2875" w:type="dxa"/>
            <w:vAlign w:val="center"/>
          </w:tcPr>
          <w:p w14:paraId="57F68614" w14:textId="77777777"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{"citationItems":[{"id":"ITEM-1","itemData":{"DOI":"10.5539/ijef.v7n1p203","ISSN":"1916-971X","abstract":"Previous Ghanaian governments attempted to use Ghana's well-developed banking system to grow the economy. Bad loans caused the banks to suffer great losses during the late 1980s, and decline in the cedi value caused a rise in the banks external loans. In 1988, the government initiated financial reforms to strengthen the banking sector. The reforms aimed to improve profitability, efficiency and productivity of banks. In spite of these reforms in 1990s, banks' performance has remained poor with substantial gaps in service delivery to private agents. There is sufficient empirical evidence that poor performance is manifest in low performance of bank indicators, including: high levels of credit risk to private agents, poor quality loans, limited and or inadequate capitalization, operational inefficiencies, higher incidences of non-performing loans, higher levels of liquidity risk; among others. Empirical evidence clearly shows that studies focusing on Ghana's financial sector are still scanty and limited. The study seeks to investigate the determinants of banks' profitability in Ghana for the period 1988 to 2011 using Economic Value Added (EVA) technique to measure performance. The study evaluates two performance yardsticks to determine the best alternatives. The result of the study suggested economic value added as the best measurement as against the standard accounting measurement namely; ROA. Inflation was registered not to be affected Ghana's bank performance. The study results draw some implications for policy that helps to improve performance of the banking sector in Ghana.","author":[{"dropping-particle":"","family":"Owusu-Antwi","given":"George","non-dropping-particle":"","parse-names":false,"suffix":""},{"dropping-particle":"","family":"Mensah","given":"Lord","non-dropping-particle":"","parse-names":false,"suffix":""},{"dropping-particle":"","family":"Crabbe","given":"Margret","non-dropping-particle":"","parse-names":false,"suffix":""},{"dropping-particle":"","family":"Antwi","given":"James","non-dropping-particle":"","parse-names":false,"suffix":""}],"container-title":"International Journal of Economics and Finance","id":"ITEM-1","issue":"1","issued":{"date-parts":[["2014"]]},"page":"203-215","title":"Determinants of Bank Performance in Ghana, the Economic Value Added (EVA) Approach","type":"article-journal","volume":"7"},"uris":["http://www.mendeley.com/documents/?uuid=ea78217e-9fc4-438a-b0f3-5c22243bdbe5"]}],"mendeley":{"formattedCitation":"(Owusu-Antwi et al., 2014)","plainTextFormattedCitation":"(Owusu-Antwi et al., 2014)","previouslyFormattedCitation":"(Owusu-Antwi et al., 2014)"},"properties":{"noteIndex":0},"schema":"https://github.com/citation-style-language/schema/raw/master/csl-citation.json"}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(Owusu-Antwi et al., 2014)</w:t>
            </w:r>
            <w:r w:rsidRPr="00B57AB7">
              <w:rPr>
                <w:rFonts w:ascii="Garamond" w:hAnsi="Garamond"/>
                <w:sz w:val="20"/>
                <w:szCs w:val="20"/>
                <w:lang w:val="en-US"/>
              </w:rPr>
              <w:fldChar w:fldCharType="end"/>
            </w:r>
          </w:p>
        </w:tc>
        <w:tc>
          <w:tcPr>
            <w:tcW w:w="2429" w:type="dxa"/>
            <w:vAlign w:val="center"/>
          </w:tcPr>
          <w:p w14:paraId="27829F4F" w14:textId="36BA2933"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 xml:space="preserve">System </w:t>
            </w:r>
            <w:r w:rsidR="007E15E5" w:rsidRPr="00B57AB7">
              <w:rPr>
                <w:rFonts w:ascii="Garamond" w:hAnsi="Garamond"/>
                <w:sz w:val="20"/>
                <w:szCs w:val="20"/>
                <w:lang w:val="en-US"/>
              </w:rPr>
              <w:t>GMM</w:t>
            </w:r>
          </w:p>
        </w:tc>
        <w:tc>
          <w:tcPr>
            <w:tcW w:w="1981" w:type="dxa"/>
            <w:vAlign w:val="center"/>
          </w:tcPr>
          <w:p w14:paraId="59265EB5" w14:textId="1112EC0B" w:rsidR="007E15E5" w:rsidRPr="00B57AB7" w:rsidRDefault="00614222"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c>
          <w:tcPr>
            <w:tcW w:w="4921" w:type="dxa"/>
            <w:vAlign w:val="center"/>
          </w:tcPr>
          <w:p w14:paraId="300C2AC2" w14:textId="76BCA482" w:rsidR="007E15E5" w:rsidRPr="00B57AB7" w:rsidRDefault="00614222"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7E15E5" w:rsidRPr="00B57AB7" w14:paraId="63B9751A" w14:textId="77777777" w:rsidTr="00E13B94">
        <w:trPr>
          <w:trHeight w:val="437"/>
          <w:jc w:val="center"/>
        </w:trPr>
        <w:tc>
          <w:tcPr>
            <w:tcW w:w="2875" w:type="dxa"/>
            <w:vAlign w:val="center"/>
          </w:tcPr>
          <w:p w14:paraId="3C1034ED" w14:textId="77777777"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{"citationItems":[{"id":"ITEM-1","itemData":{"DOI":"10.1108/ARLA-04-2013-0030","ISSN":"20565127","abstract":"Purpose – The purpose of this paper is to analyze the impact of macroeconomic</w:instrText>
            </w:r>
            <w:r w:rsidRPr="00B57AB7">
              <w:rPr>
                <w:rFonts w:ascii="Times New Roman" w:hAnsi="Times New Roman" w:cs="Times New Roman"/>
                <w:sz w:val="20"/>
                <w:szCs w:val="20"/>
                <w:lang w:val="en-US"/>
              </w:rPr>
              <w:instrText>‐</w:instrText>
            </w:r>
            <w:r w:rsidRPr="00B57AB7">
              <w:rPr>
                <w:rFonts w:ascii="Garamond" w:hAnsi="Garamond"/>
                <w:sz w:val="20"/>
                <w:szCs w:val="20"/>
                <w:lang w:val="en-US"/>
              </w:rPr>
              <w:instrText>industrial and bank</w:instrText>
            </w:r>
            <w:r w:rsidRPr="00B57AB7">
              <w:rPr>
                <w:rFonts w:ascii="Times New Roman" w:hAnsi="Times New Roman" w:cs="Times New Roman"/>
                <w:sz w:val="20"/>
                <w:szCs w:val="20"/>
                <w:lang w:val="en-US"/>
              </w:rPr>
              <w:instrText>‐</w:instrText>
            </w:r>
            <w:r w:rsidRPr="00B57AB7">
              <w:rPr>
                <w:rFonts w:ascii="Garamond" w:hAnsi="Garamond"/>
                <w:sz w:val="20"/>
                <w:szCs w:val="20"/>
                <w:lang w:val="en-US"/>
              </w:rPr>
              <w:instrText>specific factors on Latin American banks</w:instrText>
            </w:r>
            <w:r w:rsidRPr="00B57AB7">
              <w:rPr>
                <w:rFonts w:ascii="Garamond" w:hAnsi="Garamond" w:cs="Garamond"/>
                <w:sz w:val="20"/>
                <w:szCs w:val="20"/>
                <w:lang w:val="en-US"/>
              </w:rPr>
              <w:instrText>’</w:instrText>
            </w:r>
            <w:r w:rsidRPr="00B57AB7">
              <w:rPr>
                <w:rFonts w:ascii="Garamond" w:hAnsi="Garamond"/>
                <w:sz w:val="20"/>
                <w:szCs w:val="20"/>
                <w:lang w:val="en-US"/>
              </w:rPr>
              <w:instrText xml:space="preserve"> performance. Design/methodology/approach </w:instrText>
            </w:r>
            <w:r w:rsidRPr="00B57AB7">
              <w:rPr>
                <w:rFonts w:ascii="Garamond" w:hAnsi="Garamond" w:cs="Garamond"/>
                <w:sz w:val="20"/>
                <w:szCs w:val="20"/>
                <w:lang w:val="en-US"/>
              </w:rPr>
              <w:instrText>–</w:instrText>
            </w:r>
            <w:r w:rsidRPr="00B57AB7">
              <w:rPr>
                <w:rFonts w:ascii="Garamond" w:hAnsi="Garamond"/>
                <w:sz w:val="20"/>
                <w:szCs w:val="20"/>
                <w:lang w:val="en-US"/>
              </w:rPr>
              <w:instrText xml:space="preserve"> Using the data panel system estimator version of the generalized method of moments, the authors estimate the determinants of return on assets and interest margin for a sample of 78 commercial banks from Argentina, Brazil, Chile, Colombia, México, Paraguay, Peru, and Venezuela over the period from 1995 to 2010. Findings – On the one hand, the results show that bank performance is positively related to both idiosyncratic factors, such as service diversification, size, capital ratio, and specialization degree, and to macroeconomic</w:instrText>
            </w:r>
            <w:r w:rsidRPr="00B57AB7">
              <w:rPr>
                <w:rFonts w:ascii="Times New Roman" w:hAnsi="Times New Roman" w:cs="Times New Roman"/>
                <w:sz w:val="20"/>
                <w:szCs w:val="20"/>
                <w:lang w:val="en-US"/>
              </w:rPr>
              <w:instrText>‐</w:instrText>
            </w:r>
            <w:r w:rsidRPr="00B57AB7">
              <w:rPr>
                <w:rFonts w:ascii="Garamond" w:hAnsi="Garamond"/>
                <w:sz w:val="20"/>
                <w:szCs w:val="20"/>
                <w:lang w:val="en-US"/>
              </w:rPr>
              <w:instrText>industrial factors such as economic growth, inflation, and bank concentration. On the other hand, the results show that bank performance is negatively related to credit risk, liquidity risk, and operational inefficiencies. Originality/value – The authors provide new evidence from the Latin American bank industry and incorporate the effect of diversification through noninterest activities.","author":[{"dropping-particle":"","family":"Jara</w:instrText>
            </w:r>
            <w:r w:rsidRPr="00B57AB7">
              <w:rPr>
                <w:rFonts w:ascii="Times New Roman" w:hAnsi="Times New Roman" w:cs="Times New Roman"/>
                <w:sz w:val="20"/>
                <w:szCs w:val="20"/>
                <w:lang w:val="en-US"/>
              </w:rPr>
              <w:instrText>‐</w:instrText>
            </w:r>
            <w:r w:rsidRPr="00B57AB7">
              <w:rPr>
                <w:rFonts w:ascii="Garamond" w:hAnsi="Garamond"/>
                <w:sz w:val="20"/>
                <w:szCs w:val="20"/>
                <w:lang w:val="en-US"/>
              </w:rPr>
              <w:instrText>Bertin","given":"Mauricio","non-dropping-particle":"","parse-names":false,"suffix":""},{"dropping-particle":"","family":"Arias Moya","given":"Jos</w:instrText>
            </w:r>
            <w:r w:rsidRPr="00B57AB7">
              <w:rPr>
                <w:rFonts w:ascii="Garamond" w:hAnsi="Garamond" w:cs="Garamond"/>
                <w:sz w:val="20"/>
                <w:szCs w:val="20"/>
                <w:lang w:val="en-US"/>
              </w:rPr>
              <w:instrText>é</w:instrText>
            </w:r>
            <w:r w:rsidRPr="00B57AB7">
              <w:rPr>
                <w:rFonts w:ascii="Garamond" w:hAnsi="Garamond"/>
                <w:sz w:val="20"/>
                <w:szCs w:val="20"/>
                <w:lang w:val="en-US"/>
              </w:rPr>
              <w:instrText>","non-dropping-particle":"","parse-names":false,"suffix":""},{"dropping-particle":"","family":"Rodríguez Perales","given":"Arturo","non-dropping-particle":"","parse-names":false,"suffix":""}],"container-title":"Academia Revista Latinoamericana de Administracion","id":"ITEM-1","issue":"2","issued":{"date-parts":[["2014"]]},"page":"164-182","title":"Determinants of bank performance: evidence for Latin America","type":"article-journal","volume":"27"},"uris":["http://www.mendeley.com/documents/?uuid=b1845d3c-1ce7-41c2-89d6-0e6d6721427d"]}],"mendeley":{"formattedCitation":"(Jara</w:instrText>
            </w:r>
            <w:r w:rsidRPr="00B57AB7">
              <w:rPr>
                <w:rFonts w:ascii="Times New Roman" w:hAnsi="Times New Roman" w:cs="Times New Roman"/>
                <w:sz w:val="20"/>
                <w:szCs w:val="20"/>
                <w:lang w:val="en-US"/>
              </w:rPr>
              <w:instrText>‐</w:instrText>
            </w:r>
            <w:r w:rsidRPr="00B57AB7">
              <w:rPr>
                <w:rFonts w:ascii="Garamond" w:hAnsi="Garamond"/>
                <w:sz w:val="20"/>
                <w:szCs w:val="20"/>
                <w:lang w:val="en-US"/>
              </w:rPr>
              <w:instrText>Bertin et al., 2014)","plainTextFormattedCitation":"(Jara</w:instrText>
            </w:r>
            <w:r w:rsidRPr="00B57AB7">
              <w:rPr>
                <w:rFonts w:ascii="Times New Roman" w:hAnsi="Times New Roman" w:cs="Times New Roman"/>
                <w:sz w:val="20"/>
                <w:szCs w:val="20"/>
                <w:lang w:val="en-US"/>
              </w:rPr>
              <w:instrText>‐</w:instrText>
            </w:r>
            <w:r w:rsidRPr="00B57AB7">
              <w:rPr>
                <w:rFonts w:ascii="Garamond" w:hAnsi="Garamond"/>
                <w:sz w:val="20"/>
                <w:szCs w:val="20"/>
                <w:lang w:val="en-US"/>
              </w:rPr>
              <w:instrText>Bertin et al., 2014)","previouslyFormattedCitation":"(Jara</w:instrText>
            </w:r>
            <w:r w:rsidRPr="00B57AB7">
              <w:rPr>
                <w:rFonts w:ascii="Times New Roman" w:hAnsi="Times New Roman" w:cs="Times New Roman"/>
                <w:sz w:val="20"/>
                <w:szCs w:val="20"/>
                <w:lang w:val="en-US"/>
              </w:rPr>
              <w:instrText>‐</w:instrText>
            </w:r>
            <w:r w:rsidRPr="00B57AB7">
              <w:rPr>
                <w:rFonts w:ascii="Garamond" w:hAnsi="Garamond"/>
                <w:sz w:val="20"/>
                <w:szCs w:val="20"/>
                <w:lang w:val="en-US"/>
              </w:rPr>
              <w:instrText>Bertin et al., 2014)"},"properties":{"noteIndex":0},"schema":"https://github.com/citation-style-language/schema/raw/master/csl-citation.json"}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(Jara</w:t>
            </w:r>
            <w:r w:rsidRPr="00B57AB7">
              <w:rPr>
                <w:rFonts w:ascii="Times New Roman" w:hAnsi="Times New Roman" w:cs="Times New Roman"/>
                <w:noProof/>
                <w:sz w:val="20"/>
                <w:szCs w:val="20"/>
                <w:lang w:val="en-US"/>
              </w:rPr>
              <w:t>‐</w:t>
            </w:r>
            <w:r w:rsidRPr="00B57AB7">
              <w:rPr>
                <w:rFonts w:ascii="Garamond" w:hAnsi="Garamond"/>
                <w:noProof/>
                <w:sz w:val="20"/>
                <w:szCs w:val="20"/>
                <w:lang w:val="en-US"/>
              </w:rPr>
              <w:t>Bertin et al., 2014)</w:t>
            </w:r>
            <w:r w:rsidRPr="00B57AB7">
              <w:rPr>
                <w:rFonts w:ascii="Garamond" w:hAnsi="Garamond"/>
                <w:sz w:val="20"/>
                <w:szCs w:val="20"/>
                <w:lang w:val="en-US"/>
              </w:rPr>
              <w:fldChar w:fldCharType="end"/>
            </w:r>
          </w:p>
        </w:tc>
        <w:tc>
          <w:tcPr>
            <w:tcW w:w="2429" w:type="dxa"/>
            <w:vAlign w:val="center"/>
          </w:tcPr>
          <w:p w14:paraId="54CB47C8" w14:textId="7AA058F7"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 xml:space="preserve">System </w:t>
            </w:r>
            <w:r w:rsidR="007E15E5" w:rsidRPr="00B57AB7">
              <w:rPr>
                <w:rFonts w:ascii="Garamond" w:hAnsi="Garamond"/>
                <w:sz w:val="20"/>
                <w:szCs w:val="20"/>
                <w:lang w:val="en-US"/>
              </w:rPr>
              <w:t>GMM</w:t>
            </w:r>
          </w:p>
        </w:tc>
        <w:tc>
          <w:tcPr>
            <w:tcW w:w="1981" w:type="dxa"/>
            <w:vAlign w:val="center"/>
          </w:tcPr>
          <w:p w14:paraId="158D9BC6" w14:textId="3198080B" w:rsidR="007E15E5" w:rsidRPr="00B57AB7" w:rsidRDefault="003D516A"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Positive</w:t>
            </w:r>
          </w:p>
        </w:tc>
        <w:tc>
          <w:tcPr>
            <w:tcW w:w="4921" w:type="dxa"/>
            <w:vAlign w:val="center"/>
          </w:tcPr>
          <w:p w14:paraId="749DC5C8" w14:textId="3B9FD947" w:rsidR="007E15E5" w:rsidRPr="00B57AB7" w:rsidRDefault="003D516A"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7E15E5" w:rsidRPr="00B57AB7" w14:paraId="37844F47" w14:textId="77777777" w:rsidTr="00E13B94">
        <w:trPr>
          <w:trHeight w:val="408"/>
          <w:jc w:val="center"/>
        </w:trPr>
        <w:tc>
          <w:tcPr>
            <w:tcW w:w="2875" w:type="dxa"/>
            <w:vAlign w:val="center"/>
          </w:tcPr>
          <w:p w14:paraId="5CCE5291" w14:textId="77777777"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Pr="00B57AB7">
              <w:rPr>
                <w:rFonts w:ascii="Garamond" w:hAnsi="Garamond"/>
                <w:sz w:val="20"/>
                <w:szCs w:val="20"/>
                <w:lang w:val="en-US"/>
              </w:rPr>
              <w:instrText>ADDIN CSL_CITATION {"citationItems":[{"id":"ITEM-1","itemData":{"DOI":"10.1016/j.ribaf.2016.03.015","ISSN":"02755319","abstract":"The aim of this paper is to investigate the determinants of bank profitability in the early transition countries of Central and Eastern Europe (CEE), and in the late transition countries of the former USSR. We apply a GMM technique for the period covering 2000–2013. The results show that profitability persists and the determinants of bank profitability vary across transition countries. Particularly, the banking sector of early transition countries is more competitive. However, the impact of credit risk on bank profitability is positive in early transition countries, but negative in late transition countries. Government spending and monetary freedom negatively influence bank profitability only in late transition countries. Moreover, better capitalised banks are more profitable in early transition countries implying that these banking sectors are more robust. A range of possible approaches that governments can take to further develop banking sectors are discussed.","author":[{"dropping-particle":"","family":"Djalilov","given":"Khurshid","non-dropping-particle":"","parse-names":false,"suffix":""},{"dropping-particle":"","family":"Piesse","given":"Jenifer","non-dropping-particle":"","parse-names":false,"suffix":""}],"container-title":"Research in International Business and Finance","id":"ITEM-1","issued":{"date-parts":[["2016"]]},"page":"69-82","publisher":"Elsevier B.V.","title":"Determinants of bank profitability in transition countries: What matters most?","type":"article-journal","volume":"38"},"uris":["http://www.mendeley.com/documents/?uuid=4686f32c-619a-4f92-acb8-6b6a46eeb71c"]}],"mendeley":{"formattedCitation":"(Djalilov &amp; Piesse, 2016)","plainTextFormattedCitation":"(Djalilov &amp; Piesse, 2016)","previouslyFormattedCitation":"(Djalilov &amp; Piesse, 2016)"},"properties":{"noteIndex":0},"schema":"https://github.com/citation-style-language/schema/raw/master/csl-citation.json"}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(Djalilov &amp; Piesse, 2016)</w:t>
            </w:r>
            <w:r w:rsidRPr="00B57AB7">
              <w:rPr>
                <w:rFonts w:ascii="Garamond" w:hAnsi="Garamond"/>
                <w:sz w:val="20"/>
                <w:szCs w:val="20"/>
                <w:lang w:val="en-US"/>
              </w:rPr>
              <w:fldChar w:fldCharType="end"/>
            </w:r>
          </w:p>
        </w:tc>
        <w:tc>
          <w:tcPr>
            <w:tcW w:w="2429" w:type="dxa"/>
            <w:vAlign w:val="center"/>
          </w:tcPr>
          <w:p w14:paraId="724262A2" w14:textId="39CE4341"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 xml:space="preserve">System </w:t>
            </w:r>
            <w:r w:rsidR="007E15E5" w:rsidRPr="00B57AB7">
              <w:rPr>
                <w:rFonts w:ascii="Garamond" w:hAnsi="Garamond"/>
                <w:sz w:val="20"/>
                <w:szCs w:val="20"/>
                <w:lang w:val="en-US"/>
              </w:rPr>
              <w:t>GMM</w:t>
            </w:r>
          </w:p>
        </w:tc>
        <w:tc>
          <w:tcPr>
            <w:tcW w:w="1981" w:type="dxa"/>
            <w:vAlign w:val="center"/>
          </w:tcPr>
          <w:p w14:paraId="77CED882" w14:textId="42D302BB"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No effect</w:t>
            </w:r>
          </w:p>
        </w:tc>
        <w:tc>
          <w:tcPr>
            <w:tcW w:w="4921" w:type="dxa"/>
            <w:vAlign w:val="center"/>
          </w:tcPr>
          <w:p w14:paraId="5554F693" w14:textId="1CAA6E54"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Negative effect</w:t>
            </w:r>
          </w:p>
        </w:tc>
      </w:tr>
      <w:tr w:rsidR="007E15E5" w:rsidRPr="00B57AB7" w14:paraId="20DBF762" w14:textId="77777777" w:rsidTr="00E13B94">
        <w:trPr>
          <w:trHeight w:val="423"/>
          <w:jc w:val="center"/>
        </w:trPr>
        <w:tc>
          <w:tcPr>
            <w:tcW w:w="2875" w:type="dxa"/>
            <w:vAlign w:val="center"/>
          </w:tcPr>
          <w:p w14:paraId="69E22384" w14:textId="3AAEE99F" w:rsidR="007E15E5" w:rsidRPr="00B57AB7" w:rsidRDefault="00D8149A" w:rsidP="00D033BE">
            <w:pPr>
              <w:tabs>
                <w:tab w:val="left" w:pos="7470"/>
              </w:tabs>
              <w:spacing w:line="276" w:lineRule="auto"/>
              <w:jc w:val="center"/>
              <w:rPr>
                <w:rFonts w:ascii="Garamond" w:hAnsi="Garamond"/>
                <w:sz w:val="20"/>
                <w:szCs w:val="20"/>
                <w:lang w:val="en-US"/>
              </w:rPr>
            </w:pPr>
            <w:r>
              <w:rPr>
                <w:rFonts w:ascii="Garamond" w:hAnsi="Garamond"/>
                <w:sz w:val="20"/>
                <w:szCs w:val="20"/>
                <w:lang w:val="en-US"/>
              </w:rPr>
              <w:t>difference</w:t>
            </w:r>
          </w:p>
        </w:tc>
        <w:tc>
          <w:tcPr>
            <w:tcW w:w="2429" w:type="dxa"/>
            <w:vAlign w:val="center"/>
          </w:tcPr>
          <w:p w14:paraId="23797F28" w14:textId="63454F74"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 xml:space="preserve">First </w:t>
            </w:r>
            <w:r w:rsidR="00D8149A" w:rsidRPr="00B57AB7">
              <w:rPr>
                <w:rFonts w:ascii="Garamond" w:hAnsi="Garamond"/>
                <w:sz w:val="20"/>
                <w:szCs w:val="20"/>
                <w:lang w:val="en-US"/>
              </w:rPr>
              <w:t>difference</w:t>
            </w:r>
            <w:r w:rsidRPr="00B57AB7">
              <w:rPr>
                <w:rFonts w:ascii="Garamond" w:hAnsi="Garamond"/>
                <w:sz w:val="20"/>
                <w:szCs w:val="20"/>
                <w:lang w:val="en-US"/>
              </w:rPr>
              <w:t xml:space="preserve"> </w:t>
            </w:r>
            <w:r w:rsidR="007E15E5" w:rsidRPr="00B57AB7">
              <w:rPr>
                <w:rFonts w:ascii="Garamond" w:hAnsi="Garamond"/>
                <w:sz w:val="20"/>
                <w:szCs w:val="20"/>
                <w:lang w:val="en-US"/>
              </w:rPr>
              <w:t>GMM</w:t>
            </w:r>
          </w:p>
        </w:tc>
        <w:tc>
          <w:tcPr>
            <w:tcW w:w="1981" w:type="dxa"/>
            <w:vAlign w:val="center"/>
          </w:tcPr>
          <w:p w14:paraId="070FF335" w14:textId="3C88AA0A"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c>
          <w:tcPr>
            <w:tcW w:w="4921" w:type="dxa"/>
            <w:vAlign w:val="center"/>
          </w:tcPr>
          <w:p w14:paraId="09F1EB49" w14:textId="514CBA4B"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r w:rsidR="007E15E5" w:rsidRPr="00B57AB7" w14:paraId="4DA57C94" w14:textId="77777777" w:rsidTr="00E13B94">
        <w:trPr>
          <w:trHeight w:val="408"/>
          <w:jc w:val="center"/>
        </w:trPr>
        <w:tc>
          <w:tcPr>
            <w:tcW w:w="2875" w:type="dxa"/>
            <w:vAlign w:val="center"/>
          </w:tcPr>
          <w:p w14:paraId="31AE365B" w14:textId="195EACD6" w:rsidR="007E15E5" w:rsidRPr="00B57AB7" w:rsidRDefault="007E15E5" w:rsidP="00D033BE">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fldChar w:fldCharType="begin" w:fldLock="1"/>
            </w:r>
            <w:r w:rsidR="00CA49AC">
              <w:rPr>
                <w:rFonts w:ascii="Garamond" w:hAnsi="Garamond"/>
                <w:sz w:val="20"/>
                <w:szCs w:val="20"/>
                <w:lang w:val="en-US"/>
              </w:rPr>
              <w:instrText>ADDIN CSL_CITATION {"citationItems":[{"id":"ITEM-1","itemData":{"author":[{"dropping-particle":"","family":"Mahmah","given":"Assil","non-dropping-particle":"El","parse-names":false,"suffix":""},{"dropping-particle":"","family":"Trabelsi","given":"Mohamed","non-dropping-particle":"","parse-names":false,"suffix":""}],"container-title":"Sustainable development goals and external shocks in the mena region: from resilience to change in the wake of covid-19","id":"ITEM-1","issued":{"date-parts":[["2021"]]},"page":"2002-2017","title":"Banks’ Performance Amid Oil Price Shocks: Empirical Evidence from GCC Countries, 2002-2017","type":"paper-conference"},"uris":["http://www.mendeley.com/documents/?uuid=47a6ce5f-5c76-487b-9772-c87d43bdab73"]}],"mendeley":{"formattedCitation":"(El Mahmah &amp; Trabelsi, 2021)","plainTextFormattedCitation":"(El Mahmah &amp; Trabelsi, 2021)","previouslyFormattedCitation":"(El Mahmah &amp; Trabelsi, 2021)"},"properties":{"noteIndex":0},"schema":"https://github.com/citation-style-language/schema/raw/master/csl-citation.json"}</w:instrText>
            </w:r>
            <w:r w:rsidRPr="00B57AB7">
              <w:rPr>
                <w:rFonts w:ascii="Garamond" w:hAnsi="Garamond"/>
                <w:sz w:val="20"/>
                <w:szCs w:val="20"/>
                <w:lang w:val="en-US"/>
              </w:rPr>
              <w:fldChar w:fldCharType="separate"/>
            </w:r>
            <w:r w:rsidRPr="00B57AB7">
              <w:rPr>
                <w:rFonts w:ascii="Garamond" w:hAnsi="Garamond"/>
                <w:noProof/>
                <w:sz w:val="20"/>
                <w:szCs w:val="20"/>
                <w:lang w:val="en-US"/>
              </w:rPr>
              <w:t>(El Mahmah &amp; Trabelsi, 2021)</w:t>
            </w:r>
            <w:r w:rsidRPr="00B57AB7">
              <w:rPr>
                <w:rFonts w:ascii="Garamond" w:hAnsi="Garamond"/>
                <w:sz w:val="20"/>
                <w:szCs w:val="20"/>
                <w:lang w:val="en-US"/>
              </w:rPr>
              <w:fldChar w:fldCharType="end"/>
            </w:r>
          </w:p>
        </w:tc>
        <w:tc>
          <w:tcPr>
            <w:tcW w:w="2429" w:type="dxa"/>
            <w:vAlign w:val="center"/>
          </w:tcPr>
          <w:p w14:paraId="03680D0A" w14:textId="552953E9"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 xml:space="preserve">System </w:t>
            </w:r>
            <w:r w:rsidR="007E15E5" w:rsidRPr="00B57AB7">
              <w:rPr>
                <w:rFonts w:ascii="Garamond" w:hAnsi="Garamond"/>
                <w:sz w:val="20"/>
                <w:szCs w:val="20"/>
                <w:lang w:val="en-US"/>
              </w:rPr>
              <w:t>GMM</w:t>
            </w:r>
          </w:p>
        </w:tc>
        <w:tc>
          <w:tcPr>
            <w:tcW w:w="1981" w:type="dxa"/>
            <w:vAlign w:val="center"/>
          </w:tcPr>
          <w:p w14:paraId="49C8F327" w14:textId="0CEB9782"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Positive</w:t>
            </w:r>
          </w:p>
        </w:tc>
        <w:tc>
          <w:tcPr>
            <w:tcW w:w="4921" w:type="dxa"/>
            <w:vAlign w:val="center"/>
          </w:tcPr>
          <w:p w14:paraId="3D24F3B0" w14:textId="7B20C76B" w:rsidR="007E15E5" w:rsidRPr="00B57AB7" w:rsidRDefault="00183E4D" w:rsidP="00E13B94">
            <w:pPr>
              <w:tabs>
                <w:tab w:val="left" w:pos="7470"/>
              </w:tabs>
              <w:spacing w:line="276" w:lineRule="auto"/>
              <w:jc w:val="center"/>
              <w:rPr>
                <w:rFonts w:ascii="Garamond" w:hAnsi="Garamond"/>
                <w:sz w:val="20"/>
                <w:szCs w:val="20"/>
                <w:lang w:val="en-US"/>
              </w:rPr>
            </w:pPr>
            <w:r w:rsidRPr="00B57AB7">
              <w:rPr>
                <w:rFonts w:ascii="Garamond" w:hAnsi="Garamond"/>
                <w:sz w:val="20"/>
                <w:szCs w:val="20"/>
                <w:lang w:val="en-US"/>
              </w:rPr>
              <w:t>NA</w:t>
            </w:r>
          </w:p>
        </w:tc>
      </w:tr>
    </w:tbl>
    <w:p w14:paraId="43240955" w14:textId="77777777" w:rsidR="00CA49AC" w:rsidRDefault="00CA49AC" w:rsidP="007E15E5">
      <w:pPr>
        <w:widowControl w:val="0"/>
        <w:autoSpaceDE w:val="0"/>
        <w:autoSpaceDN w:val="0"/>
        <w:adjustRightInd w:val="0"/>
        <w:spacing w:before="120" w:after="120" w:line="276" w:lineRule="auto"/>
        <w:jc w:val="both"/>
        <w:rPr>
          <w:rFonts w:ascii="Garamond" w:hAnsi="Garamond"/>
          <w:lang w:val="en-US"/>
        </w:rPr>
        <w:sectPr w:rsidR="00CA49AC" w:rsidSect="007E15E5">
          <w:pgSz w:w="16838" w:h="11906" w:orient="landscape"/>
          <w:pgMar w:top="1417" w:right="1417" w:bottom="1417" w:left="1417" w:header="708" w:footer="708" w:gutter="0"/>
          <w:cols w:space="708"/>
          <w:docGrid w:linePitch="360"/>
        </w:sectPr>
      </w:pPr>
    </w:p>
    <w:p w14:paraId="4F140BA6" w14:textId="1EE1EE87" w:rsidR="00731A6A" w:rsidRDefault="00731A6A" w:rsidP="00CA49AC">
      <w:pPr>
        <w:pStyle w:val="Heading2"/>
        <w:jc w:val="both"/>
        <w:rPr>
          <w:lang w:val="en-US"/>
        </w:rPr>
      </w:pPr>
      <w:r w:rsidRPr="00B57AB7">
        <w:rPr>
          <w:lang w:val="en-US"/>
        </w:rPr>
        <w:lastRenderedPageBreak/>
        <w:t xml:space="preserve">Appendix C: </w:t>
      </w:r>
      <w:r>
        <w:rPr>
          <w:lang w:val="en-US"/>
        </w:rPr>
        <w:t>Selected macroeconomic indicators according to the dependency on oil</w:t>
      </w:r>
    </w:p>
    <w:p w14:paraId="03F40296" w14:textId="4313F621" w:rsidR="00CA49AC" w:rsidRDefault="00731A6A" w:rsidP="00731A6A">
      <w:pPr>
        <w:spacing w:before="120" w:after="120" w:line="276" w:lineRule="auto"/>
        <w:jc w:val="center"/>
        <w:rPr>
          <w:rFonts w:ascii="Garamond" w:hAnsi="Garamond"/>
          <w:b/>
          <w:bCs/>
          <w:color w:val="FF0000"/>
          <w:lang w:val="en-US"/>
        </w:rPr>
      </w:pPr>
      <w:r>
        <w:rPr>
          <w:noProof/>
          <w:lang w:val="en-US"/>
        </w:rPr>
        <w:drawing>
          <wp:inline distT="0" distB="0" distL="0" distR="0" wp14:anchorId="067F7D3F" wp14:editId="6BB8B2D1">
            <wp:extent cx="4828309" cy="2286000"/>
            <wp:effectExtent l="0" t="0" r="10795" b="0"/>
            <wp:docPr id="1" name="Chart 1">
              <a:extLst xmlns:a="http://schemas.openxmlformats.org/drawingml/2006/main">
                <a:ext uri="{FF2B5EF4-FFF2-40B4-BE49-F238E27FC236}">
                  <a16:creationId xmlns:a16="http://schemas.microsoft.com/office/drawing/2014/main" id="{8F7756E6-3B5A-4073-9E6B-ADB5ED1FE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D62E52" w14:textId="79365393" w:rsidR="00CA49AC" w:rsidRDefault="00CA49AC" w:rsidP="00731A6A">
      <w:pPr>
        <w:spacing w:before="120" w:after="120" w:line="276" w:lineRule="auto"/>
        <w:jc w:val="center"/>
        <w:rPr>
          <w:rFonts w:ascii="Garamond" w:hAnsi="Garamond"/>
          <w:b/>
          <w:bCs/>
          <w:color w:val="FF0000"/>
          <w:lang w:val="en-US"/>
        </w:rPr>
      </w:pPr>
      <w:r>
        <w:rPr>
          <w:noProof/>
          <w:lang w:val="en-US"/>
        </w:rPr>
        <w:drawing>
          <wp:inline distT="0" distB="0" distL="0" distR="0" wp14:anchorId="343118BA" wp14:editId="5599BBCB">
            <wp:extent cx="4834467" cy="2286000"/>
            <wp:effectExtent l="0" t="0" r="4445" b="0"/>
            <wp:docPr id="2" name="Chart 2">
              <a:extLst xmlns:a="http://schemas.openxmlformats.org/drawingml/2006/main">
                <a:ext uri="{FF2B5EF4-FFF2-40B4-BE49-F238E27FC236}">
                  <a16:creationId xmlns:a16="http://schemas.microsoft.com/office/drawing/2014/main" id="{934B0010-F091-4624-B807-9506CE65A2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56C2E3" w14:textId="0261A91A" w:rsidR="00731A6A" w:rsidRDefault="00731A6A" w:rsidP="00731A6A">
      <w:pPr>
        <w:spacing w:before="120" w:after="120" w:line="276" w:lineRule="auto"/>
        <w:jc w:val="center"/>
        <w:rPr>
          <w:rFonts w:ascii="Garamond" w:hAnsi="Garamond"/>
          <w:b/>
          <w:bCs/>
          <w:color w:val="FF0000"/>
          <w:lang w:val="en-US"/>
        </w:rPr>
      </w:pPr>
      <w:r>
        <w:rPr>
          <w:noProof/>
          <w:lang w:val="en-US"/>
        </w:rPr>
        <w:drawing>
          <wp:inline distT="0" distB="0" distL="0" distR="0" wp14:anchorId="6F51894A" wp14:editId="52FAE426">
            <wp:extent cx="4835236" cy="2286000"/>
            <wp:effectExtent l="0" t="0" r="3810" b="0"/>
            <wp:docPr id="3" name="Chart 3">
              <a:extLst xmlns:a="http://schemas.openxmlformats.org/drawingml/2006/main">
                <a:ext uri="{FF2B5EF4-FFF2-40B4-BE49-F238E27FC236}">
                  <a16:creationId xmlns:a16="http://schemas.microsoft.com/office/drawing/2014/main" id="{E1B8276A-1C5C-4F8A-9B2B-B0785670F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A0FD3E" w14:textId="181DB487" w:rsidR="00BD2132" w:rsidRPr="0059558F" w:rsidRDefault="00BD2132" w:rsidP="0059558F">
      <w:pPr>
        <w:tabs>
          <w:tab w:val="left" w:pos="7688"/>
        </w:tabs>
        <w:spacing w:before="120" w:after="120" w:line="276" w:lineRule="auto"/>
        <w:jc w:val="both"/>
        <w:rPr>
          <w:rFonts w:ascii="Garamond" w:hAnsi="Garamond"/>
          <w:sz w:val="22"/>
          <w:szCs w:val="22"/>
          <w:lang w:val="en-US"/>
        </w:rPr>
      </w:pPr>
      <w:r w:rsidRPr="0059558F">
        <w:rPr>
          <w:rFonts w:ascii="Garamond" w:hAnsi="Garamond"/>
          <w:sz w:val="22"/>
          <w:szCs w:val="22"/>
          <w:lang w:val="en-US"/>
        </w:rPr>
        <w:t>Source: Elaborated by the authors based on data obtained from national and international sources</w:t>
      </w:r>
    </w:p>
    <w:p w14:paraId="5F721134" w14:textId="1D29FB02" w:rsidR="00BD2132" w:rsidRPr="0059558F" w:rsidRDefault="00BD2132" w:rsidP="0059558F">
      <w:pPr>
        <w:tabs>
          <w:tab w:val="left" w:pos="7688"/>
        </w:tabs>
        <w:spacing w:before="120" w:after="120" w:line="276" w:lineRule="auto"/>
        <w:jc w:val="both"/>
        <w:rPr>
          <w:rFonts w:ascii="Garamond" w:hAnsi="Garamond"/>
          <w:sz w:val="22"/>
          <w:szCs w:val="22"/>
          <w:lang w:val="en-US"/>
        </w:rPr>
      </w:pPr>
      <w:r w:rsidRPr="0059558F">
        <w:rPr>
          <w:rFonts w:ascii="Garamond" w:hAnsi="Garamond"/>
          <w:sz w:val="22"/>
          <w:szCs w:val="22"/>
          <w:lang w:val="en-US"/>
        </w:rPr>
        <w:t xml:space="preserve">Note: All variables are calculated as ratios to GDP and are sample averages for the full study period </w:t>
      </w:r>
    </w:p>
    <w:p w14:paraId="221B814D" w14:textId="54E067D4" w:rsidR="00CA49AC" w:rsidRDefault="00731A6A" w:rsidP="00CA49AC">
      <w:pPr>
        <w:pStyle w:val="Heading2"/>
        <w:jc w:val="both"/>
        <w:rPr>
          <w:lang w:val="en-US"/>
        </w:rPr>
      </w:pPr>
      <w:r w:rsidRPr="00B57AB7">
        <w:rPr>
          <w:lang w:val="en-US"/>
        </w:rPr>
        <w:lastRenderedPageBreak/>
        <w:t xml:space="preserve">Appendix </w:t>
      </w:r>
      <w:r w:rsidR="00CA49AC">
        <w:rPr>
          <w:lang w:val="en-US"/>
        </w:rPr>
        <w:t>D</w:t>
      </w:r>
      <w:r w:rsidRPr="00B57AB7">
        <w:rPr>
          <w:lang w:val="en-US"/>
        </w:rPr>
        <w:t xml:space="preserve">: </w:t>
      </w:r>
      <w:r w:rsidR="00CA49AC">
        <w:rPr>
          <w:lang w:val="en-US"/>
        </w:rPr>
        <w:t>Selected macroeconomic indicators according to the dependency on oil</w:t>
      </w:r>
    </w:p>
    <w:p w14:paraId="5BDDC26A" w14:textId="6AA6F540" w:rsidR="00B7563A" w:rsidRPr="00B7563A" w:rsidRDefault="00CA49AC" w:rsidP="00CA49AC">
      <w:pPr>
        <w:jc w:val="center"/>
        <w:rPr>
          <w:lang w:val="en-US"/>
        </w:rPr>
      </w:pPr>
      <w:r>
        <w:rPr>
          <w:noProof/>
          <w:lang w:val="en-US"/>
        </w:rPr>
        <w:drawing>
          <wp:inline distT="0" distB="0" distL="0" distR="0" wp14:anchorId="78545F3B" wp14:editId="16708DDB">
            <wp:extent cx="5586984" cy="2402205"/>
            <wp:effectExtent l="0" t="0" r="13970" b="17145"/>
            <wp:docPr id="4" name="Chart 4">
              <a:extLst xmlns:a="http://schemas.openxmlformats.org/drawingml/2006/main">
                <a:ext uri="{FF2B5EF4-FFF2-40B4-BE49-F238E27FC236}">
                  <a16:creationId xmlns:a16="http://schemas.microsoft.com/office/drawing/2014/main" id="{62B129CA-C9D6-438B-B760-FF67EF878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81765E" w14:textId="77777777" w:rsidR="00CA49AC" w:rsidRDefault="00B7563A" w:rsidP="00CA49AC">
      <w:pPr>
        <w:jc w:val="center"/>
        <w:rPr>
          <w:rFonts w:ascii="Garamond" w:hAnsi="Garamond"/>
          <w:lang w:val="en-US"/>
        </w:rPr>
      </w:pPr>
      <w:r w:rsidRPr="00B7563A">
        <w:rPr>
          <w:noProof/>
          <w:lang w:val="en-US"/>
        </w:rPr>
        <w:drawing>
          <wp:inline distT="0" distB="0" distL="0" distR="0" wp14:anchorId="6E415100" wp14:editId="05F9995D">
            <wp:extent cx="5590309" cy="2596515"/>
            <wp:effectExtent l="0" t="0" r="10795" b="13335"/>
            <wp:docPr id="5" name="Chart 5">
              <a:extLst xmlns:a="http://schemas.openxmlformats.org/drawingml/2006/main">
                <a:ext uri="{FF2B5EF4-FFF2-40B4-BE49-F238E27FC236}">
                  <a16:creationId xmlns:a16="http://schemas.microsoft.com/office/drawing/2014/main" id="{634DD172-85C1-4A20-BAF4-10EDC127D5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D3775" w14:textId="77777777" w:rsidR="00BD2132" w:rsidRPr="0059558F" w:rsidRDefault="00BD2132" w:rsidP="0059558F">
      <w:pPr>
        <w:tabs>
          <w:tab w:val="left" w:pos="7688"/>
        </w:tabs>
        <w:spacing w:before="120" w:after="120" w:line="276" w:lineRule="auto"/>
        <w:jc w:val="both"/>
        <w:rPr>
          <w:rFonts w:ascii="Garamond" w:hAnsi="Garamond"/>
          <w:sz w:val="22"/>
          <w:szCs w:val="22"/>
          <w:lang w:val="en-US"/>
        </w:rPr>
      </w:pPr>
      <w:r w:rsidRPr="0059558F">
        <w:rPr>
          <w:rFonts w:ascii="Garamond" w:hAnsi="Garamond"/>
          <w:sz w:val="22"/>
          <w:szCs w:val="22"/>
          <w:lang w:val="en-US"/>
        </w:rPr>
        <w:t>Source: Elaborated by the authors based on the World Bank’s  Global Financial Development database</w:t>
      </w:r>
    </w:p>
    <w:p w14:paraId="4698CEB4" w14:textId="6CA8DB1D" w:rsidR="0059558F" w:rsidRPr="0059558F" w:rsidRDefault="0059558F" w:rsidP="00747B1F">
      <w:pPr>
        <w:tabs>
          <w:tab w:val="left" w:pos="7688"/>
        </w:tabs>
        <w:spacing w:before="120" w:after="120" w:line="276" w:lineRule="auto"/>
        <w:jc w:val="both"/>
        <w:rPr>
          <w:rFonts w:ascii="Garamond" w:hAnsi="Garamond"/>
          <w:sz w:val="22"/>
          <w:szCs w:val="22"/>
          <w:lang w:val="en-US"/>
        </w:rPr>
      </w:pPr>
      <w:r w:rsidRPr="0059558F">
        <w:rPr>
          <w:rFonts w:ascii="Garamond" w:hAnsi="Garamond"/>
          <w:sz w:val="22"/>
          <w:szCs w:val="22"/>
          <w:lang w:val="en-US"/>
        </w:rPr>
        <w:t xml:space="preserve">Note: All variables are calculated as sample averages for the full study period </w:t>
      </w:r>
    </w:p>
    <w:p w14:paraId="4EA3F1A0" w14:textId="77777777" w:rsidR="0059558F" w:rsidRDefault="0059558F" w:rsidP="00B258BB">
      <w:pPr>
        <w:spacing w:line="276" w:lineRule="auto"/>
        <w:jc w:val="center"/>
        <w:rPr>
          <w:rFonts w:ascii="Garamond" w:hAnsi="Garamond"/>
          <w:lang w:val="en-US"/>
        </w:rPr>
        <w:sectPr w:rsidR="0059558F" w:rsidSect="00CA49AC">
          <w:pgSz w:w="11906" w:h="16838"/>
          <w:pgMar w:top="1417" w:right="1417" w:bottom="1417" w:left="1417" w:header="708" w:footer="708" w:gutter="0"/>
          <w:cols w:space="708"/>
          <w:docGrid w:linePitch="360"/>
        </w:sectPr>
      </w:pPr>
    </w:p>
    <w:p w14:paraId="3DCE77C2" w14:textId="484B9D9E" w:rsidR="00373663" w:rsidRPr="00B57AB7" w:rsidRDefault="00373663" w:rsidP="00373663">
      <w:pPr>
        <w:pStyle w:val="Heading2"/>
        <w:rPr>
          <w:lang w:val="en-US"/>
        </w:rPr>
      </w:pPr>
      <w:r w:rsidRPr="00B57AB7">
        <w:rPr>
          <w:lang w:val="en-US"/>
        </w:rPr>
        <w:lastRenderedPageBreak/>
        <w:t xml:space="preserve">Appendix </w:t>
      </w:r>
      <w:r w:rsidR="00CA49AC">
        <w:rPr>
          <w:lang w:val="en-US"/>
        </w:rPr>
        <w:t>E</w:t>
      </w:r>
      <w:r w:rsidR="008C2294">
        <w:rPr>
          <w:lang w:val="en-US"/>
        </w:rPr>
        <w:t>1</w:t>
      </w:r>
      <w:r w:rsidRPr="00B57AB7">
        <w:rPr>
          <w:lang w:val="en-US"/>
        </w:rPr>
        <w:t>: The correlation matrix for the full sample</w:t>
      </w:r>
    </w:p>
    <w:p w14:paraId="7EA0E0A4" w14:textId="77777777" w:rsidR="00373663" w:rsidRPr="00B57AB7" w:rsidRDefault="00373663" w:rsidP="00373663">
      <w:pPr>
        <w:jc w:val="center"/>
        <w:rPr>
          <w:rFonts w:ascii="Garamond" w:eastAsiaTheme="majorEastAsia" w:hAnsi="Garamond" w:cstheme="majorBidi"/>
          <w:i/>
          <w:iCs/>
          <w:color w:val="000000" w:themeColor="text1"/>
          <w:sz w:val="20"/>
          <w:szCs w:val="20"/>
          <w:lang w:val="en-US"/>
        </w:rPr>
      </w:pPr>
    </w:p>
    <w:tbl>
      <w:tblPr>
        <w:tblStyle w:val="ListTable7Colorful"/>
        <w:tblW w:w="0" w:type="auto"/>
        <w:jc w:val="center"/>
        <w:tblLook w:val="06A0" w:firstRow="1" w:lastRow="0" w:firstColumn="1" w:lastColumn="0" w:noHBand="1" w:noVBand="1"/>
      </w:tblPr>
      <w:tblGrid>
        <w:gridCol w:w="969"/>
        <w:gridCol w:w="629"/>
        <w:gridCol w:w="627"/>
        <w:gridCol w:w="925"/>
        <w:gridCol w:w="639"/>
        <w:gridCol w:w="627"/>
        <w:gridCol w:w="604"/>
        <w:gridCol w:w="752"/>
        <w:gridCol w:w="677"/>
        <w:gridCol w:w="604"/>
        <w:gridCol w:w="575"/>
        <w:gridCol w:w="604"/>
        <w:gridCol w:w="604"/>
        <w:gridCol w:w="864"/>
      </w:tblGrid>
      <w:tr w:rsidR="00373663" w:rsidRPr="00B57AB7" w14:paraId="24224CC4" w14:textId="77777777" w:rsidTr="00373663">
        <w:trPr>
          <w:cnfStyle w:val="100000000000" w:firstRow="1" w:lastRow="0" w:firstColumn="0" w:lastColumn="0" w:oddVBand="0" w:evenVBand="0" w:oddHBand="0" w:evenHBand="0" w:firstRowFirstColumn="0" w:firstRowLastColumn="0" w:lastRowFirstColumn="0" w:lastRowLastColumn="0"/>
          <w:trHeight w:val="204"/>
          <w:jc w:val="center"/>
        </w:trPr>
        <w:tc>
          <w:tcPr>
            <w:cnfStyle w:val="001000000100" w:firstRow="0" w:lastRow="0" w:firstColumn="1" w:lastColumn="0" w:oddVBand="0" w:evenVBand="0" w:oddHBand="0" w:evenHBand="0" w:firstRowFirstColumn="1" w:firstRowLastColumn="0" w:lastRowFirstColumn="0" w:lastRowLastColumn="0"/>
            <w:tcW w:w="0" w:type="auto"/>
          </w:tcPr>
          <w:p w14:paraId="214AE94A" w14:textId="77777777"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Correlation</w:t>
            </w:r>
          </w:p>
        </w:tc>
        <w:tc>
          <w:tcPr>
            <w:tcW w:w="0" w:type="auto"/>
          </w:tcPr>
          <w:p w14:paraId="51E48829" w14:textId="005795ED"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ROA</w:t>
            </w:r>
          </w:p>
        </w:tc>
        <w:tc>
          <w:tcPr>
            <w:tcW w:w="0" w:type="auto"/>
          </w:tcPr>
          <w:p w14:paraId="47486349" w14:textId="3B1F4505"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ROE</w:t>
            </w:r>
          </w:p>
        </w:tc>
        <w:tc>
          <w:tcPr>
            <w:tcW w:w="0" w:type="auto"/>
          </w:tcPr>
          <w:p w14:paraId="3F15D1EB" w14:textId="39A792D5"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LENDG</w:t>
            </w:r>
          </w:p>
        </w:tc>
        <w:tc>
          <w:tcPr>
            <w:tcW w:w="0" w:type="auto"/>
          </w:tcPr>
          <w:p w14:paraId="4322FB83" w14:textId="6CB8B836"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SIZE</w:t>
            </w:r>
          </w:p>
        </w:tc>
        <w:tc>
          <w:tcPr>
            <w:tcW w:w="0" w:type="auto"/>
          </w:tcPr>
          <w:p w14:paraId="3017B3F2" w14:textId="057FF0B9"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LIQ</w:t>
            </w:r>
          </w:p>
        </w:tc>
        <w:tc>
          <w:tcPr>
            <w:tcW w:w="0" w:type="auto"/>
          </w:tcPr>
          <w:p w14:paraId="185F1F36" w14:textId="18429B7D"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CAP</w:t>
            </w:r>
          </w:p>
        </w:tc>
        <w:tc>
          <w:tcPr>
            <w:tcW w:w="0" w:type="auto"/>
          </w:tcPr>
          <w:p w14:paraId="143D1B5C" w14:textId="4E53B951"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GDPG</w:t>
            </w:r>
          </w:p>
        </w:tc>
        <w:tc>
          <w:tcPr>
            <w:tcW w:w="0" w:type="auto"/>
          </w:tcPr>
          <w:p w14:paraId="074F4981" w14:textId="7CF92706"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INFR</w:t>
            </w:r>
          </w:p>
        </w:tc>
        <w:tc>
          <w:tcPr>
            <w:tcW w:w="0" w:type="auto"/>
          </w:tcPr>
          <w:p w14:paraId="07C38C5E" w14:textId="7D5AFFC5"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IR</w:t>
            </w:r>
          </w:p>
        </w:tc>
        <w:tc>
          <w:tcPr>
            <w:tcW w:w="0" w:type="auto"/>
          </w:tcPr>
          <w:p w14:paraId="73ECB5F5" w14:textId="27132CAB"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GTS</w:t>
            </w:r>
          </w:p>
        </w:tc>
        <w:tc>
          <w:tcPr>
            <w:tcW w:w="0" w:type="auto"/>
          </w:tcPr>
          <w:p w14:paraId="5B0D609A" w14:textId="25A55897"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GCS</w:t>
            </w:r>
          </w:p>
        </w:tc>
        <w:tc>
          <w:tcPr>
            <w:tcW w:w="0" w:type="auto"/>
          </w:tcPr>
          <w:p w14:paraId="2B3FE3AA" w14:textId="534462BC"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GKS</w:t>
            </w:r>
          </w:p>
        </w:tc>
        <w:tc>
          <w:tcPr>
            <w:tcW w:w="0" w:type="auto"/>
          </w:tcPr>
          <w:p w14:paraId="4D0DC3EE" w14:textId="018CA3E3"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BRENT</w:t>
            </w:r>
          </w:p>
        </w:tc>
      </w:tr>
      <w:tr w:rsidR="00373663" w:rsidRPr="00B57AB7" w14:paraId="3153A0A5"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52E7C3BC" w14:textId="030AC0DB"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ROA</w:t>
            </w:r>
          </w:p>
        </w:tc>
        <w:tc>
          <w:tcPr>
            <w:tcW w:w="0" w:type="auto"/>
          </w:tcPr>
          <w:p w14:paraId="204CD68B" w14:textId="1A6EADE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3ECF64C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35599DF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A0E537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2A3E4C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48D62A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3F0E0312"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1798AD0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733613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925CCE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A339EA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95A3E7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61C28B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0D270B76"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7046A697" w14:textId="0B77E9ED"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ROE</w:t>
            </w:r>
          </w:p>
        </w:tc>
        <w:tc>
          <w:tcPr>
            <w:tcW w:w="0" w:type="auto"/>
          </w:tcPr>
          <w:p w14:paraId="6171E816" w14:textId="338882D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0.62</w:t>
            </w:r>
          </w:p>
        </w:tc>
        <w:tc>
          <w:tcPr>
            <w:tcW w:w="0" w:type="auto"/>
          </w:tcPr>
          <w:p w14:paraId="69E1904C" w14:textId="60065BE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0D699A9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75B4FD2"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511E608"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AB2AA5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33D483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108F8F8"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0440D6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DC2CA9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34E2AFB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77CB80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6ABF01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6E3860C1"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2DEF6491" w14:textId="1255CDE4"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LENDG</w:t>
            </w:r>
          </w:p>
        </w:tc>
        <w:tc>
          <w:tcPr>
            <w:tcW w:w="0" w:type="auto"/>
          </w:tcPr>
          <w:p w14:paraId="53F1D914" w14:textId="1710B1ED" w:rsidR="00373663" w:rsidRPr="00D062DE"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lang w:val="en-US"/>
              </w:rPr>
            </w:pPr>
            <w:r w:rsidRPr="00D062DE">
              <w:rPr>
                <w:rFonts w:ascii="Garamond" w:hAnsi="Garamond"/>
                <w:b/>
                <w:bCs/>
                <w:sz w:val="20"/>
                <w:szCs w:val="20"/>
                <w:lang w:val="en-US"/>
              </w:rPr>
              <w:t>0.12</w:t>
            </w:r>
          </w:p>
        </w:tc>
        <w:tc>
          <w:tcPr>
            <w:tcW w:w="0" w:type="auto"/>
          </w:tcPr>
          <w:p w14:paraId="0021BC45" w14:textId="6F01381D" w:rsidR="00373663" w:rsidRPr="00D062DE"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lang w:val="en-US"/>
              </w:rPr>
            </w:pPr>
            <w:r w:rsidRPr="00D062DE">
              <w:rPr>
                <w:rFonts w:ascii="Garamond" w:hAnsi="Garamond"/>
                <w:b/>
                <w:bCs/>
                <w:sz w:val="20"/>
                <w:szCs w:val="20"/>
                <w:lang w:val="en-US"/>
              </w:rPr>
              <w:t>0.12</w:t>
            </w:r>
          </w:p>
        </w:tc>
        <w:tc>
          <w:tcPr>
            <w:tcW w:w="0" w:type="auto"/>
          </w:tcPr>
          <w:p w14:paraId="29405B0A" w14:textId="44D44AC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24F15C69"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A72FED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8A737A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120EC85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C27FD0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521FBF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3CAE13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192F735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C69BC4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F69F06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6CD95A9D"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03E4B4F1" w14:textId="00C869ED"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SIZE</w:t>
            </w:r>
          </w:p>
        </w:tc>
        <w:tc>
          <w:tcPr>
            <w:tcW w:w="0" w:type="auto"/>
          </w:tcPr>
          <w:p w14:paraId="77FE3985" w14:textId="7E002B7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-0.10</w:t>
            </w:r>
          </w:p>
        </w:tc>
        <w:tc>
          <w:tcPr>
            <w:tcW w:w="0" w:type="auto"/>
          </w:tcPr>
          <w:p w14:paraId="6EF19774" w14:textId="5167F9C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0.07</w:t>
            </w:r>
          </w:p>
        </w:tc>
        <w:tc>
          <w:tcPr>
            <w:tcW w:w="0" w:type="auto"/>
          </w:tcPr>
          <w:p w14:paraId="454C2BF6" w14:textId="6DC4515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163F48B9" w14:textId="6B60FB2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14D5983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13CE92B"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8C9EE22"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5C1948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1E6CA4F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902479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7804E5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104ADA3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2A346A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392C442B"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697627DA" w14:textId="23946CDF"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LIQ</w:t>
            </w:r>
          </w:p>
        </w:tc>
        <w:tc>
          <w:tcPr>
            <w:tcW w:w="0" w:type="auto"/>
          </w:tcPr>
          <w:p w14:paraId="74E3C8E8" w14:textId="678F6A3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-0.13</w:t>
            </w:r>
          </w:p>
        </w:tc>
        <w:tc>
          <w:tcPr>
            <w:tcW w:w="0" w:type="auto"/>
          </w:tcPr>
          <w:p w14:paraId="619F7001" w14:textId="62A6BB1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3C98BCCA" w14:textId="0143A93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-0.01</w:t>
            </w:r>
          </w:p>
        </w:tc>
        <w:tc>
          <w:tcPr>
            <w:tcW w:w="0" w:type="auto"/>
          </w:tcPr>
          <w:p w14:paraId="4A8F76D6" w14:textId="4E637E9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-0.02</w:t>
            </w:r>
          </w:p>
        </w:tc>
        <w:tc>
          <w:tcPr>
            <w:tcW w:w="0" w:type="auto"/>
          </w:tcPr>
          <w:p w14:paraId="7CCEC754" w14:textId="3D1CE27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23C1EEA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1EE6B2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12912D6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688974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12028C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9C84329"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2C56DE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B175533"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38583FF2"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723FF9C3" w14:textId="102178F3"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CAP</w:t>
            </w:r>
          </w:p>
        </w:tc>
        <w:tc>
          <w:tcPr>
            <w:tcW w:w="0" w:type="auto"/>
          </w:tcPr>
          <w:p w14:paraId="1B5DAD5F" w14:textId="03EA83A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0.27</w:t>
            </w:r>
          </w:p>
        </w:tc>
        <w:tc>
          <w:tcPr>
            <w:tcW w:w="0" w:type="auto"/>
          </w:tcPr>
          <w:p w14:paraId="73D0CEFB" w14:textId="4D424F4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-0.22</w:t>
            </w:r>
          </w:p>
        </w:tc>
        <w:tc>
          <w:tcPr>
            <w:tcW w:w="0" w:type="auto"/>
          </w:tcPr>
          <w:p w14:paraId="2CA1593D" w14:textId="13485C0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-0.05</w:t>
            </w:r>
          </w:p>
        </w:tc>
        <w:tc>
          <w:tcPr>
            <w:tcW w:w="0" w:type="auto"/>
          </w:tcPr>
          <w:p w14:paraId="44E93BEC" w14:textId="59FD62F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-0.44</w:t>
            </w:r>
          </w:p>
        </w:tc>
        <w:tc>
          <w:tcPr>
            <w:tcW w:w="0" w:type="auto"/>
          </w:tcPr>
          <w:p w14:paraId="42ACA081" w14:textId="3679C1A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0.01</w:t>
            </w:r>
          </w:p>
        </w:tc>
        <w:tc>
          <w:tcPr>
            <w:tcW w:w="0" w:type="auto"/>
          </w:tcPr>
          <w:p w14:paraId="7396518C" w14:textId="109902A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68C35C2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9B2F40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1494CD2"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414F3A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32D4F01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E0B7DB2"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9E1D94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3CB73930"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2C99FCA2" w14:textId="6F29C603"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GDPG</w:t>
            </w:r>
          </w:p>
        </w:tc>
        <w:tc>
          <w:tcPr>
            <w:tcW w:w="0" w:type="auto"/>
          </w:tcPr>
          <w:p w14:paraId="2A7DA4E6" w14:textId="78DAED1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0.15</w:t>
            </w:r>
          </w:p>
        </w:tc>
        <w:tc>
          <w:tcPr>
            <w:tcW w:w="0" w:type="auto"/>
          </w:tcPr>
          <w:p w14:paraId="312BE16C" w14:textId="03E87EA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0.10</w:t>
            </w:r>
          </w:p>
        </w:tc>
        <w:tc>
          <w:tcPr>
            <w:tcW w:w="0" w:type="auto"/>
          </w:tcPr>
          <w:p w14:paraId="7B73CC37" w14:textId="0B0AC7D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0.25</w:t>
            </w:r>
          </w:p>
        </w:tc>
        <w:tc>
          <w:tcPr>
            <w:tcW w:w="0" w:type="auto"/>
          </w:tcPr>
          <w:p w14:paraId="246E4DF9" w14:textId="68CA895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-0.08</w:t>
            </w:r>
          </w:p>
        </w:tc>
        <w:tc>
          <w:tcPr>
            <w:tcW w:w="0" w:type="auto"/>
          </w:tcPr>
          <w:p w14:paraId="36B203D4" w14:textId="78064BC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0.10</w:t>
            </w:r>
          </w:p>
        </w:tc>
        <w:tc>
          <w:tcPr>
            <w:tcW w:w="0" w:type="auto"/>
          </w:tcPr>
          <w:p w14:paraId="6649A299" w14:textId="76603A4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-0.02</w:t>
            </w:r>
          </w:p>
        </w:tc>
        <w:tc>
          <w:tcPr>
            <w:tcW w:w="0" w:type="auto"/>
          </w:tcPr>
          <w:p w14:paraId="31EFA578" w14:textId="478B7F2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51ABB6E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3955CC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414ADA8"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3856F9C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BB9D2E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2DE1423"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05FAE092"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5C19C24C" w14:textId="309E42B9"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INFR</w:t>
            </w:r>
          </w:p>
        </w:tc>
        <w:tc>
          <w:tcPr>
            <w:tcW w:w="0" w:type="auto"/>
          </w:tcPr>
          <w:p w14:paraId="633FD1F9" w14:textId="01C790B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0.22</w:t>
            </w:r>
          </w:p>
        </w:tc>
        <w:tc>
          <w:tcPr>
            <w:tcW w:w="0" w:type="auto"/>
          </w:tcPr>
          <w:p w14:paraId="22671AAC" w14:textId="668CE1D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0.30</w:t>
            </w:r>
          </w:p>
        </w:tc>
        <w:tc>
          <w:tcPr>
            <w:tcW w:w="0" w:type="auto"/>
          </w:tcPr>
          <w:p w14:paraId="6876EA76" w14:textId="37A26C4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0.11</w:t>
            </w:r>
          </w:p>
        </w:tc>
        <w:tc>
          <w:tcPr>
            <w:tcW w:w="0" w:type="auto"/>
          </w:tcPr>
          <w:p w14:paraId="350D90A0" w14:textId="3E31409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-0.17</w:t>
            </w:r>
          </w:p>
        </w:tc>
        <w:tc>
          <w:tcPr>
            <w:tcW w:w="0" w:type="auto"/>
          </w:tcPr>
          <w:p w14:paraId="64722935" w14:textId="1F725DE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0AA3C35A" w14:textId="64A86B1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0.01</w:t>
            </w:r>
          </w:p>
        </w:tc>
        <w:tc>
          <w:tcPr>
            <w:tcW w:w="0" w:type="auto"/>
          </w:tcPr>
          <w:p w14:paraId="478A1927" w14:textId="7FDFE2D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0.18</w:t>
            </w:r>
          </w:p>
        </w:tc>
        <w:tc>
          <w:tcPr>
            <w:tcW w:w="0" w:type="auto"/>
          </w:tcPr>
          <w:p w14:paraId="17F3D59F" w14:textId="1C1A36B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0056F02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2248F02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330C62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612FB0AB"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D9987C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7FB711BF"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0485FD83" w14:textId="427280C2"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IR</w:t>
            </w:r>
          </w:p>
        </w:tc>
        <w:tc>
          <w:tcPr>
            <w:tcW w:w="0" w:type="auto"/>
          </w:tcPr>
          <w:p w14:paraId="235B2E1C" w14:textId="2F18F1A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0.05</w:t>
            </w:r>
          </w:p>
        </w:tc>
        <w:tc>
          <w:tcPr>
            <w:tcW w:w="0" w:type="auto"/>
          </w:tcPr>
          <w:p w14:paraId="7C049F64" w14:textId="45C0F81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0.22</w:t>
            </w:r>
          </w:p>
        </w:tc>
        <w:tc>
          <w:tcPr>
            <w:tcW w:w="0" w:type="auto"/>
          </w:tcPr>
          <w:p w14:paraId="5863BA82" w14:textId="01AAF6F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0.02</w:t>
            </w:r>
          </w:p>
        </w:tc>
        <w:tc>
          <w:tcPr>
            <w:tcW w:w="0" w:type="auto"/>
          </w:tcPr>
          <w:p w14:paraId="04F6FEBF" w14:textId="31E30D5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-0.39</w:t>
            </w:r>
          </w:p>
        </w:tc>
        <w:tc>
          <w:tcPr>
            <w:tcW w:w="0" w:type="auto"/>
          </w:tcPr>
          <w:p w14:paraId="12979FFC" w14:textId="2170D0B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0.07</w:t>
            </w:r>
          </w:p>
        </w:tc>
        <w:tc>
          <w:tcPr>
            <w:tcW w:w="0" w:type="auto"/>
          </w:tcPr>
          <w:p w14:paraId="5DE13BAB" w14:textId="6DDEF24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24BB0702" w14:textId="4B0E23E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0.05</w:t>
            </w:r>
          </w:p>
        </w:tc>
        <w:tc>
          <w:tcPr>
            <w:tcW w:w="0" w:type="auto"/>
          </w:tcPr>
          <w:p w14:paraId="3608A32E" w14:textId="759ED37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0.43</w:t>
            </w:r>
          </w:p>
        </w:tc>
        <w:tc>
          <w:tcPr>
            <w:tcW w:w="0" w:type="auto"/>
          </w:tcPr>
          <w:p w14:paraId="0468F22F" w14:textId="1BC9CE4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491F99B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C58D48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56DD163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7AAAA63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56AF9E9B"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2D30CC24" w14:textId="3DC26C3E"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GTS</w:t>
            </w:r>
          </w:p>
        </w:tc>
        <w:tc>
          <w:tcPr>
            <w:tcW w:w="0" w:type="auto"/>
          </w:tcPr>
          <w:p w14:paraId="44144F61" w14:textId="1EDD7AF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-0.03</w:t>
            </w:r>
          </w:p>
        </w:tc>
        <w:tc>
          <w:tcPr>
            <w:tcW w:w="0" w:type="auto"/>
          </w:tcPr>
          <w:p w14:paraId="5A360EF5" w14:textId="16FA049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-0.07</w:t>
            </w:r>
          </w:p>
        </w:tc>
        <w:tc>
          <w:tcPr>
            <w:tcW w:w="0" w:type="auto"/>
          </w:tcPr>
          <w:p w14:paraId="66E8BB39" w14:textId="7FC2992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-0.13</w:t>
            </w:r>
          </w:p>
        </w:tc>
        <w:tc>
          <w:tcPr>
            <w:tcW w:w="0" w:type="auto"/>
          </w:tcPr>
          <w:p w14:paraId="09635AF8" w14:textId="6E83CFF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0.35</w:t>
            </w:r>
          </w:p>
        </w:tc>
        <w:tc>
          <w:tcPr>
            <w:tcW w:w="0" w:type="auto"/>
          </w:tcPr>
          <w:p w14:paraId="43A586BA" w14:textId="014C6AC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402E74F9" w14:textId="1D0220B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0.01</w:t>
            </w:r>
          </w:p>
        </w:tc>
        <w:tc>
          <w:tcPr>
            <w:tcW w:w="0" w:type="auto"/>
          </w:tcPr>
          <w:p w14:paraId="514A4168" w14:textId="2686759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-0.24</w:t>
            </w:r>
          </w:p>
        </w:tc>
        <w:tc>
          <w:tcPr>
            <w:tcW w:w="0" w:type="auto"/>
          </w:tcPr>
          <w:p w14:paraId="28BC2187" w14:textId="25D914B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-0.09</w:t>
            </w:r>
          </w:p>
        </w:tc>
        <w:tc>
          <w:tcPr>
            <w:tcW w:w="0" w:type="auto"/>
          </w:tcPr>
          <w:p w14:paraId="545EFD5A" w14:textId="09D6D33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-0.07</w:t>
            </w:r>
          </w:p>
        </w:tc>
        <w:tc>
          <w:tcPr>
            <w:tcW w:w="0" w:type="auto"/>
          </w:tcPr>
          <w:p w14:paraId="5B2A4035" w14:textId="5F31AFF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7EEE1B4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F994D7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073D534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27DCA861"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2A6490C7" w14:textId="66BF513A"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GCS</w:t>
            </w:r>
          </w:p>
        </w:tc>
        <w:tc>
          <w:tcPr>
            <w:tcW w:w="0" w:type="auto"/>
          </w:tcPr>
          <w:p w14:paraId="6F12EE6B" w14:textId="1869689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-0.13</w:t>
            </w:r>
          </w:p>
        </w:tc>
        <w:tc>
          <w:tcPr>
            <w:tcW w:w="0" w:type="auto"/>
          </w:tcPr>
          <w:p w14:paraId="44516DB1" w14:textId="108EC8D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-0.07</w:t>
            </w:r>
          </w:p>
        </w:tc>
        <w:tc>
          <w:tcPr>
            <w:tcW w:w="0" w:type="auto"/>
          </w:tcPr>
          <w:p w14:paraId="02E9EBA8" w14:textId="677A000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-0.14</w:t>
            </w:r>
          </w:p>
        </w:tc>
        <w:tc>
          <w:tcPr>
            <w:tcW w:w="0" w:type="auto"/>
          </w:tcPr>
          <w:p w14:paraId="63024307" w14:textId="51CF511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0.33</w:t>
            </w:r>
          </w:p>
        </w:tc>
        <w:tc>
          <w:tcPr>
            <w:tcW w:w="0" w:type="auto"/>
          </w:tcPr>
          <w:p w14:paraId="68D249D2" w14:textId="6BA9673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6666EBCE" w14:textId="4345107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0.01</w:t>
            </w:r>
          </w:p>
        </w:tc>
        <w:tc>
          <w:tcPr>
            <w:tcW w:w="0" w:type="auto"/>
          </w:tcPr>
          <w:p w14:paraId="15713AF8" w14:textId="7CA0488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-0.26</w:t>
            </w:r>
          </w:p>
        </w:tc>
        <w:tc>
          <w:tcPr>
            <w:tcW w:w="0" w:type="auto"/>
          </w:tcPr>
          <w:p w14:paraId="33EFFC9C" w14:textId="4162FCB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-0.06</w:t>
            </w:r>
          </w:p>
        </w:tc>
        <w:tc>
          <w:tcPr>
            <w:tcW w:w="0" w:type="auto"/>
          </w:tcPr>
          <w:p w14:paraId="18BAAF36" w14:textId="1172473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0.05</w:t>
            </w:r>
          </w:p>
        </w:tc>
        <w:tc>
          <w:tcPr>
            <w:tcW w:w="0" w:type="auto"/>
          </w:tcPr>
          <w:p w14:paraId="4CE0697B" w14:textId="59EC9EB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0.80</w:t>
            </w:r>
          </w:p>
        </w:tc>
        <w:tc>
          <w:tcPr>
            <w:tcW w:w="0" w:type="auto"/>
          </w:tcPr>
          <w:p w14:paraId="583B7CBB" w14:textId="18DB826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7D2D0518"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c>
          <w:tcPr>
            <w:tcW w:w="0" w:type="auto"/>
          </w:tcPr>
          <w:p w14:paraId="432970E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42F5985A"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57346B00" w14:textId="549BFB94"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GKS</w:t>
            </w:r>
          </w:p>
        </w:tc>
        <w:tc>
          <w:tcPr>
            <w:tcW w:w="0" w:type="auto"/>
          </w:tcPr>
          <w:p w14:paraId="10F9D012" w14:textId="0C0602C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0.15</w:t>
            </w:r>
          </w:p>
        </w:tc>
        <w:tc>
          <w:tcPr>
            <w:tcW w:w="0" w:type="auto"/>
          </w:tcPr>
          <w:p w14:paraId="5AAFF9AF" w14:textId="350CD78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0.00*</w:t>
            </w:r>
          </w:p>
        </w:tc>
        <w:tc>
          <w:tcPr>
            <w:tcW w:w="0" w:type="auto"/>
          </w:tcPr>
          <w:p w14:paraId="2C0AA2CA" w14:textId="4E60C3D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0.02</w:t>
            </w:r>
          </w:p>
        </w:tc>
        <w:tc>
          <w:tcPr>
            <w:tcW w:w="0" w:type="auto"/>
          </w:tcPr>
          <w:p w14:paraId="2F13EEA9" w14:textId="1967998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2AB7839E" w14:textId="4452BC4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0.00*</w:t>
            </w:r>
          </w:p>
        </w:tc>
        <w:tc>
          <w:tcPr>
            <w:tcW w:w="0" w:type="auto"/>
          </w:tcPr>
          <w:p w14:paraId="5D40FD0B" w14:textId="632A404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0.01</w:t>
            </w:r>
          </w:p>
        </w:tc>
        <w:tc>
          <w:tcPr>
            <w:tcW w:w="0" w:type="auto"/>
          </w:tcPr>
          <w:p w14:paraId="21387520" w14:textId="4A60BE1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0.02</w:t>
            </w:r>
          </w:p>
        </w:tc>
        <w:tc>
          <w:tcPr>
            <w:tcW w:w="0" w:type="auto"/>
          </w:tcPr>
          <w:p w14:paraId="0DF21635" w14:textId="0D85021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-0.04</w:t>
            </w:r>
          </w:p>
        </w:tc>
        <w:tc>
          <w:tcPr>
            <w:tcW w:w="0" w:type="auto"/>
          </w:tcPr>
          <w:p w14:paraId="1B4AB0F8" w14:textId="6821E49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-0.18</w:t>
            </w:r>
          </w:p>
        </w:tc>
        <w:tc>
          <w:tcPr>
            <w:tcW w:w="0" w:type="auto"/>
          </w:tcPr>
          <w:p w14:paraId="1B73D909" w14:textId="65918C8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0.35</w:t>
            </w:r>
          </w:p>
        </w:tc>
        <w:tc>
          <w:tcPr>
            <w:tcW w:w="0" w:type="auto"/>
          </w:tcPr>
          <w:p w14:paraId="4659F7ED" w14:textId="5AA5E3A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-0.29</w:t>
            </w:r>
          </w:p>
        </w:tc>
        <w:tc>
          <w:tcPr>
            <w:tcW w:w="0" w:type="auto"/>
          </w:tcPr>
          <w:p w14:paraId="048907C8" w14:textId="7D17941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c>
          <w:tcPr>
            <w:tcW w:w="0" w:type="auto"/>
          </w:tcPr>
          <w:p w14:paraId="17FC3E7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p>
        </w:tc>
      </w:tr>
      <w:tr w:rsidR="00373663" w:rsidRPr="00B57AB7" w14:paraId="2BB1887C"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62E279DA" w14:textId="7F0F50FA"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BRENT</w:t>
            </w:r>
          </w:p>
        </w:tc>
        <w:tc>
          <w:tcPr>
            <w:tcW w:w="0" w:type="auto"/>
          </w:tcPr>
          <w:p w14:paraId="25699323" w14:textId="517E85B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0.06</w:t>
            </w:r>
          </w:p>
        </w:tc>
        <w:tc>
          <w:tcPr>
            <w:tcW w:w="0" w:type="auto"/>
          </w:tcPr>
          <w:p w14:paraId="5E3E719E" w14:textId="1A6971B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0.05</w:t>
            </w:r>
          </w:p>
        </w:tc>
        <w:tc>
          <w:tcPr>
            <w:tcW w:w="0" w:type="auto"/>
          </w:tcPr>
          <w:p w14:paraId="1C999451" w14:textId="1010E75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0.07</w:t>
            </w:r>
          </w:p>
        </w:tc>
        <w:tc>
          <w:tcPr>
            <w:tcW w:w="0" w:type="auto"/>
          </w:tcPr>
          <w:p w14:paraId="4ADB99B4" w14:textId="7386EA4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0.11</w:t>
            </w:r>
          </w:p>
        </w:tc>
        <w:tc>
          <w:tcPr>
            <w:tcW w:w="0" w:type="auto"/>
          </w:tcPr>
          <w:p w14:paraId="65A463A8" w14:textId="19D6E6E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-0.14</w:t>
            </w:r>
          </w:p>
        </w:tc>
        <w:tc>
          <w:tcPr>
            <w:tcW w:w="0" w:type="auto"/>
          </w:tcPr>
          <w:p w14:paraId="6E9018FE" w14:textId="215BDBE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-0.07</w:t>
            </w:r>
          </w:p>
        </w:tc>
        <w:tc>
          <w:tcPr>
            <w:tcW w:w="0" w:type="auto"/>
          </w:tcPr>
          <w:p w14:paraId="291BB6DF" w14:textId="459042D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-0.06</w:t>
            </w:r>
          </w:p>
        </w:tc>
        <w:tc>
          <w:tcPr>
            <w:tcW w:w="0" w:type="auto"/>
          </w:tcPr>
          <w:p w14:paraId="27434063" w14:textId="2EFBBB1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0.29</w:t>
            </w:r>
          </w:p>
        </w:tc>
        <w:tc>
          <w:tcPr>
            <w:tcW w:w="0" w:type="auto"/>
          </w:tcPr>
          <w:p w14:paraId="5A09D25B" w14:textId="0A45C3B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-0.24</w:t>
            </w:r>
          </w:p>
        </w:tc>
        <w:tc>
          <w:tcPr>
            <w:tcW w:w="0" w:type="auto"/>
          </w:tcPr>
          <w:p w14:paraId="45D7D655" w14:textId="3172133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0.06</w:t>
            </w:r>
          </w:p>
        </w:tc>
        <w:tc>
          <w:tcPr>
            <w:tcW w:w="0" w:type="auto"/>
          </w:tcPr>
          <w:p w14:paraId="04465C97" w14:textId="73CB741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0.09</w:t>
            </w:r>
          </w:p>
        </w:tc>
        <w:tc>
          <w:tcPr>
            <w:tcW w:w="0" w:type="auto"/>
          </w:tcPr>
          <w:p w14:paraId="1A5ABAF0" w14:textId="0C9A5C8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-0.03</w:t>
            </w:r>
          </w:p>
        </w:tc>
        <w:tc>
          <w:tcPr>
            <w:tcW w:w="0" w:type="auto"/>
          </w:tcPr>
          <w:p w14:paraId="25C257DD" w14:textId="31C2111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1</w:t>
            </w:r>
          </w:p>
        </w:tc>
      </w:tr>
    </w:tbl>
    <w:p w14:paraId="7171932A" w14:textId="5AE2843B" w:rsidR="00373663" w:rsidRPr="00B57AB7" w:rsidRDefault="00373663" w:rsidP="00373663">
      <w:pPr>
        <w:widowControl w:val="0"/>
        <w:autoSpaceDE w:val="0"/>
        <w:autoSpaceDN w:val="0"/>
        <w:adjustRightInd w:val="0"/>
        <w:spacing w:before="120" w:after="120" w:line="276" w:lineRule="auto"/>
        <w:jc w:val="center"/>
        <w:rPr>
          <w:rFonts w:ascii="Garamond" w:hAnsi="Garamond"/>
          <w:lang w:val="en-US"/>
        </w:rPr>
      </w:pPr>
      <w:r w:rsidRPr="00B57AB7">
        <w:rPr>
          <w:rFonts w:ascii="Garamond" w:hAnsi="Garamond" w:cs="Arial"/>
          <w:sz w:val="18"/>
          <w:szCs w:val="18"/>
          <w:lang w:val="en-US"/>
        </w:rPr>
        <w:t>Note : * Negligent coefficient value. Not equal to zero</w:t>
      </w:r>
      <w:r w:rsidRPr="00B57AB7">
        <w:rPr>
          <w:rFonts w:ascii="Garamond" w:hAnsi="Garamond" w:cs="Arial"/>
          <w:sz w:val="18"/>
          <w:szCs w:val="18"/>
          <w:lang w:val="en-US"/>
        </w:rPr>
        <w:br/>
      </w:r>
    </w:p>
    <w:p w14:paraId="3EF7A08D" w14:textId="3CD72840" w:rsidR="00373663" w:rsidRPr="00B57AB7" w:rsidRDefault="00373663" w:rsidP="00373663">
      <w:pPr>
        <w:widowControl w:val="0"/>
        <w:autoSpaceDE w:val="0"/>
        <w:autoSpaceDN w:val="0"/>
        <w:adjustRightInd w:val="0"/>
        <w:spacing w:before="120" w:after="120" w:line="276" w:lineRule="auto"/>
        <w:jc w:val="center"/>
        <w:rPr>
          <w:rFonts w:ascii="Garamond" w:hAnsi="Garamond"/>
          <w:lang w:val="en-US"/>
        </w:rPr>
      </w:pPr>
    </w:p>
    <w:p w14:paraId="252FEFBA" w14:textId="3B0C6932" w:rsidR="00373663" w:rsidRPr="00B57AB7" w:rsidRDefault="00373663" w:rsidP="00373663">
      <w:pPr>
        <w:widowControl w:val="0"/>
        <w:autoSpaceDE w:val="0"/>
        <w:autoSpaceDN w:val="0"/>
        <w:adjustRightInd w:val="0"/>
        <w:spacing w:before="120" w:after="120" w:line="276" w:lineRule="auto"/>
        <w:jc w:val="center"/>
        <w:rPr>
          <w:rFonts w:ascii="Garamond" w:hAnsi="Garamond"/>
          <w:lang w:val="en-US"/>
        </w:rPr>
      </w:pPr>
    </w:p>
    <w:p w14:paraId="7C52824F" w14:textId="3794641B" w:rsidR="00373663" w:rsidRPr="00B57AB7" w:rsidRDefault="00373663" w:rsidP="008C2294">
      <w:pPr>
        <w:pStyle w:val="Heading2"/>
        <w:rPr>
          <w:lang w:val="en-US"/>
        </w:rPr>
      </w:pPr>
      <w:r w:rsidRPr="00B57AB7">
        <w:rPr>
          <w:lang w:val="en-US"/>
        </w:rPr>
        <w:lastRenderedPageBreak/>
        <w:t xml:space="preserve">Appendix </w:t>
      </w:r>
      <w:r w:rsidR="008C2294">
        <w:rPr>
          <w:lang w:val="en-US"/>
        </w:rPr>
        <w:t>E2</w:t>
      </w:r>
      <w:r w:rsidRPr="00B57AB7">
        <w:rPr>
          <w:lang w:val="en-US"/>
        </w:rPr>
        <w:t>: The correlation matrix for oil exporters</w:t>
      </w:r>
    </w:p>
    <w:tbl>
      <w:tblPr>
        <w:tblStyle w:val="ListTable7Colorful"/>
        <w:tblW w:w="0" w:type="auto"/>
        <w:jc w:val="center"/>
        <w:tblLook w:val="06A0" w:firstRow="1" w:lastRow="0" w:firstColumn="1" w:lastColumn="0" w:noHBand="1" w:noVBand="1"/>
      </w:tblPr>
      <w:tblGrid>
        <w:gridCol w:w="969"/>
        <w:gridCol w:w="629"/>
        <w:gridCol w:w="627"/>
        <w:gridCol w:w="925"/>
        <w:gridCol w:w="639"/>
        <w:gridCol w:w="604"/>
        <w:gridCol w:w="635"/>
        <w:gridCol w:w="752"/>
        <w:gridCol w:w="677"/>
        <w:gridCol w:w="604"/>
        <w:gridCol w:w="575"/>
        <w:gridCol w:w="604"/>
        <w:gridCol w:w="577"/>
        <w:gridCol w:w="864"/>
      </w:tblGrid>
      <w:tr w:rsidR="00373663" w:rsidRPr="00B57AB7" w14:paraId="2834241D" w14:textId="77777777" w:rsidTr="00373663">
        <w:trPr>
          <w:cnfStyle w:val="100000000000" w:firstRow="1" w:lastRow="0" w:firstColumn="0" w:lastColumn="0" w:oddVBand="0" w:evenVBand="0" w:oddHBand="0" w:evenHBand="0" w:firstRowFirstColumn="0" w:firstRowLastColumn="0" w:lastRowFirstColumn="0" w:lastRowLastColumn="0"/>
          <w:trHeight w:val="204"/>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39038D94" w14:textId="77777777"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Correlation</w:t>
            </w:r>
          </w:p>
        </w:tc>
        <w:tc>
          <w:tcPr>
            <w:tcW w:w="0" w:type="auto"/>
            <w:vAlign w:val="center"/>
          </w:tcPr>
          <w:p w14:paraId="585B33A4" w14:textId="7700DA08"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ROA</w:t>
            </w:r>
          </w:p>
        </w:tc>
        <w:tc>
          <w:tcPr>
            <w:tcW w:w="0" w:type="auto"/>
            <w:vAlign w:val="center"/>
          </w:tcPr>
          <w:p w14:paraId="3DD9025B" w14:textId="76B95E23"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ROE</w:t>
            </w:r>
          </w:p>
        </w:tc>
        <w:tc>
          <w:tcPr>
            <w:tcW w:w="0" w:type="auto"/>
            <w:vAlign w:val="center"/>
          </w:tcPr>
          <w:p w14:paraId="493C267D" w14:textId="405D6105"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LENDG</w:t>
            </w:r>
          </w:p>
        </w:tc>
        <w:tc>
          <w:tcPr>
            <w:tcW w:w="0" w:type="auto"/>
            <w:vAlign w:val="center"/>
          </w:tcPr>
          <w:p w14:paraId="239D638D" w14:textId="595FE3D7"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SIZE</w:t>
            </w:r>
          </w:p>
        </w:tc>
        <w:tc>
          <w:tcPr>
            <w:tcW w:w="0" w:type="auto"/>
            <w:vAlign w:val="center"/>
          </w:tcPr>
          <w:p w14:paraId="6800DF67" w14:textId="4EB4A5F1"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LIQ</w:t>
            </w:r>
          </w:p>
        </w:tc>
        <w:tc>
          <w:tcPr>
            <w:tcW w:w="0" w:type="auto"/>
            <w:vAlign w:val="center"/>
          </w:tcPr>
          <w:p w14:paraId="048761B1" w14:textId="034EEB8A"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CAP</w:t>
            </w:r>
          </w:p>
        </w:tc>
        <w:tc>
          <w:tcPr>
            <w:tcW w:w="0" w:type="auto"/>
            <w:vAlign w:val="center"/>
          </w:tcPr>
          <w:p w14:paraId="58BB6CA9" w14:textId="05AED092"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GDPG</w:t>
            </w:r>
          </w:p>
        </w:tc>
        <w:tc>
          <w:tcPr>
            <w:tcW w:w="0" w:type="auto"/>
            <w:vAlign w:val="center"/>
          </w:tcPr>
          <w:p w14:paraId="2944736D" w14:textId="1E8436CD"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INFR</w:t>
            </w:r>
          </w:p>
        </w:tc>
        <w:tc>
          <w:tcPr>
            <w:tcW w:w="0" w:type="auto"/>
            <w:vAlign w:val="center"/>
          </w:tcPr>
          <w:p w14:paraId="420CE2E1" w14:textId="51372510"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IR</w:t>
            </w:r>
          </w:p>
        </w:tc>
        <w:tc>
          <w:tcPr>
            <w:tcW w:w="0" w:type="auto"/>
            <w:vAlign w:val="center"/>
          </w:tcPr>
          <w:p w14:paraId="0368BA1E" w14:textId="4B95B629"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GTS</w:t>
            </w:r>
          </w:p>
        </w:tc>
        <w:tc>
          <w:tcPr>
            <w:tcW w:w="0" w:type="auto"/>
            <w:vAlign w:val="center"/>
          </w:tcPr>
          <w:p w14:paraId="63B8C559" w14:textId="497A0EDF"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GCS</w:t>
            </w:r>
          </w:p>
        </w:tc>
        <w:tc>
          <w:tcPr>
            <w:tcW w:w="0" w:type="auto"/>
            <w:vAlign w:val="center"/>
          </w:tcPr>
          <w:p w14:paraId="4277C6DE" w14:textId="6A9961E4"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GKS</w:t>
            </w:r>
          </w:p>
        </w:tc>
        <w:tc>
          <w:tcPr>
            <w:tcW w:w="0" w:type="auto"/>
            <w:vAlign w:val="center"/>
          </w:tcPr>
          <w:p w14:paraId="0814FCD5" w14:textId="194D62B7" w:rsidR="00373663" w:rsidRPr="00B57AB7" w:rsidRDefault="00373663" w:rsidP="00373663">
            <w:pPr>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BRENT</w:t>
            </w:r>
          </w:p>
        </w:tc>
      </w:tr>
      <w:tr w:rsidR="00373663" w:rsidRPr="00B57AB7" w14:paraId="7D058918"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5A30DE" w14:textId="00BFA9A4"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ROA</w:t>
            </w:r>
          </w:p>
        </w:tc>
        <w:tc>
          <w:tcPr>
            <w:tcW w:w="0" w:type="auto"/>
            <w:vAlign w:val="center"/>
          </w:tcPr>
          <w:p w14:paraId="6611A7A9" w14:textId="6D018CE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4E59F7B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C80912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B4D5A1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184EA03"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312328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4C29632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ACD82A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919C59C"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CBEF19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446709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7D592E2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14DB42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5606C40D"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6955C1" w14:textId="3319DA08"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ROE</w:t>
            </w:r>
          </w:p>
        </w:tc>
        <w:tc>
          <w:tcPr>
            <w:tcW w:w="0" w:type="auto"/>
            <w:vAlign w:val="center"/>
          </w:tcPr>
          <w:p w14:paraId="5C0BA6A7" w14:textId="5F88631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0.62</w:t>
            </w:r>
          </w:p>
        </w:tc>
        <w:tc>
          <w:tcPr>
            <w:tcW w:w="0" w:type="auto"/>
            <w:vAlign w:val="center"/>
          </w:tcPr>
          <w:p w14:paraId="460530D4" w14:textId="47B33B4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502F1EE3"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3AC0DD8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4006A6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EFFA94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10D957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12B77C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5B9FEC8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2142F1C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20434D18"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50F162B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5764EDE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3018F9E1"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9C1577" w14:textId="5798AC91"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LENDG</w:t>
            </w:r>
          </w:p>
        </w:tc>
        <w:tc>
          <w:tcPr>
            <w:tcW w:w="0" w:type="auto"/>
            <w:vAlign w:val="center"/>
          </w:tcPr>
          <w:p w14:paraId="6AF061E6" w14:textId="0224C32B" w:rsidR="00373663" w:rsidRPr="00D062DE"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b/>
                <w:bCs/>
                <w:sz w:val="20"/>
                <w:szCs w:val="20"/>
                <w:lang w:val="en-US"/>
              </w:rPr>
            </w:pPr>
            <w:r w:rsidRPr="00D062DE">
              <w:rPr>
                <w:rFonts w:ascii="Garamond" w:hAnsi="Garamond" w:cstheme="majorBidi"/>
                <w:b/>
                <w:bCs/>
                <w:sz w:val="20"/>
                <w:szCs w:val="20"/>
                <w:lang w:val="en-US"/>
              </w:rPr>
              <w:t>0.24</w:t>
            </w:r>
          </w:p>
        </w:tc>
        <w:tc>
          <w:tcPr>
            <w:tcW w:w="0" w:type="auto"/>
            <w:vAlign w:val="center"/>
          </w:tcPr>
          <w:p w14:paraId="22E8B56F" w14:textId="09671BA0" w:rsidR="00373663" w:rsidRPr="00D062DE"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b/>
                <w:bCs/>
                <w:sz w:val="20"/>
                <w:szCs w:val="20"/>
                <w:lang w:val="en-US"/>
              </w:rPr>
            </w:pPr>
            <w:r w:rsidRPr="00D062DE">
              <w:rPr>
                <w:rFonts w:ascii="Garamond" w:hAnsi="Garamond" w:cstheme="majorBidi"/>
                <w:b/>
                <w:bCs/>
                <w:sz w:val="20"/>
                <w:szCs w:val="20"/>
                <w:lang w:val="en-US"/>
              </w:rPr>
              <w:t>0.24</w:t>
            </w:r>
          </w:p>
        </w:tc>
        <w:tc>
          <w:tcPr>
            <w:tcW w:w="0" w:type="auto"/>
            <w:vAlign w:val="center"/>
          </w:tcPr>
          <w:p w14:paraId="548526FC" w14:textId="03C87E3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13356C3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3852538"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25F1816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3CFE1EC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7BEF109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D5BF3A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B9E36A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2FA4D78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1EE1F5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735A57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757072C0"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37030E" w14:textId="48D0B5C3"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SIZE</w:t>
            </w:r>
          </w:p>
        </w:tc>
        <w:tc>
          <w:tcPr>
            <w:tcW w:w="0" w:type="auto"/>
            <w:vAlign w:val="center"/>
          </w:tcPr>
          <w:p w14:paraId="5E7D1384" w14:textId="2DC58BF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-0.27</w:t>
            </w:r>
          </w:p>
        </w:tc>
        <w:tc>
          <w:tcPr>
            <w:tcW w:w="0" w:type="auto"/>
            <w:vAlign w:val="center"/>
          </w:tcPr>
          <w:p w14:paraId="7F628A36" w14:textId="539B8DE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vAlign w:val="center"/>
          </w:tcPr>
          <w:p w14:paraId="025D42F7" w14:textId="35D22F3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-0.13</w:t>
            </w:r>
          </w:p>
        </w:tc>
        <w:tc>
          <w:tcPr>
            <w:tcW w:w="0" w:type="auto"/>
            <w:vAlign w:val="center"/>
          </w:tcPr>
          <w:p w14:paraId="4EDEAF42" w14:textId="7B4460B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4FF6534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37E62655"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3596CA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8AA6AC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CD051C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EDD28B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556EBE2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482C72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781FC25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0B2C15FC"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EF3173" w14:textId="09D9C4EC"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LIQ</w:t>
            </w:r>
          </w:p>
        </w:tc>
        <w:tc>
          <w:tcPr>
            <w:tcW w:w="0" w:type="auto"/>
            <w:vAlign w:val="center"/>
          </w:tcPr>
          <w:p w14:paraId="7448F2CC" w14:textId="216E3A2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-0.08</w:t>
            </w:r>
          </w:p>
        </w:tc>
        <w:tc>
          <w:tcPr>
            <w:tcW w:w="0" w:type="auto"/>
            <w:vAlign w:val="center"/>
          </w:tcPr>
          <w:p w14:paraId="2D977D36" w14:textId="4056A08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vAlign w:val="center"/>
          </w:tcPr>
          <w:p w14:paraId="27AB5942" w14:textId="5B6AE23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-0.08</w:t>
            </w:r>
          </w:p>
        </w:tc>
        <w:tc>
          <w:tcPr>
            <w:tcW w:w="0" w:type="auto"/>
            <w:vAlign w:val="center"/>
          </w:tcPr>
          <w:p w14:paraId="738C0E3E" w14:textId="4D5C107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vAlign w:val="center"/>
          </w:tcPr>
          <w:p w14:paraId="5F0B557C" w14:textId="73D419C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50DB64B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BB3A53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5D4DAB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51D73B6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490EBC9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5566462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4F9DF05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791A90A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2DC91568"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542AC1" w14:textId="0264455D"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CAP</w:t>
            </w:r>
          </w:p>
        </w:tc>
        <w:tc>
          <w:tcPr>
            <w:tcW w:w="0" w:type="auto"/>
            <w:vAlign w:val="center"/>
          </w:tcPr>
          <w:p w14:paraId="78F90F84" w14:textId="433F757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0.28</w:t>
            </w:r>
          </w:p>
        </w:tc>
        <w:tc>
          <w:tcPr>
            <w:tcW w:w="0" w:type="auto"/>
            <w:vAlign w:val="center"/>
          </w:tcPr>
          <w:p w14:paraId="05D54041" w14:textId="5659597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-0.28</w:t>
            </w:r>
          </w:p>
        </w:tc>
        <w:tc>
          <w:tcPr>
            <w:tcW w:w="0" w:type="auto"/>
            <w:vAlign w:val="center"/>
          </w:tcPr>
          <w:p w14:paraId="610EB67B" w14:textId="0BCFCA1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vAlign w:val="center"/>
          </w:tcPr>
          <w:p w14:paraId="0C7B87B8" w14:textId="23EF394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-0.47</w:t>
            </w:r>
          </w:p>
        </w:tc>
        <w:tc>
          <w:tcPr>
            <w:tcW w:w="0" w:type="auto"/>
            <w:vAlign w:val="center"/>
          </w:tcPr>
          <w:p w14:paraId="7A125B0F" w14:textId="3B0BC39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vAlign w:val="center"/>
          </w:tcPr>
          <w:p w14:paraId="2D3C37A6" w14:textId="2812C3A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7A2FB60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3679C9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8EE0EC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2FB92F8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E60011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7417978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481D7973"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6324263D"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470E73" w14:textId="5BC5BA07"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GDPG</w:t>
            </w:r>
          </w:p>
        </w:tc>
        <w:tc>
          <w:tcPr>
            <w:tcW w:w="0" w:type="auto"/>
            <w:vAlign w:val="center"/>
          </w:tcPr>
          <w:p w14:paraId="3F02192F" w14:textId="471DE53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0.17</w:t>
            </w:r>
          </w:p>
        </w:tc>
        <w:tc>
          <w:tcPr>
            <w:tcW w:w="0" w:type="auto"/>
            <w:vAlign w:val="center"/>
          </w:tcPr>
          <w:p w14:paraId="4E8CFDE2" w14:textId="12C1C6F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0.15</w:t>
            </w:r>
          </w:p>
        </w:tc>
        <w:tc>
          <w:tcPr>
            <w:tcW w:w="0" w:type="auto"/>
            <w:vAlign w:val="center"/>
          </w:tcPr>
          <w:p w14:paraId="11F4B0D4" w14:textId="4E87397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0.23</w:t>
            </w:r>
          </w:p>
        </w:tc>
        <w:tc>
          <w:tcPr>
            <w:tcW w:w="0" w:type="auto"/>
            <w:vAlign w:val="center"/>
          </w:tcPr>
          <w:p w14:paraId="733073CE" w14:textId="0CF5F1D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-0.18</w:t>
            </w:r>
          </w:p>
        </w:tc>
        <w:tc>
          <w:tcPr>
            <w:tcW w:w="0" w:type="auto"/>
            <w:vAlign w:val="center"/>
          </w:tcPr>
          <w:p w14:paraId="24D787EB" w14:textId="107A333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vAlign w:val="center"/>
          </w:tcPr>
          <w:p w14:paraId="7B86135E" w14:textId="3A74012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vAlign w:val="center"/>
          </w:tcPr>
          <w:p w14:paraId="61A1E48C" w14:textId="3ADECB3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1AC9C22D"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492B00B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1C7CB3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38CCE40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2755174B"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66B72EA"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335C8C1F"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DBEAF1" w14:textId="4B7E960E"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INFR</w:t>
            </w:r>
          </w:p>
        </w:tc>
        <w:tc>
          <w:tcPr>
            <w:tcW w:w="0" w:type="auto"/>
            <w:vAlign w:val="center"/>
          </w:tcPr>
          <w:p w14:paraId="1BD11843" w14:textId="71CF697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0.22</w:t>
            </w:r>
          </w:p>
        </w:tc>
        <w:tc>
          <w:tcPr>
            <w:tcW w:w="0" w:type="auto"/>
            <w:vAlign w:val="center"/>
          </w:tcPr>
          <w:p w14:paraId="3F9C8DCB" w14:textId="2EFAB6F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0.16</w:t>
            </w:r>
          </w:p>
        </w:tc>
        <w:tc>
          <w:tcPr>
            <w:tcW w:w="0" w:type="auto"/>
            <w:vAlign w:val="center"/>
          </w:tcPr>
          <w:p w14:paraId="73F87B36" w14:textId="698350D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0.26</w:t>
            </w:r>
          </w:p>
        </w:tc>
        <w:tc>
          <w:tcPr>
            <w:tcW w:w="0" w:type="auto"/>
            <w:vAlign w:val="center"/>
          </w:tcPr>
          <w:p w14:paraId="1E9BB7FC" w14:textId="524BB92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-0.20</w:t>
            </w:r>
          </w:p>
        </w:tc>
        <w:tc>
          <w:tcPr>
            <w:tcW w:w="0" w:type="auto"/>
            <w:vAlign w:val="center"/>
          </w:tcPr>
          <w:p w14:paraId="56EE11A4" w14:textId="555CA93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-0.02</w:t>
            </w:r>
          </w:p>
        </w:tc>
        <w:tc>
          <w:tcPr>
            <w:tcW w:w="0" w:type="auto"/>
            <w:vAlign w:val="center"/>
          </w:tcPr>
          <w:p w14:paraId="0627AB48" w14:textId="0F5C93E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vAlign w:val="center"/>
          </w:tcPr>
          <w:p w14:paraId="3AE28F72" w14:textId="45A67C7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0.26</w:t>
            </w:r>
          </w:p>
        </w:tc>
        <w:tc>
          <w:tcPr>
            <w:tcW w:w="0" w:type="auto"/>
            <w:vAlign w:val="center"/>
          </w:tcPr>
          <w:p w14:paraId="20A5DB49" w14:textId="17407B4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15DA555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7407B713"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7074C03"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DFBEF86"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520B8C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3382E2E0"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784A19" w14:textId="524F7D10"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IR</w:t>
            </w:r>
          </w:p>
        </w:tc>
        <w:tc>
          <w:tcPr>
            <w:tcW w:w="0" w:type="auto"/>
            <w:vAlign w:val="center"/>
          </w:tcPr>
          <w:p w14:paraId="21BF437A" w14:textId="2E8A37C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0.17</w:t>
            </w:r>
          </w:p>
        </w:tc>
        <w:tc>
          <w:tcPr>
            <w:tcW w:w="0" w:type="auto"/>
            <w:vAlign w:val="center"/>
          </w:tcPr>
          <w:p w14:paraId="418C611C" w14:textId="27536C9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0.11</w:t>
            </w:r>
          </w:p>
        </w:tc>
        <w:tc>
          <w:tcPr>
            <w:tcW w:w="0" w:type="auto"/>
            <w:vAlign w:val="center"/>
          </w:tcPr>
          <w:p w14:paraId="41764095" w14:textId="5B5B7C6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0.17</w:t>
            </w:r>
          </w:p>
        </w:tc>
        <w:tc>
          <w:tcPr>
            <w:tcW w:w="0" w:type="auto"/>
            <w:vAlign w:val="center"/>
          </w:tcPr>
          <w:p w14:paraId="70986858" w14:textId="5C5FC89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-0.28</w:t>
            </w:r>
          </w:p>
        </w:tc>
        <w:tc>
          <w:tcPr>
            <w:tcW w:w="0" w:type="auto"/>
            <w:vAlign w:val="center"/>
          </w:tcPr>
          <w:p w14:paraId="21E7FE78" w14:textId="6AACB53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0.14</w:t>
            </w:r>
          </w:p>
        </w:tc>
        <w:tc>
          <w:tcPr>
            <w:tcW w:w="0" w:type="auto"/>
            <w:vAlign w:val="center"/>
          </w:tcPr>
          <w:p w14:paraId="5C19F6DE" w14:textId="1A8E080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0.00*</w:t>
            </w:r>
          </w:p>
        </w:tc>
        <w:tc>
          <w:tcPr>
            <w:tcW w:w="0" w:type="auto"/>
            <w:vAlign w:val="center"/>
          </w:tcPr>
          <w:p w14:paraId="6B20821B" w14:textId="1F016A0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0.15</w:t>
            </w:r>
          </w:p>
        </w:tc>
        <w:tc>
          <w:tcPr>
            <w:tcW w:w="0" w:type="auto"/>
            <w:vAlign w:val="center"/>
          </w:tcPr>
          <w:p w14:paraId="592C2F62" w14:textId="76F3D1C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0.30</w:t>
            </w:r>
          </w:p>
        </w:tc>
        <w:tc>
          <w:tcPr>
            <w:tcW w:w="0" w:type="auto"/>
            <w:vAlign w:val="center"/>
          </w:tcPr>
          <w:p w14:paraId="0F2299E5" w14:textId="0872F33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3D76B11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0D75BE51"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7912EAE9"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5CAE36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35EB5171"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4679E6" w14:textId="4E7DB0D1"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GTS</w:t>
            </w:r>
          </w:p>
        </w:tc>
        <w:tc>
          <w:tcPr>
            <w:tcW w:w="0" w:type="auto"/>
            <w:vAlign w:val="center"/>
          </w:tcPr>
          <w:p w14:paraId="0DBF542F" w14:textId="5C54B1F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-0.14</w:t>
            </w:r>
          </w:p>
        </w:tc>
        <w:tc>
          <w:tcPr>
            <w:tcW w:w="0" w:type="auto"/>
            <w:vAlign w:val="center"/>
          </w:tcPr>
          <w:p w14:paraId="000D4A92" w14:textId="1B56129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-0.16</w:t>
            </w:r>
          </w:p>
        </w:tc>
        <w:tc>
          <w:tcPr>
            <w:tcW w:w="0" w:type="auto"/>
            <w:vAlign w:val="center"/>
          </w:tcPr>
          <w:p w14:paraId="18F27F0F" w14:textId="5FC0D8C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-0.23</w:t>
            </w:r>
          </w:p>
        </w:tc>
        <w:tc>
          <w:tcPr>
            <w:tcW w:w="0" w:type="auto"/>
            <w:vAlign w:val="center"/>
          </w:tcPr>
          <w:p w14:paraId="2A0128E3" w14:textId="542AE36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0.37</w:t>
            </w:r>
          </w:p>
        </w:tc>
        <w:tc>
          <w:tcPr>
            <w:tcW w:w="0" w:type="auto"/>
            <w:vAlign w:val="center"/>
          </w:tcPr>
          <w:p w14:paraId="098A43B6" w14:textId="2970E2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-0.07</w:t>
            </w:r>
          </w:p>
        </w:tc>
        <w:tc>
          <w:tcPr>
            <w:tcW w:w="0" w:type="auto"/>
            <w:vAlign w:val="center"/>
          </w:tcPr>
          <w:p w14:paraId="185443B5" w14:textId="15C1FFB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0.03</w:t>
            </w:r>
          </w:p>
        </w:tc>
        <w:tc>
          <w:tcPr>
            <w:tcW w:w="0" w:type="auto"/>
            <w:vAlign w:val="center"/>
          </w:tcPr>
          <w:p w14:paraId="73B63F22" w14:textId="144C3F25"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-0.40</w:t>
            </w:r>
          </w:p>
        </w:tc>
        <w:tc>
          <w:tcPr>
            <w:tcW w:w="0" w:type="auto"/>
            <w:vAlign w:val="center"/>
          </w:tcPr>
          <w:p w14:paraId="31A0E706" w14:textId="02C349B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-0.18</w:t>
            </w:r>
          </w:p>
        </w:tc>
        <w:tc>
          <w:tcPr>
            <w:tcW w:w="0" w:type="auto"/>
            <w:vAlign w:val="center"/>
          </w:tcPr>
          <w:p w14:paraId="04CBABC6" w14:textId="5C92EE0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vAlign w:val="center"/>
          </w:tcPr>
          <w:p w14:paraId="14896F33" w14:textId="3B3B565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777BA7B4"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5DDD9CB9"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19D25A9F"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10BDEE0D"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A02110" w14:textId="46F5323E"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GCS</w:t>
            </w:r>
          </w:p>
        </w:tc>
        <w:tc>
          <w:tcPr>
            <w:tcW w:w="0" w:type="auto"/>
            <w:vAlign w:val="center"/>
          </w:tcPr>
          <w:p w14:paraId="5D212173" w14:textId="3D5DC679"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-0.19</w:t>
            </w:r>
          </w:p>
        </w:tc>
        <w:tc>
          <w:tcPr>
            <w:tcW w:w="0" w:type="auto"/>
            <w:vAlign w:val="center"/>
          </w:tcPr>
          <w:p w14:paraId="5B0D3349" w14:textId="3CBA0664"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-0.22</w:t>
            </w:r>
          </w:p>
        </w:tc>
        <w:tc>
          <w:tcPr>
            <w:tcW w:w="0" w:type="auto"/>
            <w:vAlign w:val="center"/>
          </w:tcPr>
          <w:p w14:paraId="247550B0" w14:textId="711A49BE"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-0.24</w:t>
            </w:r>
          </w:p>
        </w:tc>
        <w:tc>
          <w:tcPr>
            <w:tcW w:w="0" w:type="auto"/>
            <w:vAlign w:val="center"/>
          </w:tcPr>
          <w:p w14:paraId="43A52942" w14:textId="5872E3F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0.53</w:t>
            </w:r>
          </w:p>
        </w:tc>
        <w:tc>
          <w:tcPr>
            <w:tcW w:w="0" w:type="auto"/>
            <w:vAlign w:val="center"/>
          </w:tcPr>
          <w:p w14:paraId="322CA118" w14:textId="283F8F80"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vAlign w:val="center"/>
          </w:tcPr>
          <w:p w14:paraId="752CE092" w14:textId="2EC524D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vAlign w:val="center"/>
          </w:tcPr>
          <w:p w14:paraId="55B02C7C" w14:textId="4C1F2A4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-0.36</w:t>
            </w:r>
          </w:p>
        </w:tc>
        <w:tc>
          <w:tcPr>
            <w:tcW w:w="0" w:type="auto"/>
            <w:vAlign w:val="center"/>
          </w:tcPr>
          <w:p w14:paraId="62A77D2B" w14:textId="38484E5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-0.26</w:t>
            </w:r>
          </w:p>
        </w:tc>
        <w:tc>
          <w:tcPr>
            <w:tcW w:w="0" w:type="auto"/>
            <w:vAlign w:val="center"/>
          </w:tcPr>
          <w:p w14:paraId="4E79B895" w14:textId="4F023F9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-0.33</w:t>
            </w:r>
          </w:p>
        </w:tc>
        <w:tc>
          <w:tcPr>
            <w:tcW w:w="0" w:type="auto"/>
            <w:vAlign w:val="center"/>
          </w:tcPr>
          <w:p w14:paraId="2EAAFD6D" w14:textId="32EA2B7B"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0.84</w:t>
            </w:r>
          </w:p>
        </w:tc>
        <w:tc>
          <w:tcPr>
            <w:tcW w:w="0" w:type="auto"/>
            <w:vAlign w:val="center"/>
          </w:tcPr>
          <w:p w14:paraId="70C91B82" w14:textId="444EEF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6E312D0E"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vAlign w:val="center"/>
          </w:tcPr>
          <w:p w14:paraId="6F9A6267"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4C38267E"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621A19" w14:textId="47955914"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GKS</w:t>
            </w:r>
          </w:p>
        </w:tc>
        <w:tc>
          <w:tcPr>
            <w:tcW w:w="0" w:type="auto"/>
            <w:vAlign w:val="center"/>
          </w:tcPr>
          <w:p w14:paraId="0B9025D3" w14:textId="63A699C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0.08</w:t>
            </w:r>
          </w:p>
        </w:tc>
        <w:tc>
          <w:tcPr>
            <w:tcW w:w="0" w:type="auto"/>
            <w:vAlign w:val="center"/>
          </w:tcPr>
          <w:p w14:paraId="3407C2FB" w14:textId="14452D4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0.09</w:t>
            </w:r>
          </w:p>
        </w:tc>
        <w:tc>
          <w:tcPr>
            <w:tcW w:w="0" w:type="auto"/>
            <w:vAlign w:val="center"/>
          </w:tcPr>
          <w:p w14:paraId="28CFDAEC" w14:textId="4AF0080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-0.02</w:t>
            </w:r>
          </w:p>
        </w:tc>
        <w:tc>
          <w:tcPr>
            <w:tcW w:w="0" w:type="auto"/>
            <w:vAlign w:val="center"/>
          </w:tcPr>
          <w:p w14:paraId="490E4B01" w14:textId="4A9F505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-0.24</w:t>
            </w:r>
          </w:p>
        </w:tc>
        <w:tc>
          <w:tcPr>
            <w:tcW w:w="0" w:type="auto"/>
            <w:vAlign w:val="center"/>
          </w:tcPr>
          <w:p w14:paraId="446032D7" w14:textId="7506FDB2"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vAlign w:val="center"/>
          </w:tcPr>
          <w:p w14:paraId="398B34E7" w14:textId="6480860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0.062</w:t>
            </w:r>
          </w:p>
        </w:tc>
        <w:tc>
          <w:tcPr>
            <w:tcW w:w="0" w:type="auto"/>
            <w:vAlign w:val="center"/>
          </w:tcPr>
          <w:p w14:paraId="2C7950BE" w14:textId="62A6F78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vAlign w:val="center"/>
          </w:tcPr>
          <w:p w14:paraId="451B6629" w14:textId="48F2333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0.11</w:t>
            </w:r>
          </w:p>
        </w:tc>
        <w:tc>
          <w:tcPr>
            <w:tcW w:w="0" w:type="auto"/>
            <w:vAlign w:val="center"/>
          </w:tcPr>
          <w:p w14:paraId="472B0444" w14:textId="244DB2DC"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0.37</w:t>
            </w:r>
          </w:p>
        </w:tc>
        <w:tc>
          <w:tcPr>
            <w:tcW w:w="0" w:type="auto"/>
            <w:vAlign w:val="center"/>
          </w:tcPr>
          <w:p w14:paraId="584F8895" w14:textId="711EA41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0.36</w:t>
            </w:r>
          </w:p>
        </w:tc>
        <w:tc>
          <w:tcPr>
            <w:tcW w:w="0" w:type="auto"/>
            <w:vAlign w:val="center"/>
          </w:tcPr>
          <w:p w14:paraId="7E379AD6" w14:textId="326BC3E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-0.21</w:t>
            </w:r>
          </w:p>
        </w:tc>
        <w:tc>
          <w:tcPr>
            <w:tcW w:w="0" w:type="auto"/>
            <w:vAlign w:val="center"/>
          </w:tcPr>
          <w:p w14:paraId="363BF45C" w14:textId="3F2B20BA"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vAlign w:val="center"/>
          </w:tcPr>
          <w:p w14:paraId="351A4790" w14:textId="777777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373663" w:rsidRPr="00B57AB7" w14:paraId="51111E3E" w14:textId="77777777" w:rsidTr="00373663">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299F0B" w14:textId="478724F7" w:rsidR="00373663" w:rsidRPr="00B57AB7" w:rsidRDefault="00373663" w:rsidP="00373663">
            <w:pPr>
              <w:jc w:val="center"/>
              <w:rPr>
                <w:rFonts w:ascii="Garamond" w:hAnsi="Garamond"/>
                <w:sz w:val="20"/>
                <w:szCs w:val="20"/>
                <w:lang w:val="en-US"/>
              </w:rPr>
            </w:pPr>
            <w:r w:rsidRPr="00B57AB7">
              <w:rPr>
                <w:rFonts w:ascii="Garamond" w:hAnsi="Garamond"/>
                <w:sz w:val="20"/>
                <w:szCs w:val="20"/>
                <w:lang w:val="en-US"/>
              </w:rPr>
              <w:t>BRENT</w:t>
            </w:r>
          </w:p>
        </w:tc>
        <w:tc>
          <w:tcPr>
            <w:tcW w:w="0" w:type="auto"/>
            <w:vAlign w:val="center"/>
          </w:tcPr>
          <w:p w14:paraId="54C738B8" w14:textId="7E7CE5FD"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vAlign w:val="center"/>
          </w:tcPr>
          <w:p w14:paraId="79D7CEDF" w14:textId="02AA7AE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0.00*</w:t>
            </w:r>
          </w:p>
        </w:tc>
        <w:tc>
          <w:tcPr>
            <w:tcW w:w="0" w:type="auto"/>
            <w:vAlign w:val="center"/>
          </w:tcPr>
          <w:p w14:paraId="67282DA8" w14:textId="0BD061E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vAlign w:val="center"/>
          </w:tcPr>
          <w:p w14:paraId="0B6C6E8F" w14:textId="0BC125B6"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0.18</w:t>
            </w:r>
          </w:p>
        </w:tc>
        <w:tc>
          <w:tcPr>
            <w:tcW w:w="0" w:type="auto"/>
            <w:vAlign w:val="center"/>
          </w:tcPr>
          <w:p w14:paraId="59DA2656" w14:textId="698525A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vAlign w:val="center"/>
          </w:tcPr>
          <w:p w14:paraId="20FD8889" w14:textId="1AF1B3A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-0.08</w:t>
            </w:r>
          </w:p>
        </w:tc>
        <w:tc>
          <w:tcPr>
            <w:tcW w:w="0" w:type="auto"/>
            <w:vAlign w:val="center"/>
          </w:tcPr>
          <w:p w14:paraId="396BBAB3" w14:textId="654C466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-0.09</w:t>
            </w:r>
          </w:p>
        </w:tc>
        <w:tc>
          <w:tcPr>
            <w:tcW w:w="0" w:type="auto"/>
            <w:vAlign w:val="center"/>
          </w:tcPr>
          <w:p w14:paraId="74E63114" w14:textId="71D010B8"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0.17</w:t>
            </w:r>
          </w:p>
        </w:tc>
        <w:tc>
          <w:tcPr>
            <w:tcW w:w="0" w:type="auto"/>
            <w:vAlign w:val="center"/>
          </w:tcPr>
          <w:p w14:paraId="3DF5B41E" w14:textId="45E809E3"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-0.22</w:t>
            </w:r>
          </w:p>
        </w:tc>
        <w:tc>
          <w:tcPr>
            <w:tcW w:w="0" w:type="auto"/>
            <w:vAlign w:val="center"/>
          </w:tcPr>
          <w:p w14:paraId="160BB373" w14:textId="1B987677"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vAlign w:val="center"/>
          </w:tcPr>
          <w:p w14:paraId="59F0005E" w14:textId="53C3E691"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0.07</w:t>
            </w:r>
          </w:p>
        </w:tc>
        <w:tc>
          <w:tcPr>
            <w:tcW w:w="0" w:type="auto"/>
            <w:vAlign w:val="center"/>
          </w:tcPr>
          <w:p w14:paraId="674AFBD3" w14:textId="77F315C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vAlign w:val="center"/>
          </w:tcPr>
          <w:p w14:paraId="42ABBA26" w14:textId="50F4442F" w:rsidR="00373663" w:rsidRPr="00B57AB7" w:rsidRDefault="00373663" w:rsidP="00373663">
            <w:pPr>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r>
    </w:tbl>
    <w:p w14:paraId="638DC259" w14:textId="4689504E" w:rsidR="00373663" w:rsidRPr="00B57AB7" w:rsidRDefault="00373663" w:rsidP="00373663">
      <w:pPr>
        <w:widowControl w:val="0"/>
        <w:autoSpaceDE w:val="0"/>
        <w:autoSpaceDN w:val="0"/>
        <w:adjustRightInd w:val="0"/>
        <w:spacing w:before="120" w:after="120" w:line="276" w:lineRule="auto"/>
        <w:jc w:val="center"/>
        <w:rPr>
          <w:rFonts w:ascii="Garamond" w:hAnsi="Garamond"/>
          <w:lang w:val="en-US"/>
        </w:rPr>
      </w:pPr>
      <w:r w:rsidRPr="00B57AB7">
        <w:rPr>
          <w:rFonts w:ascii="Garamond" w:hAnsi="Garamond" w:cs="Arial"/>
          <w:sz w:val="18"/>
          <w:szCs w:val="18"/>
          <w:lang w:val="en-US"/>
        </w:rPr>
        <w:t>Note : * Negligent coefficient value. Not equal to zero</w:t>
      </w:r>
      <w:r w:rsidRPr="00B57AB7">
        <w:rPr>
          <w:rFonts w:ascii="Garamond" w:hAnsi="Garamond" w:cs="Arial"/>
          <w:sz w:val="18"/>
          <w:szCs w:val="18"/>
          <w:lang w:val="en-US"/>
        </w:rPr>
        <w:br/>
      </w:r>
      <w:r w:rsidRPr="00B57AB7">
        <w:rPr>
          <w:rFonts w:ascii="Garamond" w:hAnsi="Garamond" w:cs="Arial"/>
          <w:sz w:val="18"/>
          <w:szCs w:val="18"/>
          <w:lang w:val="en-US"/>
        </w:rPr>
        <w:br/>
      </w:r>
    </w:p>
    <w:p w14:paraId="1CDAAA36" w14:textId="0BC0A659" w:rsidR="00E07EB9" w:rsidRPr="00B57AB7" w:rsidRDefault="00E07EB9" w:rsidP="00373663">
      <w:pPr>
        <w:widowControl w:val="0"/>
        <w:autoSpaceDE w:val="0"/>
        <w:autoSpaceDN w:val="0"/>
        <w:adjustRightInd w:val="0"/>
        <w:spacing w:before="120" w:after="120" w:line="276" w:lineRule="auto"/>
        <w:jc w:val="center"/>
        <w:rPr>
          <w:rFonts w:ascii="Garamond" w:hAnsi="Garamond"/>
          <w:lang w:val="en-US"/>
        </w:rPr>
      </w:pPr>
    </w:p>
    <w:p w14:paraId="78BA57CE" w14:textId="1FC771E0" w:rsidR="00E07EB9" w:rsidRPr="00B57AB7" w:rsidRDefault="00E07EB9" w:rsidP="00373663">
      <w:pPr>
        <w:widowControl w:val="0"/>
        <w:autoSpaceDE w:val="0"/>
        <w:autoSpaceDN w:val="0"/>
        <w:adjustRightInd w:val="0"/>
        <w:spacing w:before="120" w:after="120" w:line="276" w:lineRule="auto"/>
        <w:jc w:val="center"/>
        <w:rPr>
          <w:rFonts w:ascii="Garamond" w:hAnsi="Garamond"/>
          <w:lang w:val="en-US"/>
        </w:rPr>
      </w:pPr>
    </w:p>
    <w:p w14:paraId="52FB5FCF" w14:textId="491425B9" w:rsidR="00657CFC" w:rsidRPr="00B57AB7" w:rsidRDefault="00657CFC" w:rsidP="00657CFC">
      <w:pPr>
        <w:pStyle w:val="Heading2"/>
        <w:rPr>
          <w:lang w:val="en-US"/>
        </w:rPr>
      </w:pPr>
      <w:r w:rsidRPr="00B57AB7">
        <w:rPr>
          <w:lang w:val="en-US"/>
        </w:rPr>
        <w:lastRenderedPageBreak/>
        <w:t>Appendix E</w:t>
      </w:r>
      <w:r w:rsidR="008C2294">
        <w:rPr>
          <w:lang w:val="en-US"/>
        </w:rPr>
        <w:t>3</w:t>
      </w:r>
      <w:r w:rsidRPr="00B57AB7">
        <w:rPr>
          <w:lang w:val="en-US"/>
        </w:rPr>
        <w:t>: The correlation matrix for oil importers</w:t>
      </w:r>
    </w:p>
    <w:p w14:paraId="7015B32F" w14:textId="77777777" w:rsidR="00657CFC" w:rsidRPr="00B57AB7" w:rsidRDefault="00657CFC" w:rsidP="00657CFC">
      <w:pPr>
        <w:autoSpaceDE w:val="0"/>
        <w:autoSpaceDN w:val="0"/>
        <w:adjustRightInd w:val="0"/>
        <w:spacing w:line="240" w:lineRule="auto"/>
        <w:rPr>
          <w:rFonts w:ascii="Garamond" w:hAnsi="Garamond" w:cs="Arial"/>
          <w:sz w:val="18"/>
          <w:szCs w:val="18"/>
          <w:lang w:val="en-US"/>
        </w:rPr>
      </w:pPr>
    </w:p>
    <w:tbl>
      <w:tblPr>
        <w:tblStyle w:val="ListTable7Colorful"/>
        <w:tblW w:w="0" w:type="auto"/>
        <w:jc w:val="center"/>
        <w:tblLook w:val="06A0" w:firstRow="1" w:lastRow="0" w:firstColumn="1" w:lastColumn="0" w:noHBand="1" w:noVBand="1"/>
      </w:tblPr>
      <w:tblGrid>
        <w:gridCol w:w="969"/>
        <w:gridCol w:w="668"/>
        <w:gridCol w:w="634"/>
        <w:gridCol w:w="945"/>
        <w:gridCol w:w="659"/>
        <w:gridCol w:w="624"/>
        <w:gridCol w:w="624"/>
        <w:gridCol w:w="772"/>
        <w:gridCol w:w="718"/>
        <w:gridCol w:w="624"/>
        <w:gridCol w:w="624"/>
        <w:gridCol w:w="624"/>
        <w:gridCol w:w="624"/>
        <w:gridCol w:w="884"/>
      </w:tblGrid>
      <w:tr w:rsidR="00657CFC" w:rsidRPr="00B57AB7" w14:paraId="66764834" w14:textId="77777777" w:rsidTr="00657CFC">
        <w:trPr>
          <w:cnfStyle w:val="100000000000" w:firstRow="1" w:lastRow="0" w:firstColumn="0" w:lastColumn="0" w:oddVBand="0" w:evenVBand="0" w:oddHBand="0" w:evenHBand="0" w:firstRowFirstColumn="0" w:firstRowLastColumn="0" w:lastRowFirstColumn="0" w:lastRowLastColumn="0"/>
          <w:trHeight w:val="204"/>
          <w:jc w:val="center"/>
        </w:trPr>
        <w:tc>
          <w:tcPr>
            <w:cnfStyle w:val="001000000100" w:firstRow="0" w:lastRow="0" w:firstColumn="1" w:lastColumn="0" w:oddVBand="0" w:evenVBand="0" w:oddHBand="0" w:evenHBand="0" w:firstRowFirstColumn="1" w:firstRowLastColumn="0" w:lastRowFirstColumn="0" w:lastRowLastColumn="0"/>
            <w:tcW w:w="0" w:type="auto"/>
          </w:tcPr>
          <w:p w14:paraId="0B8814AE" w14:textId="77777777"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Correlation</w:t>
            </w:r>
          </w:p>
        </w:tc>
        <w:tc>
          <w:tcPr>
            <w:tcW w:w="0" w:type="auto"/>
          </w:tcPr>
          <w:p w14:paraId="7E8DFB66" w14:textId="04073FE7"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ROA</w:t>
            </w:r>
          </w:p>
        </w:tc>
        <w:tc>
          <w:tcPr>
            <w:tcW w:w="0" w:type="auto"/>
          </w:tcPr>
          <w:p w14:paraId="27F26DFE" w14:textId="252B252F"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ROE</w:t>
            </w:r>
          </w:p>
        </w:tc>
        <w:tc>
          <w:tcPr>
            <w:tcW w:w="0" w:type="auto"/>
          </w:tcPr>
          <w:p w14:paraId="1A727F85" w14:textId="033E529F"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LENDG</w:t>
            </w:r>
          </w:p>
        </w:tc>
        <w:tc>
          <w:tcPr>
            <w:tcW w:w="0" w:type="auto"/>
          </w:tcPr>
          <w:p w14:paraId="3592C76A" w14:textId="5CD6B0D2"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SIZE</w:t>
            </w:r>
          </w:p>
        </w:tc>
        <w:tc>
          <w:tcPr>
            <w:tcW w:w="0" w:type="auto"/>
          </w:tcPr>
          <w:p w14:paraId="5AF90CE4" w14:textId="334A61F9"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LIQ</w:t>
            </w:r>
          </w:p>
        </w:tc>
        <w:tc>
          <w:tcPr>
            <w:tcW w:w="0" w:type="auto"/>
          </w:tcPr>
          <w:p w14:paraId="1F706970" w14:textId="479D66B2"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CAP</w:t>
            </w:r>
          </w:p>
        </w:tc>
        <w:tc>
          <w:tcPr>
            <w:tcW w:w="0" w:type="auto"/>
          </w:tcPr>
          <w:p w14:paraId="3689A2AA" w14:textId="7C79A150"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GDPG</w:t>
            </w:r>
          </w:p>
        </w:tc>
        <w:tc>
          <w:tcPr>
            <w:tcW w:w="0" w:type="auto"/>
          </w:tcPr>
          <w:p w14:paraId="59321758" w14:textId="612E746B"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INFR</w:t>
            </w:r>
          </w:p>
        </w:tc>
        <w:tc>
          <w:tcPr>
            <w:tcW w:w="0" w:type="auto"/>
          </w:tcPr>
          <w:p w14:paraId="71B65EA9" w14:textId="4E351E89"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IR</w:t>
            </w:r>
          </w:p>
        </w:tc>
        <w:tc>
          <w:tcPr>
            <w:tcW w:w="0" w:type="auto"/>
          </w:tcPr>
          <w:p w14:paraId="7C5A7579" w14:textId="66E15CA9"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GTS</w:t>
            </w:r>
          </w:p>
        </w:tc>
        <w:tc>
          <w:tcPr>
            <w:tcW w:w="0" w:type="auto"/>
          </w:tcPr>
          <w:p w14:paraId="35599B5E" w14:textId="6EACB900"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GCS</w:t>
            </w:r>
          </w:p>
        </w:tc>
        <w:tc>
          <w:tcPr>
            <w:tcW w:w="0" w:type="auto"/>
          </w:tcPr>
          <w:p w14:paraId="49AA3B17" w14:textId="73422DA2"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GKS</w:t>
            </w:r>
          </w:p>
        </w:tc>
        <w:tc>
          <w:tcPr>
            <w:tcW w:w="0" w:type="auto"/>
          </w:tcPr>
          <w:p w14:paraId="22A9C84F" w14:textId="4CDD8AC6" w:rsidR="00657CFC" w:rsidRPr="00B57AB7" w:rsidRDefault="00657CFC" w:rsidP="00657CFC">
            <w:pPr>
              <w:ind w:right="20"/>
              <w:jc w:val="center"/>
              <w:cnfStyle w:val="100000000000" w:firstRow="1" w:lastRow="0" w:firstColumn="0" w:lastColumn="0" w:oddVBand="0" w:evenVBand="0" w:oddHBand="0" w:evenHBand="0" w:firstRowFirstColumn="0" w:firstRowLastColumn="0" w:lastRowFirstColumn="0" w:lastRowLastColumn="0"/>
              <w:rPr>
                <w:rFonts w:ascii="Garamond" w:hAnsi="Garamond"/>
                <w:sz w:val="20"/>
                <w:szCs w:val="20"/>
                <w:lang w:val="en-US"/>
              </w:rPr>
            </w:pPr>
            <w:r w:rsidRPr="00B57AB7">
              <w:rPr>
                <w:rFonts w:ascii="Garamond" w:hAnsi="Garamond"/>
                <w:sz w:val="20"/>
                <w:szCs w:val="20"/>
                <w:lang w:val="en-US"/>
              </w:rPr>
              <w:t>BRENT</w:t>
            </w:r>
          </w:p>
        </w:tc>
      </w:tr>
      <w:tr w:rsidR="00657CFC" w:rsidRPr="00B57AB7" w14:paraId="52F6ECF4"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62BCD3FF" w14:textId="08F44960"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ROA</w:t>
            </w:r>
          </w:p>
        </w:tc>
        <w:tc>
          <w:tcPr>
            <w:tcW w:w="0" w:type="auto"/>
          </w:tcPr>
          <w:p w14:paraId="011DC711" w14:textId="72F5775D"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6E6A7A17"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5DAB6ED"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2A856C6"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F15B800"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F40E28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73FC2C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420A68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3A29A6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200B700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1D5EFB2"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759651E"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B8907A3"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07D34304"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65ED267A" w14:textId="1EAF906A"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ROE</w:t>
            </w:r>
          </w:p>
        </w:tc>
        <w:tc>
          <w:tcPr>
            <w:tcW w:w="0" w:type="auto"/>
          </w:tcPr>
          <w:p w14:paraId="55EA0E5B" w14:textId="4887279B"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0.67</w:t>
            </w:r>
          </w:p>
        </w:tc>
        <w:tc>
          <w:tcPr>
            <w:tcW w:w="0" w:type="auto"/>
          </w:tcPr>
          <w:p w14:paraId="0F359274" w14:textId="35C0980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1540140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64C361D"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44C4E8E0"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126BA42"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5C44A7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66ABFC7"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284C26BC"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C76D44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45BAD42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2B68C723"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DAC58B0"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7010A357"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4EBE934B" w14:textId="5044073E"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LENDG</w:t>
            </w:r>
          </w:p>
        </w:tc>
        <w:tc>
          <w:tcPr>
            <w:tcW w:w="0" w:type="auto"/>
          </w:tcPr>
          <w:p w14:paraId="00258FD9" w14:textId="1A4C6AE6" w:rsidR="00657CFC" w:rsidRPr="00D062DE"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b/>
                <w:bCs/>
                <w:sz w:val="20"/>
                <w:szCs w:val="20"/>
                <w:lang w:val="en-US"/>
              </w:rPr>
            </w:pPr>
            <w:r w:rsidRPr="00D062DE">
              <w:rPr>
                <w:rFonts w:ascii="Garamond" w:hAnsi="Garamond" w:cstheme="majorBidi"/>
                <w:b/>
                <w:bCs/>
                <w:sz w:val="20"/>
                <w:szCs w:val="20"/>
                <w:lang w:val="en-US"/>
              </w:rPr>
              <w:t>0.00*</w:t>
            </w:r>
          </w:p>
        </w:tc>
        <w:tc>
          <w:tcPr>
            <w:tcW w:w="0" w:type="auto"/>
          </w:tcPr>
          <w:p w14:paraId="3C0C2504" w14:textId="6EFC1EE9" w:rsidR="00657CFC" w:rsidRPr="00D062DE"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b/>
                <w:bCs/>
                <w:sz w:val="20"/>
                <w:szCs w:val="20"/>
                <w:lang w:val="en-US"/>
              </w:rPr>
            </w:pPr>
            <w:r w:rsidRPr="00D062DE">
              <w:rPr>
                <w:rFonts w:ascii="Garamond" w:hAnsi="Garamond" w:cstheme="majorBidi"/>
                <w:b/>
                <w:bCs/>
                <w:sz w:val="20"/>
                <w:szCs w:val="20"/>
                <w:lang w:val="en-US"/>
              </w:rPr>
              <w:t>0.04</w:t>
            </w:r>
          </w:p>
        </w:tc>
        <w:tc>
          <w:tcPr>
            <w:tcW w:w="0" w:type="auto"/>
          </w:tcPr>
          <w:p w14:paraId="38F4D23D" w14:textId="5D763B11"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23323079"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77A6247"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D193336"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1ACE43E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610ECD5"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25A8C63"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6C85FBE"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00DFB8E"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237846E9"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84527B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35973E9B"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49572BFA" w14:textId="6A21AF8F"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SIZE</w:t>
            </w:r>
          </w:p>
        </w:tc>
        <w:tc>
          <w:tcPr>
            <w:tcW w:w="0" w:type="auto"/>
          </w:tcPr>
          <w:p w14:paraId="303EFAE6" w14:textId="214CC3A9"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tcPr>
          <w:p w14:paraId="7B2C24AA" w14:textId="593AC8E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0.30</w:t>
            </w:r>
          </w:p>
        </w:tc>
        <w:tc>
          <w:tcPr>
            <w:tcW w:w="0" w:type="auto"/>
          </w:tcPr>
          <w:p w14:paraId="6787892A" w14:textId="36F4C3B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55A5F064" w14:textId="5913BB26"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5A0407E4"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7AF8E5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4F3A71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225F271B"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76BFE4B"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450741A9"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426ED5F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1147D2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A1292D0"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19189A79"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0649A2B1" w14:textId="2958F4CA"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LIQ</w:t>
            </w:r>
          </w:p>
        </w:tc>
        <w:tc>
          <w:tcPr>
            <w:tcW w:w="0" w:type="auto"/>
          </w:tcPr>
          <w:p w14:paraId="51F326BC" w14:textId="18FADF4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-0.15</w:t>
            </w:r>
          </w:p>
        </w:tc>
        <w:tc>
          <w:tcPr>
            <w:tcW w:w="0" w:type="auto"/>
          </w:tcPr>
          <w:p w14:paraId="7821CA3E" w14:textId="67050C3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tcPr>
          <w:p w14:paraId="4358A575" w14:textId="42F5CD30"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tcPr>
          <w:p w14:paraId="3AD059F0" w14:textId="664D6C83"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w:t>
            </w:r>
          </w:p>
        </w:tc>
        <w:tc>
          <w:tcPr>
            <w:tcW w:w="0" w:type="auto"/>
          </w:tcPr>
          <w:p w14:paraId="66171D42" w14:textId="3BC852CF"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1FCA5B59"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11F2E2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143ACA04"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2E64BD3E"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9BCB96E"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8229CDD"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2E86CF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19A9907C"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1F475DF3"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5FEADAFD" w14:textId="54B3BC2D"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CAP</w:t>
            </w:r>
          </w:p>
        </w:tc>
        <w:tc>
          <w:tcPr>
            <w:tcW w:w="0" w:type="auto"/>
          </w:tcPr>
          <w:p w14:paraId="4FDFFD3E" w14:textId="6B552EB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0.34</w:t>
            </w:r>
          </w:p>
        </w:tc>
        <w:tc>
          <w:tcPr>
            <w:tcW w:w="0" w:type="auto"/>
          </w:tcPr>
          <w:p w14:paraId="5F030B7D" w14:textId="49C93FA6"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-0.21</w:t>
            </w:r>
          </w:p>
        </w:tc>
        <w:tc>
          <w:tcPr>
            <w:tcW w:w="0" w:type="auto"/>
          </w:tcPr>
          <w:p w14:paraId="12DC9DB1" w14:textId="584741E8"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tcPr>
          <w:p w14:paraId="349A5CA1" w14:textId="40B84A8E"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-0.47</w:t>
            </w:r>
          </w:p>
        </w:tc>
        <w:tc>
          <w:tcPr>
            <w:tcW w:w="0" w:type="auto"/>
          </w:tcPr>
          <w:p w14:paraId="20E05159" w14:textId="1DEB10B1"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-0.03</w:t>
            </w:r>
          </w:p>
        </w:tc>
        <w:tc>
          <w:tcPr>
            <w:tcW w:w="0" w:type="auto"/>
          </w:tcPr>
          <w:p w14:paraId="589D9A66" w14:textId="7CA63BEF"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3139177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6452277"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54815F5"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497F330B"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2FD5FB13"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F0DC5B8"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E66F81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3C66E770"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0FEBE87B" w14:textId="0E46FF8A"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GDPG</w:t>
            </w:r>
          </w:p>
        </w:tc>
        <w:tc>
          <w:tcPr>
            <w:tcW w:w="0" w:type="auto"/>
          </w:tcPr>
          <w:p w14:paraId="684268CF" w14:textId="3FFBADD4"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tcPr>
          <w:p w14:paraId="56BBBAE5" w14:textId="216C10B2"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tcPr>
          <w:p w14:paraId="7AFDBA08" w14:textId="475639E4"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0.26</w:t>
            </w:r>
          </w:p>
        </w:tc>
        <w:tc>
          <w:tcPr>
            <w:tcW w:w="0" w:type="auto"/>
          </w:tcPr>
          <w:p w14:paraId="72D6B2C0" w14:textId="26F3EE4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319454AE" w14:textId="45B8482E"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0.19</w:t>
            </w:r>
          </w:p>
        </w:tc>
        <w:tc>
          <w:tcPr>
            <w:tcW w:w="0" w:type="auto"/>
          </w:tcPr>
          <w:p w14:paraId="22816477" w14:textId="6221037B"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-0.02</w:t>
            </w:r>
          </w:p>
        </w:tc>
        <w:tc>
          <w:tcPr>
            <w:tcW w:w="0" w:type="auto"/>
          </w:tcPr>
          <w:p w14:paraId="58F7E71F" w14:textId="59502DF0"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396A6B73"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42A8F6CA"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7107F5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EF141C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8748892"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79A7FB76"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040A5099"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52C97A0B" w14:textId="54C607E8"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INFR</w:t>
            </w:r>
          </w:p>
        </w:tc>
        <w:tc>
          <w:tcPr>
            <w:tcW w:w="0" w:type="auto"/>
          </w:tcPr>
          <w:p w14:paraId="165BE758" w14:textId="35486FC4"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0.32</w:t>
            </w:r>
          </w:p>
        </w:tc>
        <w:tc>
          <w:tcPr>
            <w:tcW w:w="0" w:type="auto"/>
          </w:tcPr>
          <w:p w14:paraId="5EC6CB4C" w14:textId="49193185"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0.6</w:t>
            </w:r>
          </w:p>
        </w:tc>
        <w:tc>
          <w:tcPr>
            <w:tcW w:w="0" w:type="auto"/>
          </w:tcPr>
          <w:p w14:paraId="0B720285" w14:textId="5F0AA370"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tcPr>
          <w:p w14:paraId="2FD76EFA" w14:textId="70D59160"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0.00*</w:t>
            </w:r>
          </w:p>
        </w:tc>
        <w:tc>
          <w:tcPr>
            <w:tcW w:w="0" w:type="auto"/>
          </w:tcPr>
          <w:p w14:paraId="76C92B4F" w14:textId="278F64C5"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tcPr>
          <w:p w14:paraId="1E8F6246" w14:textId="7143B984"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tcPr>
          <w:p w14:paraId="7DB9D28B" w14:textId="5293E5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0.19</w:t>
            </w:r>
          </w:p>
        </w:tc>
        <w:tc>
          <w:tcPr>
            <w:tcW w:w="0" w:type="auto"/>
          </w:tcPr>
          <w:p w14:paraId="5CCF2AC3" w14:textId="230F9146"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12A855E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EF366D0"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ABC1DBE"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5DCDD63E"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CA0E8A8"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6F49B7E0"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1AC2AFB6" w14:textId="4C2A20A7"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IR</w:t>
            </w:r>
          </w:p>
        </w:tc>
        <w:tc>
          <w:tcPr>
            <w:tcW w:w="0" w:type="auto"/>
          </w:tcPr>
          <w:p w14:paraId="39DBA073" w14:textId="16C81CAD"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0.18</w:t>
            </w:r>
          </w:p>
        </w:tc>
        <w:tc>
          <w:tcPr>
            <w:tcW w:w="0" w:type="auto"/>
          </w:tcPr>
          <w:p w14:paraId="39A7329F" w14:textId="4C37031D"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0.27</w:t>
            </w:r>
          </w:p>
        </w:tc>
        <w:tc>
          <w:tcPr>
            <w:tcW w:w="0" w:type="auto"/>
          </w:tcPr>
          <w:p w14:paraId="5E4DC53E" w14:textId="16D917A0"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-0.00*</w:t>
            </w:r>
          </w:p>
        </w:tc>
        <w:tc>
          <w:tcPr>
            <w:tcW w:w="0" w:type="auto"/>
          </w:tcPr>
          <w:p w14:paraId="6894C04D" w14:textId="1EBC2C3E"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-0.14</w:t>
            </w:r>
          </w:p>
        </w:tc>
        <w:tc>
          <w:tcPr>
            <w:tcW w:w="0" w:type="auto"/>
          </w:tcPr>
          <w:p w14:paraId="2DA22F94" w14:textId="49276F6E"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4207FFEE" w14:textId="23DD2CEE"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0.02</w:t>
            </w:r>
          </w:p>
        </w:tc>
        <w:tc>
          <w:tcPr>
            <w:tcW w:w="0" w:type="auto"/>
          </w:tcPr>
          <w:p w14:paraId="47F22C05" w14:textId="036EF404"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0.12</w:t>
            </w:r>
          </w:p>
        </w:tc>
        <w:tc>
          <w:tcPr>
            <w:tcW w:w="0" w:type="auto"/>
          </w:tcPr>
          <w:p w14:paraId="308F9E80" w14:textId="62B0D7F1"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0.45</w:t>
            </w:r>
          </w:p>
        </w:tc>
        <w:tc>
          <w:tcPr>
            <w:tcW w:w="0" w:type="auto"/>
          </w:tcPr>
          <w:p w14:paraId="10C05072" w14:textId="17FC1F3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3CDAE4E1"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348B5FC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1E75A65"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0383B880"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4D8FE45B"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7A20011C" w14:textId="07338A8D"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GTS</w:t>
            </w:r>
          </w:p>
        </w:tc>
        <w:tc>
          <w:tcPr>
            <w:tcW w:w="0" w:type="auto"/>
          </w:tcPr>
          <w:p w14:paraId="38D78F60" w14:textId="36B14914"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tcPr>
          <w:p w14:paraId="40A4279F" w14:textId="757F5775"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tcPr>
          <w:p w14:paraId="7490DF1E" w14:textId="1D06297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tcPr>
          <w:p w14:paraId="74CC725D" w14:textId="1A1B5F62"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-0.15</w:t>
            </w:r>
          </w:p>
        </w:tc>
        <w:tc>
          <w:tcPr>
            <w:tcW w:w="0" w:type="auto"/>
          </w:tcPr>
          <w:p w14:paraId="624C4C59" w14:textId="08EAB76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0.08</w:t>
            </w:r>
          </w:p>
        </w:tc>
        <w:tc>
          <w:tcPr>
            <w:tcW w:w="0" w:type="auto"/>
          </w:tcPr>
          <w:p w14:paraId="2419E832" w14:textId="344617EF"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10ED954B" w14:textId="4FF19F09"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0.18</w:t>
            </w:r>
          </w:p>
        </w:tc>
        <w:tc>
          <w:tcPr>
            <w:tcW w:w="0" w:type="auto"/>
          </w:tcPr>
          <w:p w14:paraId="05850A88" w14:textId="6387901F"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w:t>
            </w:r>
          </w:p>
        </w:tc>
        <w:tc>
          <w:tcPr>
            <w:tcW w:w="0" w:type="auto"/>
          </w:tcPr>
          <w:p w14:paraId="5BF1C44B" w14:textId="4C12D0B6"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0.38</w:t>
            </w:r>
          </w:p>
        </w:tc>
        <w:tc>
          <w:tcPr>
            <w:tcW w:w="0" w:type="auto"/>
          </w:tcPr>
          <w:p w14:paraId="6504569F" w14:textId="278230B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727C08BF"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1B687250"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10F62255"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055A8CE9"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243849DB" w14:textId="5F56FB91"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GCS</w:t>
            </w:r>
          </w:p>
        </w:tc>
        <w:tc>
          <w:tcPr>
            <w:tcW w:w="0" w:type="auto"/>
          </w:tcPr>
          <w:p w14:paraId="1E762563" w14:textId="114BCF95"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3584FDBD" w14:textId="2A46CCD8"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0.11</w:t>
            </w:r>
          </w:p>
        </w:tc>
        <w:tc>
          <w:tcPr>
            <w:tcW w:w="0" w:type="auto"/>
          </w:tcPr>
          <w:p w14:paraId="4A070D08" w14:textId="7F8418D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tcPr>
          <w:p w14:paraId="0B8BCFCA" w14:textId="0F8C72C3"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-0.16</w:t>
            </w:r>
          </w:p>
        </w:tc>
        <w:tc>
          <w:tcPr>
            <w:tcW w:w="0" w:type="auto"/>
          </w:tcPr>
          <w:p w14:paraId="0DAF30BB" w14:textId="06481784"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-0.03</w:t>
            </w:r>
          </w:p>
        </w:tc>
        <w:tc>
          <w:tcPr>
            <w:tcW w:w="0" w:type="auto"/>
          </w:tcPr>
          <w:p w14:paraId="14ED4031" w14:textId="7FAB0B8B"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6CC44B80" w14:textId="44641E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tcPr>
          <w:p w14:paraId="41915414" w14:textId="502A77DD"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w:t>
            </w:r>
          </w:p>
        </w:tc>
        <w:tc>
          <w:tcPr>
            <w:tcW w:w="0" w:type="auto"/>
          </w:tcPr>
          <w:p w14:paraId="7F53505D" w14:textId="3991F440"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0.49</w:t>
            </w:r>
          </w:p>
        </w:tc>
        <w:tc>
          <w:tcPr>
            <w:tcW w:w="0" w:type="auto"/>
          </w:tcPr>
          <w:p w14:paraId="3A3EFC77" w14:textId="11204D49"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0.83</w:t>
            </w:r>
          </w:p>
        </w:tc>
        <w:tc>
          <w:tcPr>
            <w:tcW w:w="0" w:type="auto"/>
          </w:tcPr>
          <w:p w14:paraId="1D6844AA" w14:textId="03337263"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441EE2A8"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c>
          <w:tcPr>
            <w:tcW w:w="0" w:type="auto"/>
          </w:tcPr>
          <w:p w14:paraId="6FEA2A02"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05F7D549"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7DDC759F" w14:textId="26FDDA4B"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GKS</w:t>
            </w:r>
          </w:p>
        </w:tc>
        <w:tc>
          <w:tcPr>
            <w:tcW w:w="0" w:type="auto"/>
          </w:tcPr>
          <w:p w14:paraId="0D9950B2" w14:textId="2467525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tcPr>
          <w:p w14:paraId="4DB980EC" w14:textId="792D5055"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-0.04</w:t>
            </w:r>
          </w:p>
        </w:tc>
        <w:tc>
          <w:tcPr>
            <w:tcW w:w="0" w:type="auto"/>
          </w:tcPr>
          <w:p w14:paraId="6093C9C8" w14:textId="09B9FCC0"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-0.03</w:t>
            </w:r>
          </w:p>
        </w:tc>
        <w:tc>
          <w:tcPr>
            <w:tcW w:w="0" w:type="auto"/>
          </w:tcPr>
          <w:p w14:paraId="20B0D4A6" w14:textId="5459AE9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0.06</w:t>
            </w:r>
          </w:p>
        </w:tc>
        <w:tc>
          <w:tcPr>
            <w:tcW w:w="0" w:type="auto"/>
          </w:tcPr>
          <w:p w14:paraId="3ADAB9B9" w14:textId="1676A605"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0.18</w:t>
            </w:r>
          </w:p>
        </w:tc>
        <w:tc>
          <w:tcPr>
            <w:tcW w:w="0" w:type="auto"/>
          </w:tcPr>
          <w:p w14:paraId="7413CABE" w14:textId="4AD8F13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-0.09</w:t>
            </w:r>
          </w:p>
        </w:tc>
        <w:tc>
          <w:tcPr>
            <w:tcW w:w="0" w:type="auto"/>
          </w:tcPr>
          <w:p w14:paraId="3655C160" w14:textId="36682963"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0.20</w:t>
            </w:r>
          </w:p>
        </w:tc>
        <w:tc>
          <w:tcPr>
            <w:tcW w:w="0" w:type="auto"/>
          </w:tcPr>
          <w:p w14:paraId="12E85E83" w14:textId="7552A9D2"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-0.023</w:t>
            </w:r>
          </w:p>
        </w:tc>
        <w:tc>
          <w:tcPr>
            <w:tcW w:w="0" w:type="auto"/>
          </w:tcPr>
          <w:p w14:paraId="777E8ADF" w14:textId="2F53FE03"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-0.31</w:t>
            </w:r>
          </w:p>
        </w:tc>
        <w:tc>
          <w:tcPr>
            <w:tcW w:w="0" w:type="auto"/>
          </w:tcPr>
          <w:p w14:paraId="4CA2918F" w14:textId="1F4195A8"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13B7013B" w14:textId="67646269"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-0.57</w:t>
            </w:r>
          </w:p>
        </w:tc>
        <w:tc>
          <w:tcPr>
            <w:tcW w:w="0" w:type="auto"/>
          </w:tcPr>
          <w:p w14:paraId="6EB6E596" w14:textId="75F73EF8"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c>
          <w:tcPr>
            <w:tcW w:w="0" w:type="auto"/>
          </w:tcPr>
          <w:p w14:paraId="79928B53" w14:textId="77777777"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p>
        </w:tc>
      </w:tr>
      <w:tr w:rsidR="00657CFC" w:rsidRPr="00B57AB7" w14:paraId="49BF9B60" w14:textId="77777777" w:rsidTr="00657CFC">
        <w:trPr>
          <w:trHeight w:val="204"/>
          <w:jc w:val="center"/>
        </w:trPr>
        <w:tc>
          <w:tcPr>
            <w:cnfStyle w:val="001000000000" w:firstRow="0" w:lastRow="0" w:firstColumn="1" w:lastColumn="0" w:oddVBand="0" w:evenVBand="0" w:oddHBand="0" w:evenHBand="0" w:firstRowFirstColumn="0" w:firstRowLastColumn="0" w:lastRowFirstColumn="0" w:lastRowLastColumn="0"/>
            <w:tcW w:w="0" w:type="auto"/>
          </w:tcPr>
          <w:p w14:paraId="0FBDF4D0" w14:textId="73AC494F" w:rsidR="00657CFC" w:rsidRPr="00B57AB7" w:rsidRDefault="00657CFC" w:rsidP="00657CFC">
            <w:pPr>
              <w:jc w:val="center"/>
              <w:rPr>
                <w:rFonts w:ascii="Garamond" w:hAnsi="Garamond"/>
                <w:sz w:val="20"/>
                <w:szCs w:val="20"/>
                <w:lang w:val="en-US"/>
              </w:rPr>
            </w:pPr>
            <w:r w:rsidRPr="00B57AB7">
              <w:rPr>
                <w:rFonts w:ascii="Garamond" w:hAnsi="Garamond"/>
                <w:sz w:val="20"/>
                <w:szCs w:val="20"/>
                <w:lang w:val="en-US"/>
              </w:rPr>
              <w:t>BRENT</w:t>
            </w:r>
          </w:p>
        </w:tc>
        <w:tc>
          <w:tcPr>
            <w:tcW w:w="0" w:type="auto"/>
          </w:tcPr>
          <w:p w14:paraId="0565983F" w14:textId="2ACF54F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0.09</w:t>
            </w:r>
          </w:p>
        </w:tc>
        <w:tc>
          <w:tcPr>
            <w:tcW w:w="0" w:type="auto"/>
          </w:tcPr>
          <w:p w14:paraId="258E63B5" w14:textId="5A6FD339"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0.08</w:t>
            </w:r>
          </w:p>
        </w:tc>
        <w:tc>
          <w:tcPr>
            <w:tcW w:w="0" w:type="auto"/>
          </w:tcPr>
          <w:p w14:paraId="6293E0C8" w14:textId="739BBF86"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0.10</w:t>
            </w:r>
          </w:p>
        </w:tc>
        <w:tc>
          <w:tcPr>
            <w:tcW w:w="0" w:type="auto"/>
          </w:tcPr>
          <w:p w14:paraId="5E23442D" w14:textId="2220834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tcPr>
          <w:p w14:paraId="09FB654B" w14:textId="60CBBD8B"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-0.19</w:t>
            </w:r>
          </w:p>
        </w:tc>
        <w:tc>
          <w:tcPr>
            <w:tcW w:w="0" w:type="auto"/>
          </w:tcPr>
          <w:p w14:paraId="0C6993CA" w14:textId="0ED6DFE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-0.05</w:t>
            </w:r>
          </w:p>
        </w:tc>
        <w:tc>
          <w:tcPr>
            <w:tcW w:w="0" w:type="auto"/>
          </w:tcPr>
          <w:p w14:paraId="49575FEF" w14:textId="35591AD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-0.01</w:t>
            </w:r>
          </w:p>
        </w:tc>
        <w:tc>
          <w:tcPr>
            <w:tcW w:w="0" w:type="auto"/>
          </w:tcPr>
          <w:p w14:paraId="38082C77" w14:textId="14DCB09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0.27</w:t>
            </w:r>
          </w:p>
        </w:tc>
        <w:tc>
          <w:tcPr>
            <w:tcW w:w="0" w:type="auto"/>
          </w:tcPr>
          <w:p w14:paraId="2C9EA680" w14:textId="44448CD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-0.35</w:t>
            </w:r>
          </w:p>
        </w:tc>
        <w:tc>
          <w:tcPr>
            <w:tcW w:w="0" w:type="auto"/>
          </w:tcPr>
          <w:p w14:paraId="5D664B19" w14:textId="321700FC"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0.02</w:t>
            </w:r>
          </w:p>
        </w:tc>
        <w:tc>
          <w:tcPr>
            <w:tcW w:w="0" w:type="auto"/>
          </w:tcPr>
          <w:p w14:paraId="385BECAD" w14:textId="1913EFEF"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0.12</w:t>
            </w:r>
          </w:p>
        </w:tc>
        <w:tc>
          <w:tcPr>
            <w:tcW w:w="0" w:type="auto"/>
          </w:tcPr>
          <w:p w14:paraId="39938695" w14:textId="67B8013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-0.18</w:t>
            </w:r>
          </w:p>
        </w:tc>
        <w:tc>
          <w:tcPr>
            <w:tcW w:w="0" w:type="auto"/>
          </w:tcPr>
          <w:p w14:paraId="6B9EE4E2" w14:textId="58F19FAA" w:rsidR="00657CFC" w:rsidRPr="00B57AB7" w:rsidRDefault="00657CFC" w:rsidP="00657CFC">
            <w:pPr>
              <w:ind w:right="2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sz w:val="20"/>
                <w:szCs w:val="20"/>
                <w:lang w:val="en-US"/>
              </w:rPr>
            </w:pPr>
            <w:r w:rsidRPr="00B57AB7">
              <w:rPr>
                <w:rFonts w:ascii="Garamond" w:hAnsi="Garamond" w:cstheme="majorBidi"/>
                <w:sz w:val="20"/>
                <w:szCs w:val="20"/>
                <w:lang w:val="en-US"/>
              </w:rPr>
              <w:t>1</w:t>
            </w:r>
          </w:p>
        </w:tc>
      </w:tr>
    </w:tbl>
    <w:p w14:paraId="4168518D" w14:textId="56B893A8" w:rsidR="00E07EB9" w:rsidRPr="00B57AB7" w:rsidRDefault="00657CFC" w:rsidP="00657CFC">
      <w:pPr>
        <w:rPr>
          <w:rFonts w:ascii="Garamond" w:hAnsi="Garamond"/>
        </w:rPr>
      </w:pPr>
      <w:r w:rsidRPr="00B57AB7">
        <w:rPr>
          <w:rFonts w:ascii="Garamond" w:hAnsi="Garamond" w:cs="Arial"/>
          <w:sz w:val="18"/>
          <w:szCs w:val="18"/>
        </w:rPr>
        <w:br/>
      </w:r>
    </w:p>
    <w:sectPr w:rsidR="00E07EB9" w:rsidRPr="00B57AB7" w:rsidSect="00CA49A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687F" w14:textId="77777777" w:rsidR="00F81936" w:rsidRDefault="00F81936" w:rsidP="00B47760">
      <w:pPr>
        <w:spacing w:line="240" w:lineRule="auto"/>
      </w:pPr>
      <w:r>
        <w:separator/>
      </w:r>
    </w:p>
  </w:endnote>
  <w:endnote w:type="continuationSeparator" w:id="0">
    <w:p w14:paraId="49283675" w14:textId="77777777" w:rsidR="00F81936" w:rsidRDefault="00F81936" w:rsidP="00B47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969"/>
      <w:docPartObj>
        <w:docPartGallery w:val="Page Numbers (Bottom of Page)"/>
        <w:docPartUnique/>
      </w:docPartObj>
    </w:sdtPr>
    <w:sdtEndPr>
      <w:rPr>
        <w:noProof/>
      </w:rPr>
    </w:sdtEndPr>
    <w:sdtContent>
      <w:p w14:paraId="57DD40AE" w14:textId="0B3437A5" w:rsidR="004A3A66" w:rsidRDefault="004A3A66">
        <w:pPr>
          <w:pStyle w:val="Footer"/>
          <w:jc w:val="right"/>
        </w:pPr>
        <w:r>
          <w:fldChar w:fldCharType="begin"/>
        </w:r>
        <w:r>
          <w:instrText xml:space="preserve"> PAGE   \* MERGEFORMAT </w:instrText>
        </w:r>
        <w:r>
          <w:fldChar w:fldCharType="separate"/>
        </w:r>
        <w:r w:rsidR="008E5FAF">
          <w:rPr>
            <w:noProof/>
          </w:rPr>
          <w:t>20</w:t>
        </w:r>
        <w:r>
          <w:rPr>
            <w:noProof/>
          </w:rPr>
          <w:fldChar w:fldCharType="end"/>
        </w:r>
      </w:p>
    </w:sdtContent>
  </w:sdt>
  <w:p w14:paraId="2D2E899C" w14:textId="77777777" w:rsidR="004A3A66" w:rsidRDefault="004A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0B1B" w14:textId="77777777" w:rsidR="00F81936" w:rsidRDefault="00F81936" w:rsidP="00B47760">
      <w:pPr>
        <w:spacing w:line="240" w:lineRule="auto"/>
      </w:pPr>
      <w:r>
        <w:separator/>
      </w:r>
    </w:p>
  </w:footnote>
  <w:footnote w:type="continuationSeparator" w:id="0">
    <w:p w14:paraId="3437EC93" w14:textId="77777777" w:rsidR="00F81936" w:rsidRDefault="00F81936" w:rsidP="00B47760">
      <w:pPr>
        <w:spacing w:line="240" w:lineRule="auto"/>
      </w:pPr>
      <w:r>
        <w:continuationSeparator/>
      </w:r>
    </w:p>
  </w:footnote>
  <w:footnote w:id="1">
    <w:p w14:paraId="65082DFF" w14:textId="3F2BF3F9" w:rsidR="004A3A66" w:rsidRPr="00491595" w:rsidRDefault="004A3A66">
      <w:pPr>
        <w:pStyle w:val="FootnoteText"/>
        <w:rPr>
          <w:rFonts w:ascii="Garamond" w:hAnsi="Garamond"/>
        </w:rPr>
      </w:pPr>
      <w:r w:rsidRPr="008E5FAF">
        <w:rPr>
          <w:rStyle w:val="FootnoteReference"/>
          <w:rFonts w:ascii="Garamond" w:hAnsi="Garamond"/>
        </w:rPr>
        <w:footnoteRef/>
      </w:r>
      <w:r w:rsidRPr="008E5FAF">
        <w:rPr>
          <w:rFonts w:ascii="Garamond" w:hAnsi="Garamond"/>
          <w:lang w:val="en-US"/>
        </w:rPr>
        <w:t xml:space="preserve"> Mohammed V University in Rabat, Morocco. </w:t>
      </w:r>
      <w:r w:rsidRPr="00491595">
        <w:rPr>
          <w:rFonts w:ascii="Garamond" w:hAnsi="Garamond"/>
        </w:rPr>
        <w:t>Email: ahmed_kchikeche@um5.ac.ma</w:t>
      </w:r>
    </w:p>
  </w:footnote>
  <w:footnote w:id="2">
    <w:p w14:paraId="7E313F0D" w14:textId="213C2DE7" w:rsidR="004A3A66" w:rsidRPr="00491595" w:rsidRDefault="004A3A66" w:rsidP="004A3A66">
      <w:pPr>
        <w:pStyle w:val="FootnoteText"/>
      </w:pPr>
      <w:r w:rsidRPr="008E5FAF">
        <w:rPr>
          <w:rStyle w:val="FootnoteReference"/>
          <w:rFonts w:ascii="Garamond" w:hAnsi="Garamond"/>
        </w:rPr>
        <w:footnoteRef/>
      </w:r>
      <w:r w:rsidRPr="00491595">
        <w:rPr>
          <w:rFonts w:ascii="Garamond" w:hAnsi="Garamond"/>
        </w:rPr>
        <w:t xml:space="preserve"> Email: assil.elmahmah@yahoo.fr</w:t>
      </w:r>
    </w:p>
  </w:footnote>
  <w:footnote w:id="3">
    <w:p w14:paraId="14F49F40" w14:textId="57584235" w:rsidR="004A3A66" w:rsidRPr="00BD2132" w:rsidRDefault="004A3A66" w:rsidP="00BD2132">
      <w:pPr>
        <w:pStyle w:val="FootnoteText"/>
        <w:jc w:val="both"/>
        <w:rPr>
          <w:rFonts w:ascii="Garamond" w:hAnsi="Garamond"/>
          <w:lang w:val="en-US"/>
        </w:rPr>
      </w:pPr>
      <w:r w:rsidRPr="00BD2132">
        <w:rPr>
          <w:rStyle w:val="FootnoteReference"/>
          <w:rFonts w:ascii="Garamond" w:hAnsi="Garamond"/>
        </w:rPr>
        <w:footnoteRef/>
      </w:r>
      <w:r w:rsidRPr="00BD2132">
        <w:rPr>
          <w:rFonts w:ascii="Garamond" w:hAnsi="Garamond"/>
          <w:lang w:val="en-US"/>
        </w:rPr>
        <w:t xml:space="preserve"> Due to data constraints, the MENA (Middle East and North Africa) group, in this paper, includes only 12 countries, namely Algeria, Bahrain, Egypt, Jordan, Kuwait, Lebanon, Morocco, Oman, Qatar, Saudi Arabia, Tunisia, and the United Arab Emirates.</w:t>
      </w:r>
    </w:p>
  </w:footnote>
  <w:footnote w:id="4">
    <w:p w14:paraId="523A0474" w14:textId="4D7EDD41" w:rsidR="004A3A66" w:rsidRPr="003D3D82" w:rsidRDefault="004A3A66" w:rsidP="003D3D82">
      <w:pPr>
        <w:pStyle w:val="FootnoteText"/>
        <w:jc w:val="both"/>
        <w:rPr>
          <w:lang w:val="en-US"/>
        </w:rPr>
      </w:pPr>
      <w:r>
        <w:rPr>
          <w:rStyle w:val="FootnoteReference"/>
        </w:rPr>
        <w:footnoteRef/>
      </w:r>
      <w:r w:rsidRPr="003D3D82">
        <w:rPr>
          <w:lang w:val="en-US"/>
        </w:rPr>
        <w:t xml:space="preserve"> </w:t>
      </w:r>
      <w:r w:rsidRPr="004A3A66">
        <w:rPr>
          <w:rFonts w:ascii="Garamond" w:hAnsi="Garamond"/>
          <w:lang w:val="en-US"/>
        </w:rPr>
        <w:t>Due to data constraints, the MENA (Middle East and North Africa) group, in this paper, includes only 12 countries, namely Algeria, Bahrain, Egypt, Jordan, Kuwait, Lebanon, Morocco, Oman, Qatar, Saudi Arabia, Tunisia, and the United Arab Emirates.</w:t>
      </w:r>
    </w:p>
  </w:footnote>
  <w:footnote w:id="5">
    <w:p w14:paraId="48F11512" w14:textId="112E8DEC" w:rsidR="004A3A66" w:rsidRPr="00BE442C" w:rsidRDefault="004A3A66">
      <w:pPr>
        <w:pStyle w:val="FootnoteText"/>
        <w:rPr>
          <w:rFonts w:ascii="Garamond" w:hAnsi="Garamond"/>
          <w:lang w:val="en-US"/>
        </w:rPr>
      </w:pPr>
      <w:r>
        <w:rPr>
          <w:rStyle w:val="FootnoteReference"/>
        </w:rPr>
        <w:footnoteRef/>
      </w:r>
      <w:r w:rsidRPr="004A3A66">
        <w:rPr>
          <w:lang w:val="en-US"/>
        </w:rPr>
        <w:t xml:space="preserve"> </w:t>
      </w:r>
      <w:r>
        <w:rPr>
          <w:rFonts w:ascii="Garamond" w:hAnsi="Garamond"/>
          <w:lang w:val="en-US"/>
        </w:rPr>
        <w:t>The results of the ADF test are not reported but are available from the author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82E"/>
    <w:multiLevelType w:val="hybridMultilevel"/>
    <w:tmpl w:val="F814D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FB78ED"/>
    <w:multiLevelType w:val="hybridMultilevel"/>
    <w:tmpl w:val="3CA4C2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5D0C07"/>
    <w:multiLevelType w:val="hybridMultilevel"/>
    <w:tmpl w:val="ACF83E2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A487E"/>
    <w:multiLevelType w:val="hybridMultilevel"/>
    <w:tmpl w:val="5C661BA0"/>
    <w:lvl w:ilvl="0" w:tplc="85A46F90">
      <w:start w:val="2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D96BF8"/>
    <w:multiLevelType w:val="hybridMultilevel"/>
    <w:tmpl w:val="CAAA7A54"/>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29A4"/>
    <w:multiLevelType w:val="hybridMultilevel"/>
    <w:tmpl w:val="5AC82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4"/>
  </w:num>
  <w:num w:numId="5">
    <w:abstractNumId w:val="2"/>
  </w:num>
  <w:num w:numId="6">
    <w:abstractNumId w:val="4"/>
  </w:num>
  <w:num w:numId="7">
    <w:abstractNumId w:val="2"/>
  </w:num>
  <w:num w:numId="8">
    <w:abstractNumId w:val="4"/>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N7UwtLCwMDU0tDRU0lEKTi0uzszPAykwNakFAAJJxkYtAAAA"/>
  </w:docVars>
  <w:rsids>
    <w:rsidRoot w:val="005B4EF7"/>
    <w:rsid w:val="000074AB"/>
    <w:rsid w:val="00012E46"/>
    <w:rsid w:val="000141C2"/>
    <w:rsid w:val="0001451F"/>
    <w:rsid w:val="000158CE"/>
    <w:rsid w:val="00042823"/>
    <w:rsid w:val="000563B2"/>
    <w:rsid w:val="00057EA5"/>
    <w:rsid w:val="0006543E"/>
    <w:rsid w:val="00091E50"/>
    <w:rsid w:val="0009317F"/>
    <w:rsid w:val="000B5022"/>
    <w:rsid w:val="000F18E0"/>
    <w:rsid w:val="000F1C87"/>
    <w:rsid w:val="001111F7"/>
    <w:rsid w:val="00112D4D"/>
    <w:rsid w:val="00134515"/>
    <w:rsid w:val="001446D5"/>
    <w:rsid w:val="0015465B"/>
    <w:rsid w:val="00171E34"/>
    <w:rsid w:val="001734D5"/>
    <w:rsid w:val="00183E4D"/>
    <w:rsid w:val="001A3A7A"/>
    <w:rsid w:val="001F0036"/>
    <w:rsid w:val="001F23BA"/>
    <w:rsid w:val="001F28E9"/>
    <w:rsid w:val="00230F15"/>
    <w:rsid w:val="00251EB7"/>
    <w:rsid w:val="00275952"/>
    <w:rsid w:val="00285578"/>
    <w:rsid w:val="002A0F4D"/>
    <w:rsid w:val="002A1D1D"/>
    <w:rsid w:val="002B29AB"/>
    <w:rsid w:val="002C2D79"/>
    <w:rsid w:val="002E207E"/>
    <w:rsid w:val="002E2A05"/>
    <w:rsid w:val="002F7A40"/>
    <w:rsid w:val="0031703F"/>
    <w:rsid w:val="00332343"/>
    <w:rsid w:val="003569CF"/>
    <w:rsid w:val="003636EC"/>
    <w:rsid w:val="00373663"/>
    <w:rsid w:val="00382AA4"/>
    <w:rsid w:val="003844B7"/>
    <w:rsid w:val="003D2A17"/>
    <w:rsid w:val="003D3D82"/>
    <w:rsid w:val="003D516A"/>
    <w:rsid w:val="003E1DC9"/>
    <w:rsid w:val="003F7C69"/>
    <w:rsid w:val="00400754"/>
    <w:rsid w:val="004022DF"/>
    <w:rsid w:val="00402B8E"/>
    <w:rsid w:val="00415C4E"/>
    <w:rsid w:val="00415E74"/>
    <w:rsid w:val="004228D8"/>
    <w:rsid w:val="00471E22"/>
    <w:rsid w:val="00491595"/>
    <w:rsid w:val="00495B9A"/>
    <w:rsid w:val="004A3A66"/>
    <w:rsid w:val="004A63F4"/>
    <w:rsid w:val="004D4BFB"/>
    <w:rsid w:val="00527757"/>
    <w:rsid w:val="00533F32"/>
    <w:rsid w:val="005349DA"/>
    <w:rsid w:val="00543094"/>
    <w:rsid w:val="00545C13"/>
    <w:rsid w:val="005567F4"/>
    <w:rsid w:val="005645BB"/>
    <w:rsid w:val="00566E0A"/>
    <w:rsid w:val="0059070F"/>
    <w:rsid w:val="005951A7"/>
    <w:rsid w:val="0059558F"/>
    <w:rsid w:val="00595B3E"/>
    <w:rsid w:val="00596BEF"/>
    <w:rsid w:val="005A3A08"/>
    <w:rsid w:val="005B4EF7"/>
    <w:rsid w:val="005C1EF6"/>
    <w:rsid w:val="005E2F9C"/>
    <w:rsid w:val="005E6202"/>
    <w:rsid w:val="005F2253"/>
    <w:rsid w:val="00607C9C"/>
    <w:rsid w:val="00614222"/>
    <w:rsid w:val="00624872"/>
    <w:rsid w:val="006310E4"/>
    <w:rsid w:val="00641CD7"/>
    <w:rsid w:val="00646153"/>
    <w:rsid w:val="006515B0"/>
    <w:rsid w:val="00653F71"/>
    <w:rsid w:val="00655A30"/>
    <w:rsid w:val="00657CFC"/>
    <w:rsid w:val="00682C65"/>
    <w:rsid w:val="006A29FD"/>
    <w:rsid w:val="006B0CBF"/>
    <w:rsid w:val="006C25CC"/>
    <w:rsid w:val="006C3B5F"/>
    <w:rsid w:val="006D3861"/>
    <w:rsid w:val="006E31F7"/>
    <w:rsid w:val="00706702"/>
    <w:rsid w:val="00714D67"/>
    <w:rsid w:val="00722F27"/>
    <w:rsid w:val="00731A6A"/>
    <w:rsid w:val="00737DEF"/>
    <w:rsid w:val="00740D53"/>
    <w:rsid w:val="00744C33"/>
    <w:rsid w:val="00747B1F"/>
    <w:rsid w:val="007A262E"/>
    <w:rsid w:val="007B0BC0"/>
    <w:rsid w:val="007C3E0F"/>
    <w:rsid w:val="007C45B8"/>
    <w:rsid w:val="007E13B8"/>
    <w:rsid w:val="007E15E5"/>
    <w:rsid w:val="008068D1"/>
    <w:rsid w:val="0082036D"/>
    <w:rsid w:val="008213CC"/>
    <w:rsid w:val="0086029E"/>
    <w:rsid w:val="0086029F"/>
    <w:rsid w:val="00885ABC"/>
    <w:rsid w:val="008C2294"/>
    <w:rsid w:val="008C5039"/>
    <w:rsid w:val="008D0D83"/>
    <w:rsid w:val="008D4112"/>
    <w:rsid w:val="008D6E9F"/>
    <w:rsid w:val="008E5FAF"/>
    <w:rsid w:val="009043A5"/>
    <w:rsid w:val="009377B5"/>
    <w:rsid w:val="00942B4A"/>
    <w:rsid w:val="009556D4"/>
    <w:rsid w:val="0096727D"/>
    <w:rsid w:val="00971C08"/>
    <w:rsid w:val="009723A8"/>
    <w:rsid w:val="009743DB"/>
    <w:rsid w:val="00982EC8"/>
    <w:rsid w:val="00983541"/>
    <w:rsid w:val="00986135"/>
    <w:rsid w:val="00987325"/>
    <w:rsid w:val="009A2E35"/>
    <w:rsid w:val="009C3484"/>
    <w:rsid w:val="00A23532"/>
    <w:rsid w:val="00A5728C"/>
    <w:rsid w:val="00A74E5B"/>
    <w:rsid w:val="00A75197"/>
    <w:rsid w:val="00A828F6"/>
    <w:rsid w:val="00A839E0"/>
    <w:rsid w:val="00AA2099"/>
    <w:rsid w:val="00AA6CFF"/>
    <w:rsid w:val="00AB0A18"/>
    <w:rsid w:val="00AB18FF"/>
    <w:rsid w:val="00AC1B45"/>
    <w:rsid w:val="00AE640B"/>
    <w:rsid w:val="00AE7FD6"/>
    <w:rsid w:val="00AF033F"/>
    <w:rsid w:val="00B0105E"/>
    <w:rsid w:val="00B078AA"/>
    <w:rsid w:val="00B21A80"/>
    <w:rsid w:val="00B258BB"/>
    <w:rsid w:val="00B45832"/>
    <w:rsid w:val="00B47760"/>
    <w:rsid w:val="00B53FF5"/>
    <w:rsid w:val="00B57AB7"/>
    <w:rsid w:val="00B66F90"/>
    <w:rsid w:val="00B72DF9"/>
    <w:rsid w:val="00B7563A"/>
    <w:rsid w:val="00BA535E"/>
    <w:rsid w:val="00BB090C"/>
    <w:rsid w:val="00BC6B2D"/>
    <w:rsid w:val="00BD2132"/>
    <w:rsid w:val="00BE1C6A"/>
    <w:rsid w:val="00BE442C"/>
    <w:rsid w:val="00C01769"/>
    <w:rsid w:val="00C05A22"/>
    <w:rsid w:val="00C25D35"/>
    <w:rsid w:val="00C3435A"/>
    <w:rsid w:val="00C4151B"/>
    <w:rsid w:val="00C4503C"/>
    <w:rsid w:val="00C45071"/>
    <w:rsid w:val="00C51FB2"/>
    <w:rsid w:val="00C52103"/>
    <w:rsid w:val="00C75BA2"/>
    <w:rsid w:val="00C81351"/>
    <w:rsid w:val="00C85894"/>
    <w:rsid w:val="00CA14BD"/>
    <w:rsid w:val="00CA1691"/>
    <w:rsid w:val="00CA49AC"/>
    <w:rsid w:val="00CB0EE8"/>
    <w:rsid w:val="00CC117C"/>
    <w:rsid w:val="00CD3854"/>
    <w:rsid w:val="00CD7B97"/>
    <w:rsid w:val="00D033BE"/>
    <w:rsid w:val="00D062DE"/>
    <w:rsid w:val="00D1280B"/>
    <w:rsid w:val="00D50854"/>
    <w:rsid w:val="00D528D8"/>
    <w:rsid w:val="00D67AEC"/>
    <w:rsid w:val="00D711E1"/>
    <w:rsid w:val="00D760AF"/>
    <w:rsid w:val="00D775A4"/>
    <w:rsid w:val="00D8149A"/>
    <w:rsid w:val="00D85342"/>
    <w:rsid w:val="00DB0D11"/>
    <w:rsid w:val="00DB427E"/>
    <w:rsid w:val="00DC0C68"/>
    <w:rsid w:val="00DE0EC5"/>
    <w:rsid w:val="00DF1172"/>
    <w:rsid w:val="00E0162C"/>
    <w:rsid w:val="00E07EB9"/>
    <w:rsid w:val="00E115EC"/>
    <w:rsid w:val="00E13B94"/>
    <w:rsid w:val="00E21FF1"/>
    <w:rsid w:val="00E244E2"/>
    <w:rsid w:val="00E43A4A"/>
    <w:rsid w:val="00E44DEF"/>
    <w:rsid w:val="00E50790"/>
    <w:rsid w:val="00E570A2"/>
    <w:rsid w:val="00E62A64"/>
    <w:rsid w:val="00E7203F"/>
    <w:rsid w:val="00E77A4E"/>
    <w:rsid w:val="00E82432"/>
    <w:rsid w:val="00E92178"/>
    <w:rsid w:val="00EB63C0"/>
    <w:rsid w:val="00EC2A22"/>
    <w:rsid w:val="00EC75D2"/>
    <w:rsid w:val="00ED20B3"/>
    <w:rsid w:val="00ED588F"/>
    <w:rsid w:val="00EE37E4"/>
    <w:rsid w:val="00EE37E6"/>
    <w:rsid w:val="00EE3F6F"/>
    <w:rsid w:val="00EF0439"/>
    <w:rsid w:val="00EF1B8F"/>
    <w:rsid w:val="00EF267B"/>
    <w:rsid w:val="00EF33ED"/>
    <w:rsid w:val="00EF380E"/>
    <w:rsid w:val="00F21D2B"/>
    <w:rsid w:val="00F35E62"/>
    <w:rsid w:val="00F40976"/>
    <w:rsid w:val="00F41596"/>
    <w:rsid w:val="00F44BE6"/>
    <w:rsid w:val="00F45EA7"/>
    <w:rsid w:val="00F608C8"/>
    <w:rsid w:val="00F637C2"/>
    <w:rsid w:val="00F640BA"/>
    <w:rsid w:val="00F65B49"/>
    <w:rsid w:val="00F7099A"/>
    <w:rsid w:val="00F81936"/>
    <w:rsid w:val="00F8571D"/>
    <w:rsid w:val="00F9332A"/>
    <w:rsid w:val="00F9779B"/>
    <w:rsid w:val="00F97C0F"/>
    <w:rsid w:val="00FA3777"/>
    <w:rsid w:val="00FA3D7B"/>
    <w:rsid w:val="00FC0074"/>
    <w:rsid w:val="00FD6EB1"/>
    <w:rsid w:val="00FE6FBA"/>
    <w:rsid w:val="00FE7E9D"/>
    <w:rsid w:val="00FF0B88"/>
    <w:rsid w:val="00FF35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AA4D"/>
  <w15:chartTrackingRefBased/>
  <w15:docId w15:val="{81F6056E-1EE8-405D-8F21-F8A382D0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F7"/>
    <w:pPr>
      <w:spacing w:line="480" w:lineRule="auto"/>
    </w:pPr>
    <w:rPr>
      <w:sz w:val="24"/>
      <w:szCs w:val="24"/>
    </w:rPr>
  </w:style>
  <w:style w:type="paragraph" w:styleId="Heading1">
    <w:name w:val="heading 1"/>
    <w:basedOn w:val="Normal"/>
    <w:next w:val="Paragraph"/>
    <w:link w:val="Heading1Char"/>
    <w:qFormat/>
    <w:rsid w:val="00B7563A"/>
    <w:pPr>
      <w:keepNext/>
      <w:spacing w:before="360" w:after="60" w:line="360" w:lineRule="auto"/>
      <w:ind w:right="567"/>
      <w:contextualSpacing/>
      <w:outlineLvl w:val="0"/>
    </w:pPr>
    <w:rPr>
      <w:rFonts w:ascii="Garamond" w:hAnsi="Garamond" w:cs="Arial"/>
      <w:b/>
      <w:bCs/>
      <w:kern w:val="32"/>
      <w:sz w:val="28"/>
      <w:szCs w:val="32"/>
    </w:rPr>
  </w:style>
  <w:style w:type="paragraph" w:styleId="Heading2">
    <w:name w:val="heading 2"/>
    <w:basedOn w:val="Normal"/>
    <w:next w:val="Paragraph"/>
    <w:link w:val="Heading2Char"/>
    <w:qFormat/>
    <w:rsid w:val="00B7563A"/>
    <w:pPr>
      <w:keepNext/>
      <w:spacing w:before="360" w:after="60" w:line="360" w:lineRule="auto"/>
      <w:ind w:right="567"/>
      <w:contextualSpacing/>
      <w:outlineLvl w:val="1"/>
    </w:pPr>
    <w:rPr>
      <w:rFonts w:ascii="Garamond" w:hAnsi="Garamond" w:cs="Arial"/>
      <w:b/>
      <w:bCs/>
      <w:i/>
      <w:iCs/>
      <w:szCs w:val="28"/>
    </w:rPr>
  </w:style>
  <w:style w:type="paragraph" w:styleId="Heading3">
    <w:name w:val="heading 3"/>
    <w:basedOn w:val="Normal"/>
    <w:next w:val="Paragraph"/>
    <w:link w:val="Heading3Char"/>
    <w:qFormat/>
    <w:rsid w:val="005B4EF7"/>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5B4EF7"/>
    <w:pPr>
      <w:spacing w:after="120" w:line="360" w:lineRule="auto"/>
    </w:pPr>
    <w:rPr>
      <w:b/>
      <w:sz w:val="28"/>
    </w:rPr>
  </w:style>
  <w:style w:type="paragraph" w:customStyle="1" w:styleId="Authornames">
    <w:name w:val="Author names"/>
    <w:basedOn w:val="Normal"/>
    <w:next w:val="Normal"/>
    <w:qFormat/>
    <w:rsid w:val="005B4EF7"/>
    <w:pPr>
      <w:spacing w:before="240" w:line="360" w:lineRule="auto"/>
    </w:pPr>
    <w:rPr>
      <w:sz w:val="28"/>
    </w:rPr>
  </w:style>
  <w:style w:type="paragraph" w:customStyle="1" w:styleId="Affiliation">
    <w:name w:val="Affiliation"/>
    <w:basedOn w:val="Normal"/>
    <w:qFormat/>
    <w:rsid w:val="005B4EF7"/>
    <w:pPr>
      <w:spacing w:before="240" w:line="360" w:lineRule="auto"/>
    </w:pPr>
    <w:rPr>
      <w:i/>
    </w:rPr>
  </w:style>
  <w:style w:type="paragraph" w:customStyle="1" w:styleId="Receiveddates">
    <w:name w:val="Received dates"/>
    <w:basedOn w:val="Affiliation"/>
    <w:next w:val="Normal"/>
    <w:qFormat/>
    <w:rsid w:val="005B4EF7"/>
  </w:style>
  <w:style w:type="paragraph" w:customStyle="1" w:styleId="Abstract">
    <w:name w:val="Abstract"/>
    <w:basedOn w:val="Normal"/>
    <w:next w:val="Keywords"/>
    <w:qFormat/>
    <w:rsid w:val="005B4EF7"/>
    <w:pPr>
      <w:spacing w:before="360" w:after="300" w:line="360" w:lineRule="auto"/>
      <w:ind w:left="720" w:right="567"/>
    </w:pPr>
    <w:rPr>
      <w:sz w:val="22"/>
    </w:rPr>
  </w:style>
  <w:style w:type="paragraph" w:customStyle="1" w:styleId="Keywords">
    <w:name w:val="Keywords"/>
    <w:basedOn w:val="Normal"/>
    <w:next w:val="Paragraph"/>
    <w:qFormat/>
    <w:rsid w:val="005B4EF7"/>
    <w:pPr>
      <w:spacing w:before="240" w:after="240" w:line="360" w:lineRule="auto"/>
      <w:ind w:left="720" w:right="567"/>
    </w:pPr>
    <w:rPr>
      <w:sz w:val="22"/>
    </w:rPr>
  </w:style>
  <w:style w:type="paragraph" w:customStyle="1" w:styleId="Correspondencedetails">
    <w:name w:val="Correspondence details"/>
    <w:basedOn w:val="Normal"/>
    <w:qFormat/>
    <w:rsid w:val="005B4EF7"/>
    <w:pPr>
      <w:spacing w:before="240" w:line="360" w:lineRule="auto"/>
    </w:pPr>
  </w:style>
  <w:style w:type="paragraph" w:customStyle="1" w:styleId="Displayedquotation">
    <w:name w:val="Displayed quotation"/>
    <w:basedOn w:val="Normal"/>
    <w:qFormat/>
    <w:rsid w:val="005B4EF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5B4EF7"/>
    <w:pPr>
      <w:widowControl/>
      <w:numPr>
        <w:numId w:val="7"/>
      </w:numPr>
      <w:spacing w:after="240"/>
      <w:contextualSpacing/>
    </w:pPr>
  </w:style>
  <w:style w:type="paragraph" w:customStyle="1" w:styleId="Displayedequation">
    <w:name w:val="Displayed equation"/>
    <w:basedOn w:val="Normal"/>
    <w:next w:val="Paragraph"/>
    <w:qFormat/>
    <w:rsid w:val="005B4EF7"/>
    <w:pPr>
      <w:tabs>
        <w:tab w:val="center" w:pos="4253"/>
        <w:tab w:val="right" w:pos="8222"/>
      </w:tabs>
      <w:spacing w:before="240" w:after="240"/>
      <w:jc w:val="center"/>
    </w:pPr>
  </w:style>
  <w:style w:type="paragraph" w:customStyle="1" w:styleId="Acknowledgements">
    <w:name w:val="Acknowledgements"/>
    <w:basedOn w:val="Normal"/>
    <w:next w:val="Normal"/>
    <w:qFormat/>
    <w:rsid w:val="005B4EF7"/>
    <w:pPr>
      <w:spacing w:before="120" w:line="360" w:lineRule="auto"/>
    </w:pPr>
    <w:rPr>
      <w:sz w:val="22"/>
    </w:rPr>
  </w:style>
  <w:style w:type="paragraph" w:customStyle="1" w:styleId="Tabletitle">
    <w:name w:val="Table title"/>
    <w:basedOn w:val="Normal"/>
    <w:next w:val="Normal"/>
    <w:qFormat/>
    <w:rsid w:val="005B4EF7"/>
    <w:pPr>
      <w:spacing w:before="240" w:line="360" w:lineRule="auto"/>
    </w:pPr>
  </w:style>
  <w:style w:type="paragraph" w:customStyle="1" w:styleId="Figurecaption">
    <w:name w:val="Figure caption"/>
    <w:basedOn w:val="Normal"/>
    <w:next w:val="Normal"/>
    <w:qFormat/>
    <w:rsid w:val="005B4EF7"/>
    <w:pPr>
      <w:spacing w:before="240" w:line="360" w:lineRule="auto"/>
    </w:pPr>
  </w:style>
  <w:style w:type="paragraph" w:customStyle="1" w:styleId="Footnotes">
    <w:name w:val="Footnotes"/>
    <w:basedOn w:val="Normal"/>
    <w:qFormat/>
    <w:rsid w:val="005B4EF7"/>
    <w:pPr>
      <w:spacing w:before="120" w:line="360" w:lineRule="auto"/>
      <w:ind w:left="482" w:hanging="482"/>
      <w:contextualSpacing/>
    </w:pPr>
    <w:rPr>
      <w:sz w:val="22"/>
    </w:rPr>
  </w:style>
  <w:style w:type="paragraph" w:customStyle="1" w:styleId="Notesoncontributors">
    <w:name w:val="Notes on contributors"/>
    <w:basedOn w:val="Normal"/>
    <w:qFormat/>
    <w:rsid w:val="005B4EF7"/>
    <w:pPr>
      <w:spacing w:before="240" w:line="360" w:lineRule="auto"/>
    </w:pPr>
    <w:rPr>
      <w:sz w:val="22"/>
    </w:rPr>
  </w:style>
  <w:style w:type="paragraph" w:customStyle="1" w:styleId="Paragraph">
    <w:name w:val="Paragraph"/>
    <w:basedOn w:val="Normal"/>
    <w:next w:val="Newparagraph"/>
    <w:qFormat/>
    <w:rsid w:val="005B4EF7"/>
    <w:pPr>
      <w:widowControl w:val="0"/>
      <w:spacing w:before="240"/>
    </w:pPr>
  </w:style>
  <w:style w:type="paragraph" w:customStyle="1" w:styleId="Newparagraph">
    <w:name w:val="New paragraph"/>
    <w:basedOn w:val="Normal"/>
    <w:qFormat/>
    <w:rsid w:val="005B4EF7"/>
    <w:pPr>
      <w:ind w:firstLine="720"/>
    </w:pPr>
  </w:style>
  <w:style w:type="paragraph" w:customStyle="1" w:styleId="References">
    <w:name w:val="References"/>
    <w:basedOn w:val="Normal"/>
    <w:qFormat/>
    <w:rsid w:val="005B4EF7"/>
    <w:pPr>
      <w:spacing w:before="120" w:line="360" w:lineRule="auto"/>
      <w:ind w:left="720" w:hanging="720"/>
      <w:contextualSpacing/>
    </w:pPr>
  </w:style>
  <w:style w:type="paragraph" w:customStyle="1" w:styleId="Subjectcodes">
    <w:name w:val="Subject codes"/>
    <w:basedOn w:val="Keywords"/>
    <w:next w:val="Paragraph"/>
    <w:qFormat/>
    <w:rsid w:val="005B4EF7"/>
  </w:style>
  <w:style w:type="paragraph" w:customStyle="1" w:styleId="Bulletedlist">
    <w:name w:val="Bulleted list"/>
    <w:basedOn w:val="Paragraph"/>
    <w:next w:val="Paragraph"/>
    <w:qFormat/>
    <w:rsid w:val="005B4EF7"/>
    <w:pPr>
      <w:widowControl/>
      <w:numPr>
        <w:numId w:val="8"/>
      </w:numPr>
      <w:spacing w:after="240"/>
      <w:contextualSpacing/>
    </w:pPr>
  </w:style>
  <w:style w:type="paragraph" w:customStyle="1" w:styleId="Heading4Paragraph">
    <w:name w:val="Heading 4 + Paragraph"/>
    <w:basedOn w:val="Paragraph"/>
    <w:next w:val="Newparagraph"/>
    <w:qFormat/>
    <w:rsid w:val="005B4EF7"/>
    <w:pPr>
      <w:widowControl/>
      <w:spacing w:before="360"/>
    </w:pPr>
  </w:style>
  <w:style w:type="character" w:customStyle="1" w:styleId="Heading1Char">
    <w:name w:val="Heading 1 Char"/>
    <w:basedOn w:val="DefaultParagraphFont"/>
    <w:link w:val="Heading1"/>
    <w:rsid w:val="00B7563A"/>
    <w:rPr>
      <w:rFonts w:ascii="Garamond" w:hAnsi="Garamond" w:cs="Arial"/>
      <w:b/>
      <w:bCs/>
      <w:kern w:val="32"/>
      <w:sz w:val="28"/>
      <w:szCs w:val="32"/>
    </w:rPr>
  </w:style>
  <w:style w:type="character" w:customStyle="1" w:styleId="Heading2Char">
    <w:name w:val="Heading 2 Char"/>
    <w:basedOn w:val="DefaultParagraphFont"/>
    <w:link w:val="Heading2"/>
    <w:rsid w:val="00B7563A"/>
    <w:rPr>
      <w:rFonts w:ascii="Garamond" w:hAnsi="Garamond" w:cs="Arial"/>
      <w:b/>
      <w:bCs/>
      <w:i/>
      <w:iCs/>
      <w:sz w:val="24"/>
      <w:szCs w:val="28"/>
    </w:rPr>
  </w:style>
  <w:style w:type="character" w:customStyle="1" w:styleId="Heading3Char">
    <w:name w:val="Heading 3 Char"/>
    <w:basedOn w:val="DefaultParagraphFont"/>
    <w:link w:val="Heading3"/>
    <w:rsid w:val="005B4EF7"/>
    <w:rPr>
      <w:rFonts w:cs="Arial"/>
      <w:bCs/>
      <w:i/>
      <w:sz w:val="24"/>
      <w:szCs w:val="26"/>
    </w:rPr>
  </w:style>
  <w:style w:type="character" w:styleId="Emphasis">
    <w:name w:val="Emphasis"/>
    <w:basedOn w:val="DefaultParagraphFont"/>
    <w:uiPriority w:val="20"/>
    <w:qFormat/>
    <w:rsid w:val="005B4EF7"/>
    <w:rPr>
      <w:i/>
      <w:iCs/>
    </w:rPr>
  </w:style>
  <w:style w:type="paragraph" w:styleId="ListParagraph">
    <w:name w:val="List Paragraph"/>
    <w:basedOn w:val="Normal"/>
    <w:uiPriority w:val="34"/>
    <w:qFormat/>
    <w:rsid w:val="005B4EF7"/>
    <w:pPr>
      <w:spacing w:after="160" w:line="259" w:lineRule="auto"/>
      <w:ind w:left="720" w:firstLine="360"/>
      <w:contextualSpacing/>
      <w:jc w:val="both"/>
    </w:pPr>
    <w:rPr>
      <w:rFonts w:asciiTheme="majorBidi" w:eastAsiaTheme="minorHAnsi" w:hAnsiTheme="majorBidi" w:cstheme="majorBidi"/>
      <w:sz w:val="26"/>
      <w:szCs w:val="26"/>
    </w:rPr>
  </w:style>
  <w:style w:type="paragraph" w:styleId="Title">
    <w:name w:val="Title"/>
    <w:basedOn w:val="Normal"/>
    <w:next w:val="Normal"/>
    <w:link w:val="TitleChar"/>
    <w:uiPriority w:val="10"/>
    <w:rsid w:val="005B4EF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EF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C5039"/>
    <w:rPr>
      <w:color w:val="808080"/>
    </w:rPr>
  </w:style>
  <w:style w:type="paragraph" w:styleId="Header">
    <w:name w:val="header"/>
    <w:basedOn w:val="Normal"/>
    <w:link w:val="HeaderChar"/>
    <w:uiPriority w:val="99"/>
    <w:unhideWhenUsed/>
    <w:rsid w:val="00B47760"/>
    <w:pPr>
      <w:tabs>
        <w:tab w:val="center" w:pos="4536"/>
        <w:tab w:val="right" w:pos="9072"/>
      </w:tabs>
      <w:spacing w:line="240" w:lineRule="auto"/>
    </w:pPr>
  </w:style>
  <w:style w:type="character" w:customStyle="1" w:styleId="HeaderChar">
    <w:name w:val="Header Char"/>
    <w:basedOn w:val="DefaultParagraphFont"/>
    <w:link w:val="Header"/>
    <w:uiPriority w:val="99"/>
    <w:rsid w:val="00B47760"/>
    <w:rPr>
      <w:sz w:val="24"/>
      <w:szCs w:val="24"/>
    </w:rPr>
  </w:style>
  <w:style w:type="paragraph" w:styleId="Footer">
    <w:name w:val="footer"/>
    <w:basedOn w:val="Normal"/>
    <w:link w:val="FooterChar"/>
    <w:uiPriority w:val="99"/>
    <w:unhideWhenUsed/>
    <w:rsid w:val="00B47760"/>
    <w:pPr>
      <w:tabs>
        <w:tab w:val="center" w:pos="4536"/>
        <w:tab w:val="right" w:pos="9072"/>
      </w:tabs>
      <w:spacing w:line="240" w:lineRule="auto"/>
    </w:pPr>
  </w:style>
  <w:style w:type="character" w:customStyle="1" w:styleId="FooterChar">
    <w:name w:val="Footer Char"/>
    <w:basedOn w:val="DefaultParagraphFont"/>
    <w:link w:val="Footer"/>
    <w:uiPriority w:val="99"/>
    <w:rsid w:val="00B47760"/>
    <w:rPr>
      <w:sz w:val="24"/>
      <w:szCs w:val="24"/>
    </w:rPr>
  </w:style>
  <w:style w:type="table" w:styleId="TableGrid">
    <w:name w:val="Table Grid"/>
    <w:basedOn w:val="TableNormal"/>
    <w:uiPriority w:val="39"/>
    <w:rsid w:val="00F640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74E5B"/>
    <w:pPr>
      <w:spacing w:before="100" w:beforeAutospacing="1" w:line="240" w:lineRule="auto"/>
    </w:pPr>
    <w:rPr>
      <w:rFonts w:ascii="Consolas" w:eastAsia="Calibri" w:hAnsi="Consolas"/>
      <w:sz w:val="21"/>
      <w:szCs w:val="21"/>
      <w:lang w:val="en-US"/>
    </w:rPr>
  </w:style>
  <w:style w:type="character" w:customStyle="1" w:styleId="PlainTextChar">
    <w:name w:val="Plain Text Char"/>
    <w:basedOn w:val="DefaultParagraphFont"/>
    <w:link w:val="PlainText"/>
    <w:rsid w:val="00A74E5B"/>
    <w:rPr>
      <w:rFonts w:ascii="Consolas" w:eastAsia="Calibri" w:hAnsi="Consolas"/>
      <w:sz w:val="21"/>
      <w:szCs w:val="21"/>
      <w:lang w:val="en-US"/>
    </w:rPr>
  </w:style>
  <w:style w:type="paragraph" w:styleId="FootnoteText">
    <w:name w:val="footnote text"/>
    <w:basedOn w:val="Normal"/>
    <w:link w:val="FootnoteTextChar"/>
    <w:uiPriority w:val="99"/>
    <w:semiHidden/>
    <w:unhideWhenUsed/>
    <w:rsid w:val="002F7A40"/>
    <w:pPr>
      <w:spacing w:line="240" w:lineRule="auto"/>
    </w:pPr>
    <w:rPr>
      <w:sz w:val="20"/>
      <w:szCs w:val="20"/>
    </w:rPr>
  </w:style>
  <w:style w:type="character" w:customStyle="1" w:styleId="FootnoteTextChar">
    <w:name w:val="Footnote Text Char"/>
    <w:basedOn w:val="DefaultParagraphFont"/>
    <w:link w:val="FootnoteText"/>
    <w:uiPriority w:val="99"/>
    <w:semiHidden/>
    <w:rsid w:val="002F7A40"/>
  </w:style>
  <w:style w:type="character" w:styleId="FootnoteReference">
    <w:name w:val="footnote reference"/>
    <w:basedOn w:val="DefaultParagraphFont"/>
    <w:uiPriority w:val="99"/>
    <w:semiHidden/>
    <w:unhideWhenUsed/>
    <w:rsid w:val="002F7A40"/>
    <w:rPr>
      <w:vertAlign w:val="superscript"/>
    </w:rPr>
  </w:style>
  <w:style w:type="table" w:styleId="ListTable7Colorful">
    <w:name w:val="List Table 7 Colorful"/>
    <w:basedOn w:val="TableNormal"/>
    <w:uiPriority w:val="52"/>
    <w:rsid w:val="003736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657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682C65"/>
    <w:pPr>
      <w:spacing w:before="100" w:beforeAutospacing="1" w:after="100" w:afterAutospacing="1" w:line="240" w:lineRule="auto"/>
    </w:pPr>
    <w:rPr>
      <w:lang w:eastAsia="fr-FR"/>
    </w:rPr>
  </w:style>
  <w:style w:type="character" w:styleId="CommentReference">
    <w:name w:val="annotation reference"/>
    <w:basedOn w:val="DefaultParagraphFont"/>
    <w:uiPriority w:val="99"/>
    <w:semiHidden/>
    <w:unhideWhenUsed/>
    <w:rsid w:val="00CA49AC"/>
    <w:rPr>
      <w:sz w:val="16"/>
      <w:szCs w:val="16"/>
    </w:rPr>
  </w:style>
  <w:style w:type="paragraph" w:styleId="CommentText">
    <w:name w:val="annotation text"/>
    <w:basedOn w:val="Normal"/>
    <w:link w:val="CommentTextChar"/>
    <w:uiPriority w:val="99"/>
    <w:semiHidden/>
    <w:unhideWhenUsed/>
    <w:rsid w:val="00CA49AC"/>
    <w:pPr>
      <w:spacing w:line="240" w:lineRule="auto"/>
    </w:pPr>
    <w:rPr>
      <w:sz w:val="20"/>
      <w:szCs w:val="20"/>
    </w:rPr>
  </w:style>
  <w:style w:type="character" w:customStyle="1" w:styleId="CommentTextChar">
    <w:name w:val="Comment Text Char"/>
    <w:basedOn w:val="DefaultParagraphFont"/>
    <w:link w:val="CommentText"/>
    <w:uiPriority w:val="99"/>
    <w:semiHidden/>
    <w:rsid w:val="00CA49AC"/>
  </w:style>
  <w:style w:type="paragraph" w:styleId="CommentSubject">
    <w:name w:val="annotation subject"/>
    <w:basedOn w:val="CommentText"/>
    <w:next w:val="CommentText"/>
    <w:link w:val="CommentSubjectChar"/>
    <w:uiPriority w:val="99"/>
    <w:semiHidden/>
    <w:unhideWhenUsed/>
    <w:rsid w:val="00CA49AC"/>
    <w:rPr>
      <w:b/>
      <w:bCs/>
    </w:rPr>
  </w:style>
  <w:style w:type="character" w:customStyle="1" w:styleId="CommentSubjectChar">
    <w:name w:val="Comment Subject Char"/>
    <w:basedOn w:val="CommentTextChar"/>
    <w:link w:val="CommentSubject"/>
    <w:uiPriority w:val="99"/>
    <w:semiHidden/>
    <w:rsid w:val="00CA49AC"/>
    <w:rPr>
      <w:b/>
      <w:bCs/>
    </w:rPr>
  </w:style>
  <w:style w:type="paragraph" w:styleId="BalloonText">
    <w:name w:val="Balloon Text"/>
    <w:basedOn w:val="Normal"/>
    <w:link w:val="BalloonTextChar"/>
    <w:uiPriority w:val="99"/>
    <w:semiHidden/>
    <w:unhideWhenUsed/>
    <w:rsid w:val="00D81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9A"/>
    <w:rPr>
      <w:rFonts w:ascii="Segoe UI" w:hAnsi="Segoe UI" w:cs="Segoe UI"/>
      <w:sz w:val="18"/>
      <w:szCs w:val="18"/>
    </w:rPr>
  </w:style>
  <w:style w:type="paragraph" w:styleId="Revision">
    <w:name w:val="Revision"/>
    <w:hidden/>
    <w:uiPriority w:val="99"/>
    <w:semiHidden/>
    <w:rsid w:val="00BD21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686">
      <w:bodyDiv w:val="1"/>
      <w:marLeft w:val="0"/>
      <w:marRight w:val="0"/>
      <w:marTop w:val="0"/>
      <w:marBottom w:val="0"/>
      <w:divBdr>
        <w:top w:val="none" w:sz="0" w:space="0" w:color="auto"/>
        <w:left w:val="none" w:sz="0" w:space="0" w:color="auto"/>
        <w:bottom w:val="none" w:sz="0" w:space="0" w:color="auto"/>
        <w:right w:val="none" w:sz="0" w:space="0" w:color="auto"/>
      </w:divBdr>
    </w:div>
    <w:div w:id="177041867">
      <w:bodyDiv w:val="1"/>
      <w:marLeft w:val="0"/>
      <w:marRight w:val="0"/>
      <w:marTop w:val="0"/>
      <w:marBottom w:val="0"/>
      <w:divBdr>
        <w:top w:val="none" w:sz="0" w:space="0" w:color="auto"/>
        <w:left w:val="none" w:sz="0" w:space="0" w:color="auto"/>
        <w:bottom w:val="none" w:sz="0" w:space="0" w:color="auto"/>
        <w:right w:val="none" w:sz="0" w:space="0" w:color="auto"/>
      </w:divBdr>
    </w:div>
    <w:div w:id="521095884">
      <w:bodyDiv w:val="1"/>
      <w:marLeft w:val="0"/>
      <w:marRight w:val="0"/>
      <w:marTop w:val="0"/>
      <w:marBottom w:val="0"/>
      <w:divBdr>
        <w:top w:val="none" w:sz="0" w:space="0" w:color="auto"/>
        <w:left w:val="none" w:sz="0" w:space="0" w:color="auto"/>
        <w:bottom w:val="none" w:sz="0" w:space="0" w:color="auto"/>
        <w:right w:val="none" w:sz="0" w:space="0" w:color="auto"/>
      </w:divBdr>
    </w:div>
    <w:div w:id="714934720">
      <w:bodyDiv w:val="1"/>
      <w:marLeft w:val="0"/>
      <w:marRight w:val="0"/>
      <w:marTop w:val="0"/>
      <w:marBottom w:val="0"/>
      <w:divBdr>
        <w:top w:val="none" w:sz="0" w:space="0" w:color="auto"/>
        <w:left w:val="none" w:sz="0" w:space="0" w:color="auto"/>
        <w:bottom w:val="none" w:sz="0" w:space="0" w:color="auto"/>
        <w:right w:val="none" w:sz="0" w:space="0" w:color="auto"/>
      </w:divBdr>
    </w:div>
    <w:div w:id="1005664780">
      <w:bodyDiv w:val="1"/>
      <w:marLeft w:val="0"/>
      <w:marRight w:val="0"/>
      <w:marTop w:val="0"/>
      <w:marBottom w:val="0"/>
      <w:divBdr>
        <w:top w:val="none" w:sz="0" w:space="0" w:color="auto"/>
        <w:left w:val="none" w:sz="0" w:space="0" w:color="auto"/>
        <w:bottom w:val="none" w:sz="0" w:space="0" w:color="auto"/>
        <w:right w:val="none" w:sz="0" w:space="0" w:color="auto"/>
      </w:divBdr>
    </w:div>
    <w:div w:id="1110316488">
      <w:bodyDiv w:val="1"/>
      <w:marLeft w:val="0"/>
      <w:marRight w:val="0"/>
      <w:marTop w:val="0"/>
      <w:marBottom w:val="0"/>
      <w:divBdr>
        <w:top w:val="none" w:sz="0" w:space="0" w:color="auto"/>
        <w:left w:val="none" w:sz="0" w:space="0" w:color="auto"/>
        <w:bottom w:val="none" w:sz="0" w:space="0" w:color="auto"/>
        <w:right w:val="none" w:sz="0" w:space="0" w:color="auto"/>
      </w:divBdr>
    </w:div>
    <w:div w:id="1364399853">
      <w:bodyDiv w:val="1"/>
      <w:marLeft w:val="0"/>
      <w:marRight w:val="0"/>
      <w:marTop w:val="0"/>
      <w:marBottom w:val="0"/>
      <w:divBdr>
        <w:top w:val="none" w:sz="0" w:space="0" w:color="auto"/>
        <w:left w:val="none" w:sz="0" w:space="0" w:color="auto"/>
        <w:bottom w:val="none" w:sz="0" w:space="0" w:color="auto"/>
        <w:right w:val="none" w:sz="0" w:space="0" w:color="auto"/>
      </w:divBdr>
    </w:div>
    <w:div w:id="1477214119">
      <w:bodyDiv w:val="1"/>
      <w:marLeft w:val="0"/>
      <w:marRight w:val="0"/>
      <w:marTop w:val="0"/>
      <w:marBottom w:val="0"/>
      <w:divBdr>
        <w:top w:val="none" w:sz="0" w:space="0" w:color="auto"/>
        <w:left w:val="none" w:sz="0" w:space="0" w:color="auto"/>
        <w:bottom w:val="none" w:sz="0" w:space="0" w:color="auto"/>
        <w:right w:val="none" w:sz="0" w:space="0" w:color="auto"/>
      </w:divBdr>
    </w:div>
    <w:div w:id="1565868410">
      <w:bodyDiv w:val="1"/>
      <w:marLeft w:val="0"/>
      <w:marRight w:val="0"/>
      <w:marTop w:val="0"/>
      <w:marBottom w:val="0"/>
      <w:divBdr>
        <w:top w:val="none" w:sz="0" w:space="0" w:color="auto"/>
        <w:left w:val="none" w:sz="0" w:space="0" w:color="auto"/>
        <w:bottom w:val="none" w:sz="0" w:space="0" w:color="auto"/>
        <w:right w:val="none" w:sz="0" w:space="0" w:color="auto"/>
      </w:divBdr>
    </w:div>
    <w:div w:id="1866484939">
      <w:bodyDiv w:val="1"/>
      <w:marLeft w:val="0"/>
      <w:marRight w:val="0"/>
      <w:marTop w:val="0"/>
      <w:marBottom w:val="0"/>
      <w:divBdr>
        <w:top w:val="none" w:sz="0" w:space="0" w:color="auto"/>
        <w:left w:val="none" w:sz="0" w:space="0" w:color="auto"/>
        <w:bottom w:val="none" w:sz="0" w:space="0" w:color="auto"/>
        <w:right w:val="none" w:sz="0" w:space="0" w:color="auto"/>
      </w:divBdr>
    </w:div>
    <w:div w:id="1901820138">
      <w:bodyDiv w:val="1"/>
      <w:marLeft w:val="0"/>
      <w:marRight w:val="0"/>
      <w:marTop w:val="0"/>
      <w:marBottom w:val="0"/>
      <w:divBdr>
        <w:top w:val="none" w:sz="0" w:space="0" w:color="auto"/>
        <w:left w:val="none" w:sz="0" w:space="0" w:color="auto"/>
        <w:bottom w:val="none" w:sz="0" w:space="0" w:color="auto"/>
        <w:right w:val="none" w:sz="0" w:space="0" w:color="auto"/>
      </w:divBdr>
    </w:div>
    <w:div w:id="1907909974">
      <w:bodyDiv w:val="1"/>
      <w:marLeft w:val="0"/>
      <w:marRight w:val="0"/>
      <w:marTop w:val="0"/>
      <w:marBottom w:val="0"/>
      <w:divBdr>
        <w:top w:val="none" w:sz="0" w:space="0" w:color="auto"/>
        <w:left w:val="none" w:sz="0" w:space="0" w:color="auto"/>
        <w:bottom w:val="none" w:sz="0" w:space="0" w:color="auto"/>
        <w:right w:val="none" w:sz="0" w:space="0" w:color="auto"/>
      </w:divBdr>
    </w:div>
    <w:div w:id="1977101948">
      <w:bodyDiv w:val="1"/>
      <w:marLeft w:val="0"/>
      <w:marRight w:val="0"/>
      <w:marTop w:val="0"/>
      <w:marBottom w:val="0"/>
      <w:divBdr>
        <w:top w:val="none" w:sz="0" w:space="0" w:color="auto"/>
        <w:left w:val="none" w:sz="0" w:space="0" w:color="auto"/>
        <w:bottom w:val="none" w:sz="0" w:space="0" w:color="auto"/>
        <w:right w:val="none" w:sz="0" w:space="0" w:color="auto"/>
      </w:divBdr>
    </w:div>
    <w:div w:id="20226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rab\OneDrive\My%20thesis\Papers\Paper%201.5\Final%20manuscript\Ra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rab\OneDrive\My%20thesis\Papers\Paper%201.5\Final%20manuscript\Raw%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erab\OneDrive\My%20thesis\Papers\Paper%201.5\Final%20manuscript\Raw%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rab\Downloads\Global-Financial-Development-Database-11-1-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erab\Downloads\Global-Financial-Development-Database-11-1-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Garamond" panose="02020404030301010803" pitchFamily="18" charset="0"/>
                <a:ea typeface="+mn-ea"/>
                <a:cs typeface="+mn-cs"/>
              </a:defRPr>
            </a:pPr>
            <a:r>
              <a:rPr lang="fr-FR" sz="1000">
                <a:latin typeface="Garamond" panose="02020404030301010803" pitchFamily="18" charset="0"/>
              </a:rPr>
              <a:t>Panel</a:t>
            </a:r>
            <a:r>
              <a:rPr lang="fr-FR" sz="1000" baseline="0">
                <a:latin typeface="Garamond" panose="02020404030301010803" pitchFamily="18" charset="0"/>
              </a:rPr>
              <a:t> 1</a:t>
            </a:r>
            <a:endParaRPr lang="fr-FR" sz="1000">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Garamond" panose="02020404030301010803" pitchFamily="18" charset="0"/>
              <a:ea typeface="+mn-ea"/>
              <a:cs typeface="+mn-cs"/>
            </a:defRPr>
          </a:pPr>
          <a:endParaRPr lang="fr-FR"/>
        </a:p>
      </c:txPr>
    </c:title>
    <c:autoTitleDeleted val="0"/>
    <c:plotArea>
      <c:layout/>
      <c:barChart>
        <c:barDir val="col"/>
        <c:grouping val="clustered"/>
        <c:varyColors val="0"/>
        <c:ser>
          <c:idx val="1"/>
          <c:order val="0"/>
          <c:tx>
            <c:strRef>
              <c:f>'oil imp vs oil exp'!$D$2</c:f>
              <c:strCache>
                <c:ptCount val="1"/>
                <c:pt idx="0">
                  <c:v>Investement (% of GDP)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strRef>
          </c:cat>
          <c:val>
            <c:numRef>
              <c:f>'oil imp vs oil exp'!$D$3:$D$5</c:f>
              <c:numCache>
                <c:formatCode>0.00</c:formatCode>
                <c:ptCount val="3"/>
                <c:pt idx="0">
                  <c:v>25.923843747904897</c:v>
                </c:pt>
                <c:pt idx="1">
                  <c:v>27.771204384368591</c:v>
                </c:pt>
                <c:pt idx="2">
                  <c:v>23.337538856855726</c:v>
                </c:pt>
              </c:numCache>
            </c:numRef>
          </c:val>
          <c:extLst>
            <c:ext xmlns:c16="http://schemas.microsoft.com/office/drawing/2014/chart" uri="{C3380CC4-5D6E-409C-BE32-E72D297353CC}">
              <c16:uniqueId val="{00000000-9CCE-4023-B103-C56F27C8F490}"/>
            </c:ext>
          </c:extLst>
        </c:ser>
        <c:ser>
          <c:idx val="0"/>
          <c:order val="2"/>
          <c:tx>
            <c:strRef>
              <c:f>'oil imp vs oil exp'!$C$2</c:f>
              <c:strCache>
                <c:ptCount val="1"/>
                <c:pt idx="0">
                  <c:v>GDP growth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strRef>
          </c:cat>
          <c:val>
            <c:numRef>
              <c:f>'oil imp vs oil exp'!$C$3:$C$5</c:f>
              <c:numCache>
                <c:formatCode>0.00</c:formatCode>
                <c:ptCount val="3"/>
                <c:pt idx="0">
                  <c:v>4.1597850877192988</c:v>
                </c:pt>
                <c:pt idx="1">
                  <c:v>4.3636015037593978</c:v>
                </c:pt>
                <c:pt idx="2">
                  <c:v>3.8744421052631566</c:v>
                </c:pt>
              </c:numCache>
            </c:numRef>
          </c:val>
          <c:extLst>
            <c:ext xmlns:c16="http://schemas.microsoft.com/office/drawing/2014/chart" uri="{C3380CC4-5D6E-409C-BE32-E72D297353CC}">
              <c16:uniqueId val="{00000001-9CCE-4023-B103-C56F27C8F490}"/>
            </c:ext>
          </c:extLst>
        </c:ser>
        <c:ser>
          <c:idx val="2"/>
          <c:order val="3"/>
          <c:tx>
            <c:strRef>
              <c:f>'oil imp vs oil exp'!$E$2</c:f>
              <c:strCache>
                <c:ptCount val="1"/>
                <c:pt idx="0">
                  <c:v>Inflation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strRef>
          </c:cat>
          <c:val>
            <c:numRef>
              <c:f>'oil imp vs oil exp'!$E$3:$E$5</c:f>
              <c:numCache>
                <c:formatCode>0.00</c:formatCode>
                <c:ptCount val="3"/>
                <c:pt idx="0">
                  <c:v>3.5322543859649134</c:v>
                </c:pt>
                <c:pt idx="1">
                  <c:v>2.9140977443609031</c:v>
                </c:pt>
                <c:pt idx="2">
                  <c:v>4.3976736842105284</c:v>
                </c:pt>
              </c:numCache>
            </c:numRef>
          </c:val>
          <c:extLst>
            <c:ext xmlns:c16="http://schemas.microsoft.com/office/drawing/2014/chart" uri="{C3380CC4-5D6E-409C-BE32-E72D297353CC}">
              <c16:uniqueId val="{00000002-9CCE-4023-B103-C56F27C8F490}"/>
            </c:ext>
          </c:extLst>
        </c:ser>
        <c:dLbls>
          <c:dLblPos val="outEnd"/>
          <c:showLegendKey val="0"/>
          <c:showVal val="1"/>
          <c:showCatName val="0"/>
          <c:showSerName val="0"/>
          <c:showPercent val="0"/>
          <c:showBubbleSize val="0"/>
        </c:dLbls>
        <c:gapWidth val="219"/>
        <c:overlap val="-27"/>
        <c:axId val="610007256"/>
        <c:axId val="623592136"/>
        <c:extLst>
          <c:ext xmlns:c15="http://schemas.microsoft.com/office/drawing/2012/chart" uri="{02D57815-91ED-43cb-92C2-25804820EDAC}">
            <c15:filteredBarSeries>
              <c15:ser>
                <c:idx val="9"/>
                <c:order val="1"/>
                <c:tx>
                  <c:strRef>
                    <c:extLst>
                      <c:ext uri="{02D57815-91ED-43cb-92C2-25804820EDAC}">
                        <c15:formulaRef>
                          <c15:sqref>'oil imp vs oil exp'!$L$2</c15:sqref>
                        </c15:formulaRef>
                      </c:ext>
                    </c:extLst>
                    <c:strCache>
                      <c:ptCount val="1"/>
                      <c:pt idx="0">
                        <c:v>Nominal Short-Term Interest Rates</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'oil imp vs oil exp'!$B$3:$B$5</c15:sqref>
                        </c15:formulaRef>
                      </c:ext>
                    </c:extLst>
                    <c:strCache>
                      <c:ptCount val="3"/>
                      <c:pt idx="0">
                        <c:v>Full sample</c:v>
                      </c:pt>
                      <c:pt idx="1">
                        <c:v>Oil exporters</c:v>
                      </c:pt>
                      <c:pt idx="2">
                        <c:v>Oil importers</c:v>
                      </c:pt>
                    </c:strCache>
                  </c:strRef>
                </c:cat>
                <c:val>
                  <c:numRef>
                    <c:extLst>
                      <c:ext uri="{02D57815-91ED-43cb-92C2-25804820EDAC}">
                        <c15:formulaRef>
                          <c15:sqref>'oil imp vs oil exp'!$L$3:$L$5</c15:sqref>
                        </c15:formulaRef>
                      </c:ext>
                    </c:extLst>
                    <c:numCache>
                      <c:formatCode>0.00</c:formatCode>
                      <c:ptCount val="3"/>
                      <c:pt idx="0">
                        <c:v>7.0854512451912228</c:v>
                      </c:pt>
                      <c:pt idx="1">
                        <c:v>5.7161495030345781</c:v>
                      </c:pt>
                      <c:pt idx="2">
                        <c:v>9.0024736842105284</c:v>
                      </c:pt>
                    </c:numCache>
                  </c:numRef>
                </c:val>
                <c:extLst>
                  <c:ext xmlns:c16="http://schemas.microsoft.com/office/drawing/2014/chart" uri="{C3380CC4-5D6E-409C-BE32-E72D297353CC}">
                    <c16:uniqueId val="{00000003-9CCE-4023-B103-C56F27C8F490}"/>
                  </c:ext>
                </c:extLst>
              </c15:ser>
            </c15:filteredBarSeries>
          </c:ext>
        </c:extLst>
      </c:barChart>
      <c:catAx>
        <c:axId val="61000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623592136"/>
        <c:crosses val="autoZero"/>
        <c:auto val="1"/>
        <c:lblAlgn val="ctr"/>
        <c:lblOffset val="100"/>
        <c:noMultiLvlLbl val="0"/>
      </c:catAx>
      <c:valAx>
        <c:axId val="623592136"/>
        <c:scaling>
          <c:orientation val="minMax"/>
        </c:scaling>
        <c:delete val="1"/>
        <c:axPos val="l"/>
        <c:numFmt formatCode="0.00" sourceLinked="1"/>
        <c:majorTickMark val="none"/>
        <c:minorTickMark val="none"/>
        <c:tickLblPos val="nextTo"/>
        <c:crossAx val="61000725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a:latin typeface="Garamond" panose="02020404030301010803" pitchFamily="18" charset="0"/>
              </a:rPr>
              <a:t>Panel</a:t>
            </a:r>
            <a:r>
              <a:rPr lang="fr-FR" sz="1000" baseline="0">
                <a:latin typeface="Garamond" panose="02020404030301010803" pitchFamily="18" charset="0"/>
              </a:rPr>
              <a:t> 2</a:t>
            </a:r>
            <a:endParaRPr lang="fr-FR" sz="1000">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3"/>
          <c:order val="0"/>
          <c:tx>
            <c:strRef>
              <c:f>'oil imp vs oil exp'!$F$2</c:f>
              <c:strCache>
                <c:ptCount val="1"/>
                <c:pt idx="0">
                  <c:v>General government revenue</c:v>
                </c:pt>
              </c:strCache>
              <c:extLst xmlns:c15="http://schemas.microsoft.com/office/drawing/2012/chart"/>
            </c:strRef>
          </c:tx>
          <c:spPr>
            <a:solidFill>
              <a:schemeClr val="accent4"/>
            </a:solidFill>
            <a:ln>
              <a:noFill/>
            </a:ln>
            <a:effectLst/>
          </c:spPr>
          <c:invertIfNegative val="0"/>
          <c:dLbls>
            <c:dLbl>
              <c:idx val="0"/>
              <c:layout>
                <c:manualLayout>
                  <c:x val="0"/>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CA-4306-B72D-B836F4F50A4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extLst xmlns:c15="http://schemas.microsoft.com/office/drawing/2012/chart"/>
            </c:strRef>
          </c:cat>
          <c:val>
            <c:numRef>
              <c:f>'oil imp vs oil exp'!$F$3:$F$5</c:f>
              <c:numCache>
                <c:formatCode>0.00</c:formatCode>
                <c:ptCount val="3"/>
                <c:pt idx="0">
                  <c:v>33.329245614035102</c:v>
                </c:pt>
                <c:pt idx="1">
                  <c:v>39.55472180451126</c:v>
                </c:pt>
                <c:pt idx="2">
                  <c:v>24.613578947368417</c:v>
                </c:pt>
              </c:numCache>
              <c:extLst xmlns:c15="http://schemas.microsoft.com/office/drawing/2012/chart"/>
            </c:numRef>
          </c:val>
          <c:extLst>
            <c:ext xmlns:c16="http://schemas.microsoft.com/office/drawing/2014/chart" uri="{C3380CC4-5D6E-409C-BE32-E72D297353CC}">
              <c16:uniqueId val="{00000001-8DCA-4306-B72D-B836F4F50A49}"/>
            </c:ext>
          </c:extLst>
        </c:ser>
        <c:ser>
          <c:idx val="4"/>
          <c:order val="1"/>
          <c:tx>
            <c:strRef>
              <c:f>'oil imp vs oil exp'!$G$2</c:f>
              <c:strCache>
                <c:ptCount val="1"/>
                <c:pt idx="0">
                  <c:v>General government total expenditure</c:v>
                </c:pt>
              </c:strCache>
              <c:extLst xmlns:c15="http://schemas.microsoft.com/office/drawing/2012/chart"/>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extLst xmlns:c15="http://schemas.microsoft.com/office/drawing/2012/chart"/>
            </c:strRef>
          </c:cat>
          <c:val>
            <c:numRef>
              <c:f>'oil imp vs oil exp'!$G$3:$G$5</c:f>
              <c:numCache>
                <c:formatCode>0.00</c:formatCode>
                <c:ptCount val="3"/>
                <c:pt idx="0">
                  <c:v>32.965258771929832</c:v>
                </c:pt>
                <c:pt idx="1">
                  <c:v>34.399338345864656</c:v>
                </c:pt>
                <c:pt idx="2">
                  <c:v>30.957547368421036</c:v>
                </c:pt>
              </c:numCache>
              <c:extLst xmlns:c15="http://schemas.microsoft.com/office/drawing/2012/chart"/>
            </c:numRef>
          </c:val>
          <c:extLst>
            <c:ext xmlns:c16="http://schemas.microsoft.com/office/drawing/2014/chart" uri="{C3380CC4-5D6E-409C-BE32-E72D297353CC}">
              <c16:uniqueId val="{00000002-8DCA-4306-B72D-B836F4F50A49}"/>
            </c:ext>
          </c:extLst>
        </c:ser>
        <c:ser>
          <c:idx val="5"/>
          <c:order val="2"/>
          <c:tx>
            <c:strRef>
              <c:f>'oil imp vs oil exp'!$H$2</c:f>
              <c:strCache>
                <c:ptCount val="1"/>
                <c:pt idx="0">
                  <c:v>General government Current Spending</c:v>
                </c:pt>
              </c:strCache>
              <c:extLst xmlns:c15="http://schemas.microsoft.com/office/drawing/2012/chart"/>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extLst xmlns:c15="http://schemas.microsoft.com/office/drawing/2012/chart"/>
            </c:strRef>
          </c:cat>
          <c:val>
            <c:numRef>
              <c:f>'oil imp vs oil exp'!$H$3:$H$5</c:f>
              <c:numCache>
                <c:formatCode>0.00</c:formatCode>
                <c:ptCount val="3"/>
                <c:pt idx="0">
                  <c:v>26.596965183240748</c:v>
                </c:pt>
                <c:pt idx="1">
                  <c:v>26.725088782345388</c:v>
                </c:pt>
                <c:pt idx="2">
                  <c:v>26.421638152886949</c:v>
                </c:pt>
              </c:numCache>
              <c:extLst xmlns:c15="http://schemas.microsoft.com/office/drawing/2012/chart"/>
            </c:numRef>
          </c:val>
          <c:extLst>
            <c:ext xmlns:c16="http://schemas.microsoft.com/office/drawing/2014/chart" uri="{C3380CC4-5D6E-409C-BE32-E72D297353CC}">
              <c16:uniqueId val="{00000003-8DCA-4306-B72D-B836F4F50A49}"/>
            </c:ext>
          </c:extLst>
        </c:ser>
        <c:ser>
          <c:idx val="6"/>
          <c:order val="3"/>
          <c:tx>
            <c:strRef>
              <c:f>'oil imp vs oil exp'!$I$2</c:f>
              <c:strCache>
                <c:ptCount val="1"/>
                <c:pt idx="0">
                  <c:v>General government Capital Spending</c:v>
                </c:pt>
              </c:strCache>
              <c:extLst xmlns:c15="http://schemas.microsoft.com/office/drawing/2012/chart"/>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extLst xmlns:c15="http://schemas.microsoft.com/office/drawing/2012/chart"/>
            </c:strRef>
          </c:cat>
          <c:val>
            <c:numRef>
              <c:f>'oil imp vs oil exp'!$I$3:$I$5</c:f>
              <c:numCache>
                <c:formatCode>0.00</c:formatCode>
                <c:ptCount val="3"/>
                <c:pt idx="0">
                  <c:v>6.4114837056481715</c:v>
                </c:pt>
                <c:pt idx="1">
                  <c:v>7.7820958330392145</c:v>
                </c:pt>
                <c:pt idx="2">
                  <c:v>4.5359092155341081</c:v>
                </c:pt>
              </c:numCache>
              <c:extLst xmlns:c15="http://schemas.microsoft.com/office/drawing/2012/chart"/>
            </c:numRef>
          </c:val>
          <c:extLst>
            <c:ext xmlns:c16="http://schemas.microsoft.com/office/drawing/2014/chart" uri="{C3380CC4-5D6E-409C-BE32-E72D297353CC}">
              <c16:uniqueId val="{00000004-8DCA-4306-B72D-B836F4F50A49}"/>
            </c:ext>
          </c:extLst>
        </c:ser>
        <c:dLbls>
          <c:dLblPos val="outEnd"/>
          <c:showLegendKey val="0"/>
          <c:showVal val="1"/>
          <c:showCatName val="0"/>
          <c:showSerName val="0"/>
          <c:showPercent val="0"/>
          <c:showBubbleSize val="0"/>
        </c:dLbls>
        <c:gapWidth val="219"/>
        <c:overlap val="-27"/>
        <c:axId val="610007256"/>
        <c:axId val="623592136"/>
        <c:extLst/>
      </c:barChart>
      <c:catAx>
        <c:axId val="61000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623592136"/>
        <c:crosses val="autoZero"/>
        <c:auto val="1"/>
        <c:lblAlgn val="ctr"/>
        <c:lblOffset val="100"/>
        <c:noMultiLvlLbl val="0"/>
      </c:catAx>
      <c:valAx>
        <c:axId val="623592136"/>
        <c:scaling>
          <c:orientation val="minMax"/>
        </c:scaling>
        <c:delete val="1"/>
        <c:axPos val="l"/>
        <c:numFmt formatCode="0.00" sourceLinked="1"/>
        <c:majorTickMark val="none"/>
        <c:minorTickMark val="none"/>
        <c:tickLblPos val="nextTo"/>
        <c:crossAx val="61000725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a:latin typeface="Garamond" panose="02020404030301010803" pitchFamily="18" charset="0"/>
              </a:rPr>
              <a:t>Panel</a:t>
            </a:r>
            <a:r>
              <a:rPr lang="fr-FR" sz="1000" baseline="0">
                <a:latin typeface="Garamond" panose="02020404030301010803" pitchFamily="18" charset="0"/>
              </a:rPr>
              <a:t> 3</a:t>
            </a:r>
            <a:endParaRPr lang="fr-FR" sz="1000">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8"/>
          <c:order val="0"/>
          <c:tx>
            <c:strRef>
              <c:f>'oil imp vs oil exp'!$K$2</c:f>
              <c:strCache>
                <c:ptCount val="1"/>
                <c:pt idx="0">
                  <c:v>General government gross debt</c:v>
                </c:pt>
              </c:strCache>
              <c:extLst xmlns:c15="http://schemas.microsoft.com/office/drawing/2012/chart"/>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extLst xmlns:c15="http://schemas.microsoft.com/office/drawing/2012/chart"/>
            </c:strRef>
          </c:cat>
          <c:val>
            <c:numRef>
              <c:f>'oil imp vs oil exp'!$K$3:$K$5</c:f>
              <c:numCache>
                <c:formatCode>0.00</c:formatCode>
                <c:ptCount val="3"/>
                <c:pt idx="0">
                  <c:v>50.045675438596504</c:v>
                </c:pt>
                <c:pt idx="1">
                  <c:v>24.998172932330831</c:v>
                </c:pt>
                <c:pt idx="2">
                  <c:v>85.112178947368434</c:v>
                </c:pt>
              </c:numCache>
              <c:extLst xmlns:c15="http://schemas.microsoft.com/office/drawing/2012/chart"/>
            </c:numRef>
          </c:val>
          <c:extLst>
            <c:ext xmlns:c16="http://schemas.microsoft.com/office/drawing/2014/chart" uri="{C3380CC4-5D6E-409C-BE32-E72D297353CC}">
              <c16:uniqueId val="{00000000-E856-4DEB-8044-68001477E7E1}"/>
            </c:ext>
          </c:extLst>
        </c:ser>
        <c:ser>
          <c:idx val="7"/>
          <c:order val="1"/>
          <c:tx>
            <c:strRef>
              <c:f>'oil imp vs oil exp'!$J$2</c:f>
              <c:strCache>
                <c:ptCount val="1"/>
                <c:pt idx="0">
                  <c:v>General government net lending/borrowing</c:v>
                </c:pt>
              </c:strCache>
              <c:extLst xmlns:c15="http://schemas.microsoft.com/office/drawing/2012/chart"/>
            </c:strRef>
          </c:tx>
          <c:spPr>
            <a:solidFill>
              <a:schemeClr val="accent2">
                <a:lumMod val="60000"/>
              </a:schemeClr>
            </a:solidFill>
            <a:ln>
              <a:noFill/>
            </a:ln>
            <a:effectLst/>
          </c:spPr>
          <c:invertIfNegative val="0"/>
          <c:dLbls>
            <c:dLbl>
              <c:idx val="2"/>
              <c:layout>
                <c:manualLayout>
                  <c:x val="0"/>
                  <c:y val="0.133744855967078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56-4DEB-8044-68001477E7E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'oil imp vs oil exp'!$B$3:$B$5</c:f>
              <c:strCache>
                <c:ptCount val="3"/>
                <c:pt idx="0">
                  <c:v>Full sample</c:v>
                </c:pt>
                <c:pt idx="1">
                  <c:v>Oil exporters</c:v>
                </c:pt>
                <c:pt idx="2">
                  <c:v>Oil importers</c:v>
                </c:pt>
              </c:strCache>
              <c:extLst xmlns:c15="http://schemas.microsoft.com/office/drawing/2012/chart"/>
            </c:strRef>
          </c:cat>
          <c:val>
            <c:numRef>
              <c:f>'oil imp vs oil exp'!$J$3:$J$5</c:f>
              <c:numCache>
                <c:formatCode>0.00</c:formatCode>
                <c:ptCount val="3"/>
                <c:pt idx="0">
                  <c:v>0.36407894736842089</c:v>
                </c:pt>
                <c:pt idx="1">
                  <c:v>5.1554736842105271</c:v>
                </c:pt>
                <c:pt idx="2">
                  <c:v>-6.3438736842105241</c:v>
                </c:pt>
              </c:numCache>
              <c:extLst xmlns:c15="http://schemas.microsoft.com/office/drawing/2012/chart"/>
            </c:numRef>
          </c:val>
          <c:extLst>
            <c:ext xmlns:c16="http://schemas.microsoft.com/office/drawing/2014/chart" uri="{C3380CC4-5D6E-409C-BE32-E72D297353CC}">
              <c16:uniqueId val="{00000002-E856-4DEB-8044-68001477E7E1}"/>
            </c:ext>
          </c:extLst>
        </c:ser>
        <c:dLbls>
          <c:dLblPos val="outEnd"/>
          <c:showLegendKey val="0"/>
          <c:showVal val="1"/>
          <c:showCatName val="0"/>
          <c:showSerName val="0"/>
          <c:showPercent val="0"/>
          <c:showBubbleSize val="0"/>
        </c:dLbls>
        <c:gapWidth val="219"/>
        <c:overlap val="-27"/>
        <c:axId val="610007256"/>
        <c:axId val="623592136"/>
        <c:extLst/>
      </c:barChart>
      <c:catAx>
        <c:axId val="61000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623592136"/>
        <c:crosses val="autoZero"/>
        <c:auto val="1"/>
        <c:lblAlgn val="ctr"/>
        <c:lblOffset val="100"/>
        <c:noMultiLvlLbl val="0"/>
      </c:catAx>
      <c:valAx>
        <c:axId val="623592136"/>
        <c:scaling>
          <c:orientation val="minMax"/>
        </c:scaling>
        <c:delete val="1"/>
        <c:axPos val="l"/>
        <c:numFmt formatCode="0.00" sourceLinked="1"/>
        <c:majorTickMark val="none"/>
        <c:minorTickMark val="none"/>
        <c:tickLblPos val="nextTo"/>
        <c:crossAx val="61000725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a:latin typeface="Garamond" panose="02020404030301010803" pitchFamily="18" charset="0"/>
              </a:rPr>
              <a:t>Panel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Graphs!$D$1</c:f>
              <c:strCache>
                <c:ptCount val="1"/>
                <c:pt idx="0">
                  <c:v>Deposit money banks' assets to GDP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Graphs!$D$2:$D$4</c:f>
              <c:numCache>
                <c:formatCode>0.00</c:formatCode>
                <c:ptCount val="3"/>
                <c:pt idx="0">
                  <c:v>80.754320000000007</c:v>
                </c:pt>
                <c:pt idx="1">
                  <c:v>87.001530000000002</c:v>
                </c:pt>
                <c:pt idx="2">
                  <c:v>61.525590000000001</c:v>
                </c:pt>
              </c:numCache>
            </c:numRef>
          </c:val>
          <c:extLst>
            <c:ext xmlns:c16="http://schemas.microsoft.com/office/drawing/2014/chart" uri="{C3380CC4-5D6E-409C-BE32-E72D297353CC}">
              <c16:uniqueId val="{00000000-DAF2-49AD-B072-FAF3549426A3}"/>
            </c:ext>
          </c:extLst>
        </c:ser>
        <c:ser>
          <c:idx val="3"/>
          <c:order val="1"/>
          <c:tx>
            <c:strRef>
              <c:f>Graphs!$E$1</c:f>
              <c:strCache>
                <c:ptCount val="1"/>
                <c:pt idx="0">
                  <c:v>Domestic credit to private sector (% of GDP)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Graphs!$E$2:$E$4</c:f>
              <c:numCache>
                <c:formatCode>0.00</c:formatCode>
                <c:ptCount val="3"/>
                <c:pt idx="0">
                  <c:v>59.818299999999994</c:v>
                </c:pt>
                <c:pt idx="1">
                  <c:v>73.319760000000002</c:v>
                </c:pt>
                <c:pt idx="2">
                  <c:v>44.538310000000003</c:v>
                </c:pt>
              </c:numCache>
            </c:numRef>
          </c:val>
          <c:extLst>
            <c:ext xmlns:c16="http://schemas.microsoft.com/office/drawing/2014/chart" uri="{C3380CC4-5D6E-409C-BE32-E72D297353CC}">
              <c16:uniqueId val="{00000001-DAF2-49AD-B072-FAF3549426A3}"/>
            </c:ext>
          </c:extLst>
        </c:ser>
        <c:ser>
          <c:idx val="1"/>
          <c:order val="2"/>
          <c:tx>
            <c:strRef>
              <c:f>Graphs!$C$1</c:f>
              <c:strCache>
                <c:ptCount val="1"/>
                <c:pt idx="0">
                  <c:v>Private credit by deposit money banks to GDP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Graphs!$C$2:$C$4</c:f>
              <c:numCache>
                <c:formatCode>0.00</c:formatCode>
                <c:ptCount val="3"/>
                <c:pt idx="0">
                  <c:v>58.3416</c:v>
                </c:pt>
                <c:pt idx="1">
                  <c:v>68.185649999999995</c:v>
                </c:pt>
                <c:pt idx="2">
                  <c:v>45.481645</c:v>
                </c:pt>
              </c:numCache>
            </c:numRef>
          </c:val>
          <c:extLst>
            <c:ext xmlns:c16="http://schemas.microsoft.com/office/drawing/2014/chart" uri="{C3380CC4-5D6E-409C-BE32-E72D297353CC}">
              <c16:uniqueId val="{00000002-DAF2-49AD-B072-FAF3549426A3}"/>
            </c:ext>
          </c:extLst>
        </c:ser>
        <c:ser>
          <c:idx val="0"/>
          <c:order val="3"/>
          <c:tx>
            <c:strRef>
              <c:f>Graphs!$B$1</c:f>
              <c:strCache>
                <c:ptCount val="1"/>
                <c:pt idx="0">
                  <c:v>Bank branches per 100,000 adults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Graphs!$B$2:$B$4</c:f>
              <c:numCache>
                <c:formatCode>0.00</c:formatCode>
                <c:ptCount val="3"/>
                <c:pt idx="0">
                  <c:v>14.699919999999999</c:v>
                </c:pt>
                <c:pt idx="1">
                  <c:v>16.802824999999999</c:v>
                </c:pt>
                <c:pt idx="2">
                  <c:v>13.025024999999999</c:v>
                </c:pt>
              </c:numCache>
            </c:numRef>
          </c:val>
          <c:extLst>
            <c:ext xmlns:c16="http://schemas.microsoft.com/office/drawing/2014/chart" uri="{C3380CC4-5D6E-409C-BE32-E72D297353CC}">
              <c16:uniqueId val="{00000003-DAF2-49AD-B072-FAF3549426A3}"/>
            </c:ext>
          </c:extLst>
        </c:ser>
        <c:dLbls>
          <c:dLblPos val="outEnd"/>
          <c:showLegendKey val="0"/>
          <c:showVal val="1"/>
          <c:showCatName val="0"/>
          <c:showSerName val="0"/>
          <c:showPercent val="0"/>
          <c:showBubbleSize val="0"/>
        </c:dLbls>
        <c:gapWidth val="219"/>
        <c:overlap val="-27"/>
        <c:axId val="595304608"/>
        <c:axId val="595310512"/>
      </c:barChart>
      <c:catAx>
        <c:axId val="59530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crossAx val="595310512"/>
        <c:crosses val="autoZero"/>
        <c:auto val="1"/>
        <c:lblAlgn val="ctr"/>
        <c:lblOffset val="100"/>
        <c:noMultiLvlLbl val="0"/>
      </c:catAx>
      <c:valAx>
        <c:axId val="595310512"/>
        <c:scaling>
          <c:orientation val="minMax"/>
        </c:scaling>
        <c:delete val="1"/>
        <c:axPos val="l"/>
        <c:numFmt formatCode="0.00" sourceLinked="1"/>
        <c:majorTickMark val="none"/>
        <c:minorTickMark val="none"/>
        <c:tickLblPos val="nextTo"/>
        <c:crossAx val="59530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a:latin typeface="Garamond" panose="02020404030301010803" pitchFamily="18" charset="0"/>
              </a:rPr>
              <a:t>Panel</a:t>
            </a:r>
            <a:r>
              <a:rPr lang="fr-FR" sz="1000" baseline="0">
                <a:latin typeface="Garamond" panose="02020404030301010803" pitchFamily="18" charset="0"/>
              </a:rPr>
              <a:t> 2</a:t>
            </a:r>
            <a:endParaRPr lang="fr-FR" sz="1000">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7"/>
          <c:order val="0"/>
          <c:tx>
            <c:strRef>
              <c:f>Graphs!$I$1</c:f>
              <c:strCache>
                <c:ptCount val="1"/>
                <c:pt idx="0">
                  <c:v>Bank Z-score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Graphs!$I$2:$I$4</c:f>
              <c:numCache>
                <c:formatCode>0.00</c:formatCode>
                <c:ptCount val="3"/>
                <c:pt idx="0">
                  <c:v>21.412154999999998</c:v>
                </c:pt>
                <c:pt idx="1">
                  <c:v>25.630269999999999</c:v>
                </c:pt>
                <c:pt idx="2">
                  <c:v>18.336794999999999</c:v>
                </c:pt>
              </c:numCache>
            </c:numRef>
          </c:val>
          <c:extLst>
            <c:ext xmlns:c16="http://schemas.microsoft.com/office/drawing/2014/chart" uri="{C3380CC4-5D6E-409C-BE32-E72D297353CC}">
              <c16:uniqueId val="{00000000-B777-477E-91A4-394D71B71ED8}"/>
            </c:ext>
          </c:extLst>
        </c:ser>
        <c:ser>
          <c:idx val="9"/>
          <c:order val="1"/>
          <c:tx>
            <c:strRef>
              <c:f>Graphs!$K$1</c:f>
              <c:strCache>
                <c:ptCount val="1"/>
                <c:pt idx="0">
                  <c:v>Bank regulatory capital to risk-weighted assets (%) </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Graphs!$K$2:$K$4</c:f>
              <c:numCache>
                <c:formatCode>0.00</c:formatCode>
                <c:ptCount val="3"/>
                <c:pt idx="0">
                  <c:v>16.3</c:v>
                </c:pt>
                <c:pt idx="1">
                  <c:v>13.7</c:v>
                </c:pt>
                <c:pt idx="2">
                  <c:v>18.20665</c:v>
                </c:pt>
              </c:numCache>
            </c:numRef>
          </c:val>
          <c:extLst>
            <c:ext xmlns:c16="http://schemas.microsoft.com/office/drawing/2014/chart" uri="{C3380CC4-5D6E-409C-BE32-E72D297353CC}">
              <c16:uniqueId val="{00000001-B777-477E-91A4-394D71B71ED8}"/>
            </c:ext>
          </c:extLst>
        </c:ser>
        <c:ser>
          <c:idx val="8"/>
          <c:order val="2"/>
          <c:tx>
            <c:strRef>
              <c:f>Graphs!$J$1</c:f>
              <c:strCache>
                <c:ptCount val="1"/>
                <c:pt idx="0">
                  <c:v>Bank nonperforming loans to gross loans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Graphs!$J$2:$J$4</c:f>
              <c:numCache>
                <c:formatCode>0.00</c:formatCode>
                <c:ptCount val="3"/>
                <c:pt idx="0">
                  <c:v>7.0648249999999999</c:v>
                </c:pt>
                <c:pt idx="1">
                  <c:v>10.9</c:v>
                </c:pt>
                <c:pt idx="2">
                  <c:v>5.4479100000000003</c:v>
                </c:pt>
              </c:numCache>
            </c:numRef>
          </c:val>
          <c:extLst>
            <c:ext xmlns:c16="http://schemas.microsoft.com/office/drawing/2014/chart" uri="{C3380CC4-5D6E-409C-BE32-E72D297353CC}">
              <c16:uniqueId val="{00000002-B777-477E-91A4-394D71B71ED8}"/>
            </c:ext>
          </c:extLst>
        </c:ser>
        <c:ser>
          <c:idx val="0"/>
          <c:order val="3"/>
          <c:tx>
            <c:strRef>
              <c:f>Graphs!$G$1</c:f>
              <c:strCache>
                <c:ptCount val="1"/>
                <c:pt idx="0">
                  <c:v>Bank lending-deposit spread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Graphs!$A$2:$A$4</c:f>
              <c:strCache>
                <c:ptCount val="3"/>
                <c:pt idx="0">
                  <c:v>Full sample</c:v>
                </c:pt>
                <c:pt idx="1">
                  <c:v>Oil importers</c:v>
                </c:pt>
                <c:pt idx="2">
                  <c:v>Oil exporters</c:v>
                </c:pt>
              </c:strCache>
            </c:strRef>
          </c:cat>
          <c:val>
            <c:numRef>
              <c:f>Graphs!$G$2:$G$4</c:f>
              <c:numCache>
                <c:formatCode>0.00</c:formatCode>
                <c:ptCount val="3"/>
                <c:pt idx="0">
                  <c:v>3.8333300000000001</c:v>
                </c:pt>
                <c:pt idx="1">
                  <c:v>4.5395799999999999</c:v>
                </c:pt>
                <c:pt idx="2">
                  <c:v>3.5383300000000002</c:v>
                </c:pt>
              </c:numCache>
            </c:numRef>
          </c:val>
          <c:extLst>
            <c:ext xmlns:c16="http://schemas.microsoft.com/office/drawing/2014/chart" uri="{C3380CC4-5D6E-409C-BE32-E72D297353CC}">
              <c16:uniqueId val="{00000003-B777-477E-91A4-394D71B71ED8}"/>
            </c:ext>
          </c:extLst>
        </c:ser>
        <c:dLbls>
          <c:dLblPos val="outEnd"/>
          <c:showLegendKey val="0"/>
          <c:showVal val="1"/>
          <c:showCatName val="0"/>
          <c:showSerName val="0"/>
          <c:showPercent val="0"/>
          <c:showBubbleSize val="0"/>
        </c:dLbls>
        <c:gapWidth val="219"/>
        <c:overlap val="-27"/>
        <c:axId val="595304608"/>
        <c:axId val="595310512"/>
        <c:extLst>
          <c:ext xmlns:c15="http://schemas.microsoft.com/office/drawing/2012/chart" uri="{02D57815-91ED-43cb-92C2-25804820EDAC}">
            <c15:filteredBarSeries>
              <c15:ser>
                <c:idx val="1"/>
                <c:order val="4"/>
                <c:tx>
                  <c:strRef>
                    <c:extLst>
                      <c:ext uri="{02D57815-91ED-43cb-92C2-25804820EDAC}">
                        <c15:formulaRef>
                          <c15:sqref>Graphs!$H$1</c15:sqref>
                        </c15:formulaRef>
                      </c:ext>
                    </c:extLst>
                    <c:strCache>
                      <c:ptCount val="1"/>
                      <c:pt idx="0">
                        <c:v>Credit to government and state owned enterprises to GDP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Graphs!$A$2:$A$4</c15:sqref>
                        </c15:formulaRef>
                      </c:ext>
                    </c:extLst>
                    <c:strCache>
                      <c:ptCount val="3"/>
                      <c:pt idx="0">
                        <c:v>Full sample</c:v>
                      </c:pt>
                      <c:pt idx="1">
                        <c:v>Oil importers</c:v>
                      </c:pt>
                      <c:pt idx="2">
                        <c:v>Oil exporters</c:v>
                      </c:pt>
                    </c:strCache>
                  </c:strRef>
                </c:cat>
                <c:val>
                  <c:numRef>
                    <c:extLst>
                      <c:ext uri="{02D57815-91ED-43cb-92C2-25804820EDAC}">
                        <c15:formulaRef>
                          <c15:sqref>Graphs!$H$2:$H$4</c15:sqref>
                        </c15:formulaRef>
                      </c:ext>
                    </c:extLst>
                    <c:numCache>
                      <c:formatCode>0.00</c:formatCode>
                      <c:ptCount val="3"/>
                      <c:pt idx="0">
                        <c:v>20.1235</c:v>
                      </c:pt>
                      <c:pt idx="1">
                        <c:v>23.26135</c:v>
                      </c:pt>
                      <c:pt idx="2">
                        <c:v>15.699400000000001</c:v>
                      </c:pt>
                    </c:numCache>
                  </c:numRef>
                </c:val>
                <c:extLst>
                  <c:ext xmlns:c16="http://schemas.microsoft.com/office/drawing/2014/chart" uri="{C3380CC4-5D6E-409C-BE32-E72D297353CC}">
                    <c16:uniqueId val="{00000004-B777-477E-91A4-394D71B71ED8}"/>
                  </c:ext>
                </c:extLst>
              </c15:ser>
            </c15:filteredBarSeries>
          </c:ext>
        </c:extLst>
      </c:barChart>
      <c:catAx>
        <c:axId val="59530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crossAx val="595310512"/>
        <c:crosses val="autoZero"/>
        <c:auto val="1"/>
        <c:lblAlgn val="ctr"/>
        <c:lblOffset val="100"/>
        <c:noMultiLvlLbl val="0"/>
      </c:catAx>
      <c:valAx>
        <c:axId val="595310512"/>
        <c:scaling>
          <c:orientation val="minMax"/>
        </c:scaling>
        <c:delete val="1"/>
        <c:axPos val="l"/>
        <c:numFmt formatCode="0.00" sourceLinked="1"/>
        <c:majorTickMark val="none"/>
        <c:minorTickMark val="none"/>
        <c:tickLblPos val="nextTo"/>
        <c:crossAx val="59530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8B9F-52B8-460A-84DD-6B3AEE5C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4785</TotalTime>
  <Pages>24</Pages>
  <Words>32269</Words>
  <Characters>177484</Characters>
  <Application>Microsoft Office Word</Application>
  <DocSecurity>0</DocSecurity>
  <Lines>1479</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kchikeche</dc:creator>
  <cp:keywords/>
  <dc:description/>
  <cp:lastModifiedBy>Ahmed kchikeche</cp:lastModifiedBy>
  <cp:revision>139</cp:revision>
  <dcterms:created xsi:type="dcterms:W3CDTF">2021-07-20T13:00:00Z</dcterms:created>
  <dcterms:modified xsi:type="dcterms:W3CDTF">2021-12-26T13:39:00Z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http://www.zotero.org/styles/borsa-istanbul-review</vt:lpwstr>
  </property>
  <property fmtid="{D5CDD505-2E9C-101B-9397-08002B2CF9AE}" pid="7" name="Mendeley Recent Style Name 2_1">
    <vt:lpwstr>Borsa Istanbul Review</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a5002411-3624-3f77-943c-def4f4d2c357</vt:lpwstr>
  </property>
  <property fmtid="{D5CDD505-2E9C-101B-9397-08002B2CF9AE}" pid="24" name="Mendeley Citation Style_1">
    <vt:lpwstr>http://www.zotero.org/styles/apa</vt:lpwstr>
  </property>
</Properties>
</file>